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5B259" w14:textId="77777777" w:rsidR="006E1142" w:rsidRPr="0001217E" w:rsidRDefault="006E1142" w:rsidP="00651677">
      <w:pPr>
        <w:spacing w:after="0" w:line="360" w:lineRule="auto"/>
        <w:jc w:val="center"/>
        <w:rPr>
          <w:rFonts w:ascii="Arial" w:eastAsiaTheme="minorEastAsia" w:hAnsi="Arial" w:cs="Arial"/>
          <w:b/>
          <w:bCs/>
          <w:sz w:val="24"/>
          <w:szCs w:val="24"/>
          <w:lang w:val="en-US"/>
        </w:rPr>
      </w:pPr>
      <w:r w:rsidRPr="0001217E">
        <w:rPr>
          <w:rFonts w:ascii="Arial" w:eastAsia="MS Mincho" w:hAnsi="Arial" w:cs="Arial"/>
          <w:noProof/>
          <w:sz w:val="24"/>
          <w:szCs w:val="24"/>
          <w:lang w:eastAsia="en-ZA"/>
        </w:rPr>
        <w:drawing>
          <wp:anchor distT="0" distB="0" distL="114300" distR="114300" simplePos="0" relativeHeight="251659264" behindDoc="0" locked="0" layoutInCell="1" allowOverlap="1" wp14:anchorId="27DF4930" wp14:editId="3C07869D">
            <wp:simplePos x="0" y="0"/>
            <wp:positionH relativeFrom="column">
              <wp:posOffset>2533650</wp:posOffset>
            </wp:positionH>
            <wp:positionV relativeFrom="paragraph">
              <wp:posOffset>76200</wp:posOffset>
            </wp:positionV>
            <wp:extent cx="740410" cy="923925"/>
            <wp:effectExtent l="0" t="0" r="2540" b="9525"/>
            <wp:wrapTopAndBottom/>
            <wp:docPr id="1" name="Picture 1" descr="coatarm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arms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923925"/>
                    </a:xfrm>
                    <a:prstGeom prst="rect">
                      <a:avLst/>
                    </a:prstGeom>
                    <a:noFill/>
                  </pic:spPr>
                </pic:pic>
              </a:graphicData>
            </a:graphic>
          </wp:anchor>
        </w:drawing>
      </w:r>
    </w:p>
    <w:p w14:paraId="0AD7C0EC" w14:textId="77777777" w:rsidR="006E1142" w:rsidRPr="0001217E" w:rsidRDefault="006E1142" w:rsidP="00651677">
      <w:pPr>
        <w:spacing w:after="0" w:line="360" w:lineRule="auto"/>
        <w:contextualSpacing/>
        <w:jc w:val="center"/>
        <w:rPr>
          <w:rFonts w:ascii="Arial" w:eastAsiaTheme="minorEastAsia" w:hAnsi="Arial" w:cs="Arial"/>
          <w:b/>
          <w:bCs/>
          <w:sz w:val="24"/>
          <w:szCs w:val="24"/>
          <w:lang w:val="en-US"/>
        </w:rPr>
      </w:pPr>
      <w:r w:rsidRPr="0001217E">
        <w:rPr>
          <w:rFonts w:ascii="Arial" w:eastAsiaTheme="minorEastAsia" w:hAnsi="Arial" w:cs="Arial"/>
          <w:b/>
          <w:bCs/>
          <w:sz w:val="24"/>
          <w:szCs w:val="24"/>
          <w:lang w:val="en-US"/>
        </w:rPr>
        <w:t>THE SUPREME COURT OF APPEAL OF SOUTH AFRICA</w:t>
      </w:r>
    </w:p>
    <w:p w14:paraId="1210E73E" w14:textId="77777777" w:rsidR="0096124E" w:rsidRPr="0001217E" w:rsidRDefault="006E1142" w:rsidP="00651677">
      <w:pPr>
        <w:spacing w:after="0" w:line="360" w:lineRule="auto"/>
        <w:contextualSpacing/>
        <w:jc w:val="center"/>
        <w:outlineLvl w:val="0"/>
        <w:rPr>
          <w:rFonts w:ascii="Arial" w:eastAsiaTheme="minorEastAsia" w:hAnsi="Arial" w:cs="Arial"/>
          <w:b/>
          <w:sz w:val="24"/>
          <w:szCs w:val="24"/>
          <w:lang w:val="en-US"/>
        </w:rPr>
      </w:pPr>
      <w:r w:rsidRPr="0001217E">
        <w:rPr>
          <w:rFonts w:ascii="Arial" w:eastAsiaTheme="minorEastAsia" w:hAnsi="Arial" w:cs="Arial"/>
          <w:b/>
          <w:sz w:val="24"/>
          <w:szCs w:val="24"/>
          <w:lang w:val="en-US"/>
        </w:rPr>
        <w:t>JUDGMENT</w:t>
      </w:r>
    </w:p>
    <w:p w14:paraId="2D83F045" w14:textId="48C1147E" w:rsidR="006E1142" w:rsidRPr="0001217E" w:rsidRDefault="000E6208" w:rsidP="00E71DC9">
      <w:pPr>
        <w:spacing w:after="0" w:line="360" w:lineRule="auto"/>
        <w:ind w:left="4950" w:firstLine="90"/>
        <w:contextualSpacing/>
        <w:jc w:val="right"/>
        <w:outlineLvl w:val="0"/>
        <w:rPr>
          <w:rFonts w:ascii="Arial" w:eastAsiaTheme="minorEastAsia" w:hAnsi="Arial" w:cs="Arial"/>
          <w:b/>
          <w:sz w:val="24"/>
          <w:szCs w:val="24"/>
          <w:lang w:val="en-US"/>
        </w:rPr>
      </w:pPr>
      <w:r w:rsidRPr="0001217E">
        <w:rPr>
          <w:rFonts w:ascii="Arial" w:eastAsiaTheme="minorEastAsia" w:hAnsi="Arial" w:cs="Arial"/>
          <w:b/>
          <w:sz w:val="24"/>
          <w:szCs w:val="24"/>
          <w:lang w:val="en-US"/>
        </w:rPr>
        <w:t>R</w:t>
      </w:r>
      <w:r w:rsidR="00462058" w:rsidRPr="0001217E">
        <w:rPr>
          <w:rFonts w:ascii="Arial" w:eastAsiaTheme="minorEastAsia" w:hAnsi="Arial" w:cs="Arial"/>
          <w:b/>
          <w:sz w:val="24"/>
          <w:szCs w:val="24"/>
          <w:lang w:val="en-US"/>
        </w:rPr>
        <w:t>eportable</w:t>
      </w:r>
    </w:p>
    <w:p w14:paraId="39A54A21" w14:textId="46EA7AEB" w:rsidR="0091476C" w:rsidRPr="0001217E" w:rsidRDefault="0091476C" w:rsidP="00E71DC9">
      <w:pPr>
        <w:spacing w:after="0" w:line="360" w:lineRule="auto"/>
        <w:contextualSpacing/>
        <w:jc w:val="right"/>
        <w:outlineLvl w:val="0"/>
        <w:rPr>
          <w:rFonts w:ascii="Arial" w:eastAsiaTheme="minorEastAsia" w:hAnsi="Arial" w:cs="Arial"/>
          <w:sz w:val="24"/>
          <w:szCs w:val="24"/>
          <w:lang w:val="en-US"/>
        </w:rPr>
      </w:pPr>
      <w:r w:rsidRPr="0001217E">
        <w:rPr>
          <w:rFonts w:ascii="Arial" w:eastAsiaTheme="minorEastAsia" w:hAnsi="Arial" w:cs="Arial"/>
          <w:sz w:val="24"/>
          <w:szCs w:val="24"/>
          <w:lang w:val="en-US"/>
        </w:rPr>
        <w:t xml:space="preserve">Case No: </w:t>
      </w:r>
      <w:r w:rsidR="00814E7B" w:rsidRPr="0001217E">
        <w:rPr>
          <w:rFonts w:ascii="Arial" w:eastAsiaTheme="minorEastAsia" w:hAnsi="Arial" w:cs="Arial"/>
          <w:sz w:val="24"/>
          <w:szCs w:val="24"/>
          <w:lang w:val="en-US"/>
        </w:rPr>
        <w:t>348</w:t>
      </w:r>
      <w:r w:rsidR="00AD3FFC" w:rsidRPr="0001217E">
        <w:rPr>
          <w:rFonts w:ascii="Arial" w:eastAsiaTheme="minorEastAsia" w:hAnsi="Arial" w:cs="Arial"/>
          <w:sz w:val="24"/>
          <w:szCs w:val="24"/>
          <w:lang w:val="en-US"/>
        </w:rPr>
        <w:t>/201</w:t>
      </w:r>
      <w:r w:rsidR="007F6B17" w:rsidRPr="0001217E">
        <w:rPr>
          <w:rFonts w:ascii="Arial" w:eastAsiaTheme="minorEastAsia" w:hAnsi="Arial" w:cs="Arial"/>
          <w:sz w:val="24"/>
          <w:szCs w:val="24"/>
          <w:lang w:val="en-US"/>
        </w:rPr>
        <w:t>9</w:t>
      </w:r>
    </w:p>
    <w:p w14:paraId="15199D45" w14:textId="77777777" w:rsidR="006E1142" w:rsidRPr="0001217E" w:rsidRDefault="006E1142" w:rsidP="00651677">
      <w:pPr>
        <w:spacing w:after="0" w:line="360" w:lineRule="auto"/>
        <w:ind w:right="72"/>
        <w:contextualSpacing/>
        <w:jc w:val="both"/>
        <w:outlineLvl w:val="0"/>
        <w:rPr>
          <w:rFonts w:ascii="Arial" w:eastAsiaTheme="minorEastAsia" w:hAnsi="Arial" w:cs="Arial"/>
          <w:sz w:val="24"/>
          <w:szCs w:val="24"/>
          <w:lang w:val="en-US"/>
        </w:rPr>
      </w:pPr>
      <w:r w:rsidRPr="0001217E">
        <w:rPr>
          <w:rFonts w:ascii="Arial" w:eastAsiaTheme="minorEastAsia" w:hAnsi="Arial" w:cs="Arial"/>
          <w:sz w:val="24"/>
          <w:szCs w:val="24"/>
          <w:lang w:val="en-US"/>
        </w:rPr>
        <w:t>In the matter between:</w:t>
      </w:r>
    </w:p>
    <w:p w14:paraId="12B32C46" w14:textId="77777777" w:rsidR="00814E7B" w:rsidRPr="0001217E" w:rsidRDefault="0016682A" w:rsidP="00814E7B">
      <w:pPr>
        <w:tabs>
          <w:tab w:val="left" w:pos="6720"/>
        </w:tabs>
        <w:spacing w:after="0" w:line="360" w:lineRule="auto"/>
        <w:contextualSpacing/>
        <w:jc w:val="both"/>
        <w:outlineLvl w:val="0"/>
        <w:rPr>
          <w:rFonts w:ascii="Arial" w:eastAsiaTheme="minorEastAsia" w:hAnsi="Arial" w:cs="Arial"/>
          <w:b/>
          <w:sz w:val="24"/>
          <w:szCs w:val="24"/>
          <w:lang w:val="en-US"/>
        </w:rPr>
      </w:pPr>
      <w:r w:rsidRPr="0001217E">
        <w:rPr>
          <w:rFonts w:ascii="Arial" w:eastAsiaTheme="minorEastAsia" w:hAnsi="Arial" w:cs="Arial"/>
          <w:b/>
          <w:sz w:val="24"/>
          <w:szCs w:val="24"/>
          <w:lang w:val="en-US"/>
        </w:rPr>
        <w:t>DIRECTOR OF PUBLIC P</w:t>
      </w:r>
      <w:r w:rsidR="00814E7B" w:rsidRPr="0001217E">
        <w:rPr>
          <w:rFonts w:ascii="Arial" w:eastAsiaTheme="minorEastAsia" w:hAnsi="Arial" w:cs="Arial"/>
          <w:b/>
          <w:sz w:val="24"/>
          <w:szCs w:val="24"/>
          <w:lang w:val="en-US"/>
        </w:rPr>
        <w:t xml:space="preserve">ROSECUTIONS, </w:t>
      </w:r>
    </w:p>
    <w:p w14:paraId="7EB6227D" w14:textId="1C90DE70" w:rsidR="00DC0AFE" w:rsidRPr="0001217E" w:rsidRDefault="00814E7B" w:rsidP="00E71DC9">
      <w:pPr>
        <w:tabs>
          <w:tab w:val="right" w:pos="9072"/>
        </w:tabs>
        <w:spacing w:after="0" w:line="360" w:lineRule="auto"/>
        <w:contextualSpacing/>
        <w:jc w:val="both"/>
        <w:outlineLvl w:val="0"/>
        <w:rPr>
          <w:rFonts w:ascii="Arial" w:eastAsiaTheme="minorEastAsia" w:hAnsi="Arial" w:cs="Arial"/>
          <w:b/>
          <w:sz w:val="24"/>
          <w:szCs w:val="24"/>
          <w:lang w:val="en-US"/>
        </w:rPr>
      </w:pPr>
      <w:r w:rsidRPr="0001217E">
        <w:rPr>
          <w:rFonts w:ascii="Arial" w:eastAsiaTheme="minorEastAsia" w:hAnsi="Arial" w:cs="Arial"/>
          <w:b/>
          <w:sz w:val="24"/>
          <w:szCs w:val="24"/>
          <w:lang w:val="en-US"/>
        </w:rPr>
        <w:t>GAUTENG D</w:t>
      </w:r>
      <w:r w:rsidR="00723CE1">
        <w:rPr>
          <w:rFonts w:ascii="Arial" w:eastAsiaTheme="minorEastAsia" w:hAnsi="Arial" w:cs="Arial"/>
          <w:b/>
          <w:sz w:val="24"/>
          <w:szCs w:val="24"/>
          <w:lang w:val="en-US"/>
        </w:rPr>
        <w:t>IV</w:t>
      </w:r>
      <w:r w:rsidR="00E71DC9">
        <w:rPr>
          <w:rFonts w:ascii="Arial" w:eastAsiaTheme="minorEastAsia" w:hAnsi="Arial" w:cs="Arial"/>
          <w:b/>
          <w:sz w:val="24"/>
          <w:szCs w:val="24"/>
          <w:lang w:val="en-US"/>
        </w:rPr>
        <w:t>ISION, PRETORIA</w:t>
      </w:r>
      <w:r w:rsidR="00E71DC9">
        <w:rPr>
          <w:rFonts w:ascii="Arial" w:eastAsiaTheme="minorEastAsia" w:hAnsi="Arial" w:cs="Arial"/>
          <w:b/>
          <w:sz w:val="24"/>
          <w:szCs w:val="24"/>
          <w:lang w:val="en-US"/>
        </w:rPr>
        <w:tab/>
      </w:r>
      <w:r w:rsidRPr="0001217E">
        <w:rPr>
          <w:rFonts w:ascii="Arial" w:eastAsiaTheme="minorEastAsia" w:hAnsi="Arial" w:cs="Arial"/>
          <w:b/>
          <w:sz w:val="24"/>
          <w:szCs w:val="24"/>
          <w:lang w:val="en-US"/>
        </w:rPr>
        <w:t>APP</w:t>
      </w:r>
      <w:r w:rsidR="00C37E5D">
        <w:rPr>
          <w:rFonts w:ascii="Arial" w:eastAsiaTheme="minorEastAsia" w:hAnsi="Arial" w:cs="Arial"/>
          <w:b/>
          <w:sz w:val="24"/>
          <w:szCs w:val="24"/>
          <w:lang w:val="en-US"/>
        </w:rPr>
        <w:t>LICANT</w:t>
      </w:r>
    </w:p>
    <w:p w14:paraId="2C5603EE" w14:textId="77777777" w:rsidR="0096124E" w:rsidRPr="0001217E" w:rsidRDefault="0096124E" w:rsidP="00E71DC9">
      <w:pPr>
        <w:tabs>
          <w:tab w:val="right" w:pos="9072"/>
        </w:tabs>
        <w:spacing w:after="0" w:line="360" w:lineRule="auto"/>
        <w:contextualSpacing/>
        <w:jc w:val="both"/>
        <w:outlineLvl w:val="0"/>
        <w:rPr>
          <w:rFonts w:ascii="Arial" w:eastAsiaTheme="minorEastAsia" w:hAnsi="Arial" w:cs="Arial"/>
          <w:b/>
          <w:sz w:val="24"/>
          <w:szCs w:val="24"/>
          <w:lang w:val="en-US"/>
        </w:rPr>
      </w:pPr>
    </w:p>
    <w:p w14:paraId="7AE1984D" w14:textId="77777777" w:rsidR="00B61499" w:rsidRPr="000C4E05" w:rsidRDefault="001248D3" w:rsidP="00E71DC9">
      <w:pPr>
        <w:tabs>
          <w:tab w:val="right" w:pos="9072"/>
        </w:tabs>
        <w:spacing w:after="0" w:line="360" w:lineRule="auto"/>
        <w:contextualSpacing/>
        <w:jc w:val="both"/>
        <w:outlineLvl w:val="0"/>
        <w:rPr>
          <w:rFonts w:ascii="Arial" w:eastAsiaTheme="minorEastAsia" w:hAnsi="Arial" w:cs="Arial"/>
          <w:sz w:val="24"/>
          <w:szCs w:val="24"/>
          <w:lang w:val="en-US"/>
        </w:rPr>
      </w:pPr>
      <w:r w:rsidRPr="000C4E05">
        <w:rPr>
          <w:rFonts w:ascii="Arial" w:eastAsiaTheme="minorEastAsia" w:hAnsi="Arial" w:cs="Arial"/>
          <w:sz w:val="24"/>
          <w:szCs w:val="24"/>
          <w:lang w:val="en-US"/>
        </w:rPr>
        <w:t>a</w:t>
      </w:r>
      <w:r w:rsidR="00670A7D" w:rsidRPr="000C4E05">
        <w:rPr>
          <w:rFonts w:ascii="Arial" w:eastAsiaTheme="minorEastAsia" w:hAnsi="Arial" w:cs="Arial"/>
          <w:sz w:val="24"/>
          <w:szCs w:val="24"/>
          <w:lang w:val="en-US"/>
        </w:rPr>
        <w:t>nd</w:t>
      </w:r>
    </w:p>
    <w:p w14:paraId="3B9CAFD1" w14:textId="77777777" w:rsidR="00BE00D8" w:rsidRPr="0001217E" w:rsidRDefault="00BE00D8" w:rsidP="00E71DC9">
      <w:pPr>
        <w:tabs>
          <w:tab w:val="right" w:pos="9072"/>
        </w:tabs>
        <w:spacing w:after="0" w:line="360" w:lineRule="auto"/>
        <w:contextualSpacing/>
        <w:jc w:val="both"/>
        <w:outlineLvl w:val="0"/>
        <w:rPr>
          <w:rFonts w:ascii="Arial" w:eastAsiaTheme="minorEastAsia" w:hAnsi="Arial" w:cs="Arial"/>
          <w:b/>
          <w:sz w:val="24"/>
          <w:szCs w:val="24"/>
          <w:lang w:val="en-US"/>
        </w:rPr>
      </w:pPr>
    </w:p>
    <w:p w14:paraId="0511C9DC" w14:textId="225A461A" w:rsidR="005A7F8B" w:rsidRPr="0001217E" w:rsidRDefault="00814E7B" w:rsidP="00E71DC9">
      <w:pPr>
        <w:tabs>
          <w:tab w:val="right" w:pos="9072"/>
        </w:tabs>
        <w:spacing w:after="0" w:line="360" w:lineRule="auto"/>
        <w:contextualSpacing/>
        <w:jc w:val="both"/>
        <w:outlineLvl w:val="0"/>
        <w:rPr>
          <w:rFonts w:ascii="Arial" w:eastAsiaTheme="minorEastAsia" w:hAnsi="Arial" w:cs="Arial"/>
          <w:b/>
          <w:sz w:val="24"/>
          <w:szCs w:val="24"/>
          <w:lang w:val="en-US"/>
        </w:rPr>
      </w:pPr>
      <w:r w:rsidRPr="0001217E">
        <w:rPr>
          <w:rFonts w:ascii="Arial" w:eastAsiaTheme="minorEastAsia" w:hAnsi="Arial" w:cs="Arial"/>
          <w:b/>
          <w:sz w:val="24"/>
          <w:szCs w:val="24"/>
          <w:lang w:val="en-US"/>
        </w:rPr>
        <w:t>RETHABILE AMOGELANG POOE</w:t>
      </w:r>
      <w:r w:rsidR="00E71DC9">
        <w:rPr>
          <w:rFonts w:ascii="Arial" w:eastAsiaTheme="minorEastAsia" w:hAnsi="Arial" w:cs="Arial"/>
          <w:b/>
          <w:sz w:val="24"/>
          <w:szCs w:val="24"/>
          <w:lang w:val="en-US"/>
        </w:rPr>
        <w:tab/>
      </w:r>
      <w:r w:rsidR="004808D0" w:rsidRPr="0001217E">
        <w:rPr>
          <w:rFonts w:ascii="Arial" w:eastAsiaTheme="minorEastAsia" w:hAnsi="Arial" w:cs="Arial"/>
          <w:b/>
          <w:sz w:val="24"/>
          <w:szCs w:val="24"/>
          <w:lang w:val="en-US"/>
        </w:rPr>
        <w:t>RESPONDENT</w:t>
      </w:r>
    </w:p>
    <w:p w14:paraId="1679A3BD" w14:textId="77777777" w:rsidR="0096124E" w:rsidRPr="0001217E" w:rsidRDefault="0096124E" w:rsidP="00987603">
      <w:pPr>
        <w:spacing w:after="0" w:line="360" w:lineRule="auto"/>
        <w:contextualSpacing/>
        <w:jc w:val="both"/>
        <w:outlineLvl w:val="0"/>
        <w:rPr>
          <w:rFonts w:ascii="Arial" w:eastAsiaTheme="minorEastAsia" w:hAnsi="Arial" w:cs="Arial"/>
          <w:b/>
          <w:sz w:val="24"/>
          <w:szCs w:val="24"/>
          <w:lang w:val="en-US"/>
        </w:rPr>
      </w:pPr>
    </w:p>
    <w:p w14:paraId="538B4095" w14:textId="72601179" w:rsidR="006E1142" w:rsidRPr="0001217E" w:rsidRDefault="00B65CEA" w:rsidP="007025B6">
      <w:pPr>
        <w:spacing w:after="0" w:line="360" w:lineRule="auto"/>
        <w:contextualSpacing/>
        <w:jc w:val="both"/>
        <w:outlineLvl w:val="0"/>
        <w:rPr>
          <w:rFonts w:ascii="Arial" w:hAnsi="Arial" w:cs="Arial"/>
          <w:bCs/>
          <w:sz w:val="24"/>
          <w:szCs w:val="24"/>
        </w:rPr>
      </w:pPr>
      <w:r w:rsidRPr="0001217E">
        <w:rPr>
          <w:rFonts w:ascii="Arial" w:eastAsiaTheme="minorEastAsia" w:hAnsi="Arial" w:cs="Arial"/>
          <w:b/>
          <w:sz w:val="24"/>
          <w:szCs w:val="24"/>
          <w:lang w:val="en-US"/>
        </w:rPr>
        <w:t>Neutral c</w:t>
      </w:r>
      <w:r w:rsidR="006E1142" w:rsidRPr="0001217E">
        <w:rPr>
          <w:rFonts w:ascii="Arial" w:eastAsiaTheme="minorEastAsia" w:hAnsi="Arial" w:cs="Arial"/>
          <w:b/>
          <w:sz w:val="24"/>
          <w:szCs w:val="24"/>
          <w:lang w:val="en-US"/>
        </w:rPr>
        <w:t>itation:</w:t>
      </w:r>
      <w:r w:rsidR="00CC76D5" w:rsidRPr="0001217E">
        <w:rPr>
          <w:rFonts w:ascii="Arial" w:eastAsiaTheme="minorEastAsia" w:hAnsi="Arial" w:cs="Arial"/>
          <w:b/>
          <w:sz w:val="24"/>
          <w:szCs w:val="24"/>
          <w:lang w:val="en-US"/>
        </w:rPr>
        <w:tab/>
      </w:r>
      <w:bookmarkStart w:id="0" w:name="_GoBack"/>
      <w:r w:rsidR="0016682A" w:rsidRPr="0001217E">
        <w:rPr>
          <w:rFonts w:ascii="Arial" w:hAnsi="Arial" w:cs="Arial"/>
          <w:bCs/>
          <w:i/>
          <w:sz w:val="24"/>
          <w:szCs w:val="24"/>
        </w:rPr>
        <w:t xml:space="preserve">Director of Public Prosecutions: </w:t>
      </w:r>
      <w:r w:rsidR="00814E7B" w:rsidRPr="0001217E">
        <w:rPr>
          <w:rFonts w:ascii="Arial" w:hAnsi="Arial" w:cs="Arial"/>
          <w:bCs/>
          <w:i/>
          <w:sz w:val="24"/>
          <w:szCs w:val="24"/>
        </w:rPr>
        <w:t xml:space="preserve">Gauteng </w:t>
      </w:r>
      <w:r w:rsidR="00723CE1">
        <w:rPr>
          <w:rFonts w:ascii="Arial" w:hAnsi="Arial" w:cs="Arial"/>
          <w:bCs/>
          <w:i/>
          <w:sz w:val="24"/>
          <w:szCs w:val="24"/>
        </w:rPr>
        <w:t>D</w:t>
      </w:r>
      <w:r w:rsidR="00814E7B" w:rsidRPr="0001217E">
        <w:rPr>
          <w:rFonts w:ascii="Arial" w:hAnsi="Arial" w:cs="Arial"/>
          <w:bCs/>
          <w:i/>
          <w:sz w:val="24"/>
          <w:szCs w:val="24"/>
        </w:rPr>
        <w:t xml:space="preserve">ivision, Pretoria </w:t>
      </w:r>
      <w:r w:rsidR="0016682A" w:rsidRPr="0001217E">
        <w:rPr>
          <w:rFonts w:ascii="Arial" w:hAnsi="Arial" w:cs="Arial"/>
          <w:bCs/>
          <w:i/>
          <w:sz w:val="24"/>
          <w:szCs w:val="24"/>
        </w:rPr>
        <w:t xml:space="preserve">v </w:t>
      </w:r>
      <w:r w:rsidR="00814E7B" w:rsidRPr="0001217E">
        <w:rPr>
          <w:rFonts w:ascii="Arial" w:hAnsi="Arial" w:cs="Arial"/>
          <w:bCs/>
          <w:i/>
          <w:sz w:val="24"/>
          <w:szCs w:val="24"/>
        </w:rPr>
        <w:t>Pooe</w:t>
      </w:r>
      <w:r w:rsidR="00926F42" w:rsidRPr="0001217E">
        <w:rPr>
          <w:rFonts w:ascii="Arial" w:hAnsi="Arial" w:cs="Arial"/>
          <w:bCs/>
          <w:i/>
          <w:sz w:val="24"/>
          <w:szCs w:val="24"/>
        </w:rPr>
        <w:t xml:space="preserve"> </w:t>
      </w:r>
      <w:r w:rsidR="00926F42" w:rsidRPr="000626CE">
        <w:rPr>
          <w:rFonts w:ascii="Arial" w:hAnsi="Arial" w:cs="Arial"/>
          <w:bCs/>
          <w:sz w:val="24"/>
          <w:szCs w:val="24"/>
        </w:rPr>
        <w:t>(</w:t>
      </w:r>
      <w:r w:rsidR="00814E7B" w:rsidRPr="0001217E">
        <w:rPr>
          <w:rFonts w:ascii="Arial" w:hAnsi="Arial" w:cs="Arial"/>
          <w:bCs/>
          <w:sz w:val="24"/>
          <w:szCs w:val="24"/>
        </w:rPr>
        <w:t>348</w:t>
      </w:r>
      <w:r w:rsidR="0016682A" w:rsidRPr="0001217E">
        <w:rPr>
          <w:rFonts w:ascii="Arial" w:hAnsi="Arial" w:cs="Arial"/>
          <w:bCs/>
          <w:sz w:val="24"/>
          <w:szCs w:val="24"/>
        </w:rPr>
        <w:t>/</w:t>
      </w:r>
      <w:r w:rsidR="00DA4AFA" w:rsidRPr="0001217E">
        <w:rPr>
          <w:rFonts w:ascii="Arial" w:hAnsi="Arial" w:cs="Arial"/>
          <w:bCs/>
          <w:sz w:val="24"/>
          <w:szCs w:val="24"/>
        </w:rPr>
        <w:t>201</w:t>
      </w:r>
      <w:r w:rsidR="00F90AA8" w:rsidRPr="0001217E">
        <w:rPr>
          <w:rFonts w:ascii="Arial" w:hAnsi="Arial" w:cs="Arial"/>
          <w:bCs/>
          <w:sz w:val="24"/>
          <w:szCs w:val="24"/>
        </w:rPr>
        <w:t>9</w:t>
      </w:r>
      <w:r w:rsidR="0016682A" w:rsidRPr="0001217E">
        <w:rPr>
          <w:rFonts w:ascii="Arial" w:hAnsi="Arial" w:cs="Arial"/>
          <w:bCs/>
          <w:sz w:val="24"/>
          <w:szCs w:val="24"/>
        </w:rPr>
        <w:t>) [2</w:t>
      </w:r>
      <w:r w:rsidR="0016682A" w:rsidRPr="00FB50EF">
        <w:rPr>
          <w:rFonts w:ascii="Arial" w:hAnsi="Arial" w:cs="Arial"/>
          <w:bCs/>
          <w:sz w:val="24"/>
          <w:szCs w:val="24"/>
        </w:rPr>
        <w:t>02</w:t>
      </w:r>
      <w:r w:rsidR="00723CE1" w:rsidRPr="00FB50EF">
        <w:rPr>
          <w:rFonts w:ascii="Arial" w:hAnsi="Arial" w:cs="Arial"/>
          <w:bCs/>
          <w:sz w:val="24"/>
          <w:szCs w:val="24"/>
        </w:rPr>
        <w:t>1</w:t>
      </w:r>
      <w:r w:rsidR="00B41BA8" w:rsidRPr="0001217E">
        <w:rPr>
          <w:rFonts w:ascii="Arial" w:hAnsi="Arial" w:cs="Arial"/>
          <w:bCs/>
          <w:sz w:val="24"/>
          <w:szCs w:val="24"/>
        </w:rPr>
        <w:t xml:space="preserve">] ZASCA </w:t>
      </w:r>
      <w:r w:rsidR="000911F0">
        <w:rPr>
          <w:rFonts w:ascii="Arial" w:hAnsi="Arial" w:cs="Arial"/>
          <w:bCs/>
          <w:sz w:val="24"/>
          <w:szCs w:val="24"/>
        </w:rPr>
        <w:t>55</w:t>
      </w:r>
      <w:r w:rsidR="00DA4AFA" w:rsidRPr="000911F0">
        <w:rPr>
          <w:rFonts w:ascii="Arial" w:hAnsi="Arial" w:cs="Arial"/>
          <w:bCs/>
          <w:sz w:val="24"/>
          <w:szCs w:val="24"/>
        </w:rPr>
        <w:t xml:space="preserve"> </w:t>
      </w:r>
      <w:r w:rsidR="00B41BA8" w:rsidRPr="000911F0">
        <w:rPr>
          <w:rFonts w:ascii="Arial" w:hAnsi="Arial" w:cs="Arial"/>
          <w:bCs/>
          <w:sz w:val="24"/>
          <w:szCs w:val="24"/>
        </w:rPr>
        <w:t>(</w:t>
      </w:r>
      <w:r w:rsidR="000911F0">
        <w:rPr>
          <w:rFonts w:ascii="Arial" w:hAnsi="Arial" w:cs="Arial"/>
          <w:bCs/>
          <w:sz w:val="24"/>
          <w:szCs w:val="24"/>
        </w:rPr>
        <w:t>30</w:t>
      </w:r>
      <w:r w:rsidR="00E81640" w:rsidRPr="000911F0">
        <w:rPr>
          <w:rFonts w:ascii="Arial" w:hAnsi="Arial" w:cs="Arial"/>
          <w:bCs/>
          <w:sz w:val="24"/>
          <w:szCs w:val="24"/>
        </w:rPr>
        <w:t xml:space="preserve"> </w:t>
      </w:r>
      <w:r w:rsidR="000B1BD1">
        <w:rPr>
          <w:rFonts w:ascii="Arial" w:hAnsi="Arial" w:cs="Arial"/>
          <w:bCs/>
          <w:sz w:val="24"/>
          <w:szCs w:val="24"/>
        </w:rPr>
        <w:t>April</w:t>
      </w:r>
      <w:r w:rsidR="00BB2883">
        <w:rPr>
          <w:rFonts w:ascii="Arial" w:hAnsi="Arial" w:cs="Arial"/>
          <w:bCs/>
          <w:sz w:val="24"/>
          <w:szCs w:val="24"/>
        </w:rPr>
        <w:t xml:space="preserve"> </w:t>
      </w:r>
      <w:r w:rsidR="00723CE1">
        <w:rPr>
          <w:rFonts w:ascii="Arial" w:hAnsi="Arial" w:cs="Arial"/>
          <w:bCs/>
          <w:sz w:val="24"/>
          <w:szCs w:val="24"/>
        </w:rPr>
        <w:t>2021</w:t>
      </w:r>
      <w:r w:rsidR="00DA4AFA" w:rsidRPr="0001217E">
        <w:rPr>
          <w:rFonts w:ascii="Arial" w:hAnsi="Arial" w:cs="Arial"/>
          <w:bCs/>
          <w:sz w:val="24"/>
          <w:szCs w:val="24"/>
        </w:rPr>
        <w:t>)</w:t>
      </w:r>
      <w:r w:rsidR="009D54D9" w:rsidRPr="0001217E">
        <w:rPr>
          <w:rFonts w:ascii="Arial" w:hAnsi="Arial" w:cs="Arial"/>
          <w:bCs/>
          <w:sz w:val="24"/>
          <w:szCs w:val="24"/>
        </w:rPr>
        <w:t>.</w:t>
      </w:r>
    </w:p>
    <w:bookmarkEnd w:id="0"/>
    <w:p w14:paraId="570E6B53" w14:textId="2548A2DE" w:rsidR="005B30FB" w:rsidRPr="0001217E" w:rsidRDefault="00B65CEA" w:rsidP="007025B6">
      <w:pPr>
        <w:spacing w:line="360" w:lineRule="auto"/>
        <w:jc w:val="both"/>
        <w:rPr>
          <w:rFonts w:ascii="Arial" w:hAnsi="Arial" w:cs="Arial"/>
          <w:sz w:val="24"/>
          <w:szCs w:val="24"/>
          <w:lang w:val="en-US"/>
        </w:rPr>
      </w:pPr>
      <w:r w:rsidRPr="0001217E">
        <w:rPr>
          <w:rFonts w:ascii="Arial" w:hAnsi="Arial" w:cs="Arial"/>
          <w:b/>
          <w:sz w:val="24"/>
          <w:szCs w:val="24"/>
          <w:lang w:val="en-US"/>
        </w:rPr>
        <w:t>Coram</w:t>
      </w:r>
      <w:r w:rsidR="008C17DD" w:rsidRPr="0001217E">
        <w:rPr>
          <w:rFonts w:ascii="Arial" w:hAnsi="Arial" w:cs="Arial"/>
          <w:b/>
          <w:sz w:val="24"/>
          <w:szCs w:val="24"/>
          <w:lang w:val="en-US"/>
        </w:rPr>
        <w:t>:</w:t>
      </w:r>
      <w:r w:rsidR="000626CE">
        <w:rPr>
          <w:rFonts w:ascii="Arial" w:hAnsi="Arial" w:cs="Arial"/>
          <w:b/>
          <w:sz w:val="24"/>
          <w:szCs w:val="24"/>
          <w:lang w:val="en-US"/>
        </w:rPr>
        <w:tab/>
      </w:r>
      <w:r w:rsidR="00723CE1" w:rsidRPr="0001217E">
        <w:rPr>
          <w:rFonts w:ascii="Arial" w:hAnsi="Arial" w:cs="Arial"/>
          <w:sz w:val="24"/>
          <w:szCs w:val="24"/>
          <w:lang w:val="en-US"/>
        </w:rPr>
        <w:t xml:space="preserve">SALDULKER, MBHA AND DLODLO JJA </w:t>
      </w:r>
      <w:r w:rsidR="007025B6">
        <w:rPr>
          <w:rFonts w:ascii="Arial" w:hAnsi="Arial" w:cs="Arial"/>
          <w:sz w:val="24"/>
          <w:szCs w:val="24"/>
          <w:lang w:val="en-US"/>
        </w:rPr>
        <w:t>and</w:t>
      </w:r>
      <w:r w:rsidR="00723CE1" w:rsidRPr="0001217E">
        <w:rPr>
          <w:rFonts w:ascii="Arial" w:hAnsi="Arial" w:cs="Arial"/>
          <w:sz w:val="24"/>
          <w:szCs w:val="24"/>
          <w:lang w:val="en-US"/>
        </w:rPr>
        <w:t xml:space="preserve"> LEDWABA </w:t>
      </w:r>
      <w:r w:rsidR="007025B6">
        <w:rPr>
          <w:rFonts w:ascii="Arial" w:hAnsi="Arial" w:cs="Arial"/>
          <w:sz w:val="24"/>
          <w:szCs w:val="24"/>
          <w:lang w:val="en-US"/>
        </w:rPr>
        <w:t>and</w:t>
      </w:r>
      <w:r w:rsidR="00723CE1" w:rsidRPr="0001217E">
        <w:rPr>
          <w:rFonts w:ascii="Arial" w:hAnsi="Arial" w:cs="Arial"/>
          <w:sz w:val="24"/>
          <w:szCs w:val="24"/>
          <w:lang w:val="en-US"/>
        </w:rPr>
        <w:t xml:space="preserve"> </w:t>
      </w:r>
      <w:r w:rsidR="00723CE1">
        <w:rPr>
          <w:rFonts w:ascii="Arial" w:hAnsi="Arial" w:cs="Arial"/>
          <w:sz w:val="24"/>
          <w:szCs w:val="24"/>
          <w:lang w:val="en-US"/>
        </w:rPr>
        <w:t>MABINDLA-</w:t>
      </w:r>
      <w:r w:rsidR="00723CE1" w:rsidRPr="0001217E">
        <w:rPr>
          <w:rFonts w:ascii="Arial" w:hAnsi="Arial" w:cs="Arial"/>
          <w:sz w:val="24"/>
          <w:szCs w:val="24"/>
          <w:lang w:val="en-US"/>
        </w:rPr>
        <w:t>BOQWANA AJJA</w:t>
      </w:r>
    </w:p>
    <w:p w14:paraId="5F382E9C" w14:textId="0F0CEDD6" w:rsidR="006E1142" w:rsidRPr="0001217E" w:rsidRDefault="006E1142" w:rsidP="00987603">
      <w:pPr>
        <w:spacing w:line="360" w:lineRule="auto"/>
        <w:rPr>
          <w:rFonts w:ascii="Arial" w:hAnsi="Arial" w:cs="Arial"/>
          <w:sz w:val="24"/>
          <w:szCs w:val="24"/>
          <w:lang w:val="en-US"/>
        </w:rPr>
      </w:pPr>
      <w:r w:rsidRPr="0001217E">
        <w:rPr>
          <w:rFonts w:ascii="Arial" w:hAnsi="Arial" w:cs="Arial"/>
          <w:b/>
          <w:sz w:val="24"/>
          <w:szCs w:val="24"/>
          <w:lang w:val="en-US"/>
        </w:rPr>
        <w:t xml:space="preserve">Heard: </w:t>
      </w:r>
      <w:r w:rsidRPr="0001217E">
        <w:rPr>
          <w:rFonts w:ascii="Arial" w:hAnsi="Arial" w:cs="Arial"/>
          <w:b/>
          <w:sz w:val="24"/>
          <w:szCs w:val="24"/>
          <w:lang w:val="en-US"/>
        </w:rPr>
        <w:tab/>
      </w:r>
      <w:r w:rsidR="0011316B">
        <w:rPr>
          <w:rFonts w:ascii="Arial" w:hAnsi="Arial" w:cs="Arial"/>
          <w:sz w:val="24"/>
          <w:szCs w:val="24"/>
          <w:lang w:val="en-US"/>
        </w:rPr>
        <w:t>10</w:t>
      </w:r>
      <w:r w:rsidR="00814E7B" w:rsidRPr="0001217E">
        <w:rPr>
          <w:rFonts w:ascii="Arial" w:hAnsi="Arial" w:cs="Arial"/>
          <w:sz w:val="24"/>
          <w:szCs w:val="24"/>
          <w:lang w:val="en-US"/>
        </w:rPr>
        <w:t xml:space="preserve"> November</w:t>
      </w:r>
      <w:r w:rsidR="0016682A" w:rsidRPr="0001217E">
        <w:rPr>
          <w:rFonts w:ascii="Arial" w:hAnsi="Arial" w:cs="Arial"/>
          <w:sz w:val="24"/>
          <w:szCs w:val="24"/>
          <w:lang w:val="en-US"/>
        </w:rPr>
        <w:t xml:space="preserve"> 2020</w:t>
      </w:r>
      <w:r w:rsidR="003828D0">
        <w:rPr>
          <w:rFonts w:ascii="Arial" w:hAnsi="Arial" w:cs="Arial"/>
          <w:sz w:val="24"/>
          <w:szCs w:val="24"/>
          <w:lang w:val="en-US"/>
        </w:rPr>
        <w:t xml:space="preserve"> and 24 November 2020</w:t>
      </w:r>
    </w:p>
    <w:p w14:paraId="09610040" w14:textId="637F4557" w:rsidR="0050718C" w:rsidRPr="0001217E" w:rsidRDefault="006E1142" w:rsidP="00D44002">
      <w:pPr>
        <w:spacing w:line="360" w:lineRule="auto"/>
        <w:jc w:val="both"/>
        <w:rPr>
          <w:rFonts w:ascii="Arial" w:hAnsi="Arial" w:cs="Arial"/>
          <w:sz w:val="24"/>
          <w:szCs w:val="24"/>
          <w:lang w:val="en-US"/>
        </w:rPr>
      </w:pPr>
      <w:r w:rsidRPr="0001217E">
        <w:rPr>
          <w:rFonts w:ascii="Arial" w:hAnsi="Arial" w:cs="Arial"/>
          <w:b/>
          <w:sz w:val="24"/>
          <w:szCs w:val="24"/>
          <w:lang w:val="en-US"/>
        </w:rPr>
        <w:t xml:space="preserve">Delivered: </w:t>
      </w:r>
      <w:r w:rsidR="0091476C" w:rsidRPr="0001217E">
        <w:rPr>
          <w:rFonts w:ascii="Arial" w:hAnsi="Arial" w:cs="Arial"/>
          <w:b/>
          <w:sz w:val="24"/>
          <w:szCs w:val="24"/>
          <w:lang w:val="en-US"/>
        </w:rPr>
        <w:tab/>
      </w:r>
      <w:r w:rsidR="00ED33B1" w:rsidRPr="00ED33B1">
        <w:rPr>
          <w:rFonts w:ascii="Arial" w:hAnsi="Arial" w:cs="Arial"/>
          <w:sz w:val="24"/>
          <w:szCs w:val="24"/>
          <w:lang w:val="en-US"/>
        </w:rPr>
        <w:t>This judgment was handed down electronically by circulation</w:t>
      </w:r>
      <w:r w:rsidR="00ED33B1">
        <w:rPr>
          <w:rFonts w:ascii="Arial" w:hAnsi="Arial" w:cs="Arial"/>
          <w:sz w:val="24"/>
          <w:szCs w:val="24"/>
          <w:lang w:val="en-US"/>
        </w:rPr>
        <w:t xml:space="preserve"> </w:t>
      </w:r>
      <w:r w:rsidR="00ED33B1" w:rsidRPr="00ED33B1">
        <w:rPr>
          <w:rFonts w:ascii="Arial" w:hAnsi="Arial" w:cs="Arial"/>
          <w:sz w:val="24"/>
          <w:szCs w:val="24"/>
          <w:lang w:val="en-US"/>
        </w:rPr>
        <w:t>to the parties’ legal representatives by email, publication on the Supreme</w:t>
      </w:r>
      <w:r w:rsidR="00ED33B1">
        <w:rPr>
          <w:rFonts w:ascii="Arial" w:hAnsi="Arial" w:cs="Arial"/>
          <w:sz w:val="24"/>
          <w:szCs w:val="24"/>
          <w:lang w:val="en-US"/>
        </w:rPr>
        <w:t xml:space="preserve"> </w:t>
      </w:r>
      <w:r w:rsidR="00ED33B1" w:rsidRPr="00ED33B1">
        <w:rPr>
          <w:rFonts w:ascii="Arial" w:hAnsi="Arial" w:cs="Arial"/>
          <w:sz w:val="24"/>
          <w:szCs w:val="24"/>
          <w:lang w:val="en-US"/>
        </w:rPr>
        <w:t xml:space="preserve">Court of Appeal website and release to SAFLII. The date and time for hand-down is deemed to be </w:t>
      </w:r>
      <w:r w:rsidR="000911F0" w:rsidRPr="000911F0">
        <w:rPr>
          <w:rFonts w:ascii="Arial" w:hAnsi="Arial" w:cs="Arial"/>
          <w:sz w:val="24"/>
          <w:szCs w:val="24"/>
          <w:lang w:val="en-US"/>
        </w:rPr>
        <w:t>10</w:t>
      </w:r>
      <w:r w:rsidR="00ED33B1" w:rsidRPr="000911F0">
        <w:rPr>
          <w:rFonts w:ascii="Arial" w:hAnsi="Arial" w:cs="Arial"/>
          <w:sz w:val="24"/>
          <w:szCs w:val="24"/>
          <w:lang w:val="en-US"/>
        </w:rPr>
        <w:t>h</w:t>
      </w:r>
      <w:r w:rsidR="000911F0" w:rsidRPr="000911F0">
        <w:rPr>
          <w:rFonts w:ascii="Arial" w:hAnsi="Arial" w:cs="Arial"/>
          <w:sz w:val="24"/>
          <w:szCs w:val="24"/>
          <w:lang w:val="en-US"/>
        </w:rPr>
        <w:t>00</w:t>
      </w:r>
      <w:r w:rsidR="000911F0">
        <w:rPr>
          <w:rFonts w:ascii="Arial" w:hAnsi="Arial" w:cs="Arial"/>
          <w:sz w:val="24"/>
          <w:szCs w:val="24"/>
          <w:lang w:val="en-US"/>
        </w:rPr>
        <w:t xml:space="preserve"> on </w:t>
      </w:r>
      <w:r w:rsidR="000911F0" w:rsidRPr="000911F0">
        <w:rPr>
          <w:rFonts w:ascii="Arial" w:hAnsi="Arial" w:cs="Arial"/>
          <w:sz w:val="24"/>
          <w:szCs w:val="24"/>
          <w:lang w:val="en-US"/>
        </w:rPr>
        <w:t>30 April</w:t>
      </w:r>
      <w:r w:rsidR="00ED33B1" w:rsidRPr="000911F0">
        <w:rPr>
          <w:rFonts w:ascii="Arial" w:hAnsi="Arial" w:cs="Arial"/>
          <w:sz w:val="24"/>
          <w:szCs w:val="24"/>
          <w:lang w:val="en-US"/>
        </w:rPr>
        <w:t xml:space="preserve"> 2021.</w:t>
      </w:r>
    </w:p>
    <w:p w14:paraId="6953481A" w14:textId="2DE58001" w:rsidR="00814E7B" w:rsidRDefault="006E1142" w:rsidP="003B17C9">
      <w:pPr>
        <w:spacing w:after="0" w:line="360" w:lineRule="auto"/>
        <w:jc w:val="both"/>
        <w:rPr>
          <w:rFonts w:ascii="Arial" w:eastAsia="Calibri" w:hAnsi="Arial" w:cs="Arial"/>
          <w:sz w:val="24"/>
          <w:szCs w:val="24"/>
        </w:rPr>
      </w:pPr>
      <w:r w:rsidRPr="0001217E">
        <w:rPr>
          <w:rFonts w:ascii="Arial" w:eastAsiaTheme="minorEastAsia" w:hAnsi="Arial" w:cs="Arial"/>
          <w:b/>
          <w:sz w:val="24"/>
          <w:szCs w:val="24"/>
          <w:lang w:val="en-US"/>
        </w:rPr>
        <w:t>Summary:</w:t>
      </w:r>
      <w:r w:rsidR="00DC0AFE" w:rsidRPr="0001217E">
        <w:rPr>
          <w:rFonts w:ascii="Arial" w:eastAsiaTheme="minorEastAsia" w:hAnsi="Arial" w:cs="Arial"/>
          <w:b/>
          <w:sz w:val="24"/>
          <w:szCs w:val="24"/>
          <w:lang w:val="en-US"/>
        </w:rPr>
        <w:t xml:space="preserve"> </w:t>
      </w:r>
      <w:r w:rsidR="00F86AC3" w:rsidRPr="00B61C4E">
        <w:rPr>
          <w:rFonts w:ascii="Arial" w:eastAsia="Calibri" w:hAnsi="Arial" w:cs="Arial"/>
          <w:bCs/>
          <w:sz w:val="24"/>
          <w:szCs w:val="24"/>
        </w:rPr>
        <w:t xml:space="preserve">Criminal law and </w:t>
      </w:r>
      <w:r w:rsidR="00ED33B1" w:rsidRPr="00B61C4E">
        <w:rPr>
          <w:rFonts w:ascii="Arial" w:eastAsia="Calibri" w:hAnsi="Arial" w:cs="Arial"/>
          <w:bCs/>
          <w:sz w:val="24"/>
          <w:szCs w:val="24"/>
        </w:rPr>
        <w:t>procedure –</w:t>
      </w:r>
      <w:r w:rsidR="00814E7B" w:rsidRPr="0001217E">
        <w:rPr>
          <w:rFonts w:ascii="Arial" w:eastAsia="Calibri" w:hAnsi="Arial" w:cs="Arial"/>
          <w:b/>
          <w:sz w:val="24"/>
          <w:szCs w:val="24"/>
        </w:rPr>
        <w:t xml:space="preserve"> </w:t>
      </w:r>
      <w:r w:rsidR="00814E7B" w:rsidRPr="00ED33B1">
        <w:rPr>
          <w:rFonts w:ascii="Arial" w:eastAsia="Calibri" w:hAnsi="Arial" w:cs="Arial"/>
          <w:sz w:val="24"/>
          <w:szCs w:val="24"/>
        </w:rPr>
        <w:t xml:space="preserve">application </w:t>
      </w:r>
      <w:r w:rsidR="00F86AC3" w:rsidRPr="00A61039">
        <w:rPr>
          <w:rFonts w:ascii="Arial" w:eastAsia="Calibri" w:hAnsi="Arial" w:cs="Arial"/>
          <w:sz w:val="24"/>
          <w:szCs w:val="24"/>
        </w:rPr>
        <w:t xml:space="preserve">for leave to appeal </w:t>
      </w:r>
      <w:r w:rsidR="00D92BC1" w:rsidRPr="00731DDF">
        <w:rPr>
          <w:rFonts w:ascii="Arial" w:eastAsia="Calibri" w:hAnsi="Arial" w:cs="Arial"/>
          <w:sz w:val="24"/>
          <w:szCs w:val="24"/>
        </w:rPr>
        <w:t>by</w:t>
      </w:r>
      <w:r w:rsidR="00E60C86">
        <w:rPr>
          <w:rFonts w:ascii="Arial" w:eastAsia="Calibri" w:hAnsi="Arial" w:cs="Arial"/>
          <w:sz w:val="24"/>
          <w:szCs w:val="24"/>
        </w:rPr>
        <w:t xml:space="preserve"> </w:t>
      </w:r>
      <w:r w:rsidR="00476DBC">
        <w:rPr>
          <w:rFonts w:ascii="Arial" w:eastAsia="Calibri" w:hAnsi="Arial" w:cs="Arial"/>
          <w:sz w:val="24"/>
          <w:szCs w:val="24"/>
        </w:rPr>
        <w:t xml:space="preserve">the </w:t>
      </w:r>
      <w:r w:rsidR="00D92BC1" w:rsidRPr="00731DDF">
        <w:rPr>
          <w:rFonts w:ascii="Arial" w:eastAsia="Calibri" w:hAnsi="Arial" w:cs="Arial"/>
          <w:sz w:val="24"/>
          <w:szCs w:val="24"/>
        </w:rPr>
        <w:t xml:space="preserve">State in terms </w:t>
      </w:r>
      <w:r w:rsidR="00ED33B1" w:rsidRPr="00ED33B1">
        <w:rPr>
          <w:rFonts w:ascii="Arial" w:eastAsia="Calibri" w:hAnsi="Arial" w:cs="Arial"/>
          <w:sz w:val="24"/>
          <w:szCs w:val="24"/>
        </w:rPr>
        <w:t>of s</w:t>
      </w:r>
      <w:r w:rsidR="00814E7B" w:rsidRPr="00ED33B1">
        <w:rPr>
          <w:rFonts w:ascii="Arial" w:eastAsia="Calibri" w:hAnsi="Arial" w:cs="Arial"/>
          <w:sz w:val="24"/>
          <w:szCs w:val="24"/>
        </w:rPr>
        <w:t xml:space="preserve"> 17(2)</w:t>
      </w:r>
      <w:r w:rsidR="00814E7B" w:rsidRPr="00B85098">
        <w:rPr>
          <w:rFonts w:ascii="Arial" w:eastAsia="Calibri" w:hAnsi="Arial" w:cs="Arial"/>
          <w:i/>
          <w:sz w:val="24"/>
          <w:szCs w:val="24"/>
        </w:rPr>
        <w:t>(</w:t>
      </w:r>
      <w:r w:rsidR="00D92BC1" w:rsidRPr="00ED33B1">
        <w:rPr>
          <w:rFonts w:ascii="Arial" w:eastAsia="Calibri" w:hAnsi="Arial" w:cs="Arial"/>
          <w:i/>
          <w:iCs/>
          <w:sz w:val="24"/>
          <w:szCs w:val="24"/>
        </w:rPr>
        <w:t>b</w:t>
      </w:r>
      <w:r w:rsidR="00814E7B" w:rsidRPr="00B85098">
        <w:rPr>
          <w:rFonts w:ascii="Arial" w:eastAsia="Calibri" w:hAnsi="Arial" w:cs="Arial"/>
          <w:i/>
          <w:sz w:val="24"/>
          <w:szCs w:val="24"/>
        </w:rPr>
        <w:t xml:space="preserve">) </w:t>
      </w:r>
      <w:r w:rsidR="00ED33B1" w:rsidRPr="00ED33B1">
        <w:rPr>
          <w:rFonts w:ascii="Arial" w:eastAsia="Calibri" w:hAnsi="Arial" w:cs="Arial"/>
          <w:sz w:val="24"/>
          <w:szCs w:val="24"/>
        </w:rPr>
        <w:t>of the</w:t>
      </w:r>
      <w:r w:rsidR="00D92BC1" w:rsidRPr="00ED33B1">
        <w:rPr>
          <w:rFonts w:ascii="Arial" w:eastAsia="Calibri" w:hAnsi="Arial" w:cs="Arial"/>
          <w:sz w:val="24"/>
          <w:szCs w:val="24"/>
        </w:rPr>
        <w:t xml:space="preserve"> Superior Courts </w:t>
      </w:r>
      <w:r w:rsidR="00814E7B" w:rsidRPr="00ED33B1">
        <w:rPr>
          <w:rFonts w:ascii="Arial" w:eastAsia="Calibri" w:hAnsi="Arial" w:cs="Arial"/>
          <w:sz w:val="24"/>
          <w:szCs w:val="24"/>
        </w:rPr>
        <w:t xml:space="preserve">Act 10 of 2013 </w:t>
      </w:r>
      <w:r w:rsidR="00D92BC1" w:rsidRPr="00ED33B1">
        <w:rPr>
          <w:rFonts w:ascii="Arial" w:eastAsia="Calibri" w:hAnsi="Arial" w:cs="Arial"/>
          <w:sz w:val="24"/>
          <w:szCs w:val="24"/>
        </w:rPr>
        <w:t xml:space="preserve">against the refusal by </w:t>
      </w:r>
      <w:r w:rsidR="00476DBC">
        <w:rPr>
          <w:rFonts w:ascii="Arial" w:eastAsia="Calibri" w:hAnsi="Arial" w:cs="Arial"/>
          <w:sz w:val="24"/>
          <w:szCs w:val="24"/>
        </w:rPr>
        <w:t xml:space="preserve">the </w:t>
      </w:r>
      <w:r w:rsidR="00D92BC1" w:rsidRPr="00ED33B1">
        <w:rPr>
          <w:rFonts w:ascii="Arial" w:eastAsia="Calibri" w:hAnsi="Arial" w:cs="Arial"/>
          <w:sz w:val="24"/>
          <w:szCs w:val="24"/>
        </w:rPr>
        <w:t>trial court to reserve questions of law in terms of s</w:t>
      </w:r>
      <w:r w:rsidR="001F394A" w:rsidRPr="00ED33B1">
        <w:rPr>
          <w:rFonts w:ascii="Arial" w:eastAsia="Calibri" w:hAnsi="Arial" w:cs="Arial"/>
          <w:sz w:val="24"/>
          <w:szCs w:val="24"/>
        </w:rPr>
        <w:t xml:space="preserve"> </w:t>
      </w:r>
      <w:r w:rsidR="00D92BC1" w:rsidRPr="00ED33B1">
        <w:rPr>
          <w:rFonts w:ascii="Arial" w:eastAsia="Calibri" w:hAnsi="Arial" w:cs="Arial"/>
          <w:sz w:val="24"/>
          <w:szCs w:val="24"/>
        </w:rPr>
        <w:t>319 of the Criminal Procedure Act 51 of 1977</w:t>
      </w:r>
      <w:r w:rsidR="00ED33B1">
        <w:rPr>
          <w:rFonts w:ascii="Arial" w:eastAsia="Calibri" w:hAnsi="Arial" w:cs="Arial"/>
          <w:sz w:val="24"/>
          <w:szCs w:val="24"/>
        </w:rPr>
        <w:t xml:space="preserve"> </w:t>
      </w:r>
      <w:r w:rsidR="00ED33B1" w:rsidRPr="00DD6E5F">
        <w:rPr>
          <w:rFonts w:ascii="Arial" w:eastAsia="Calibri" w:hAnsi="Arial" w:cs="Arial"/>
          <w:sz w:val="24"/>
          <w:szCs w:val="24"/>
        </w:rPr>
        <w:t>–</w:t>
      </w:r>
      <w:r w:rsidR="00ED33B1">
        <w:rPr>
          <w:rFonts w:ascii="Arial" w:eastAsia="Calibri" w:hAnsi="Arial" w:cs="Arial"/>
          <w:b/>
          <w:sz w:val="24"/>
          <w:szCs w:val="24"/>
        </w:rPr>
        <w:t xml:space="preserve"> </w:t>
      </w:r>
      <w:r w:rsidR="00D92BC1" w:rsidRPr="00ED33B1">
        <w:rPr>
          <w:rFonts w:ascii="Arial" w:eastAsia="Calibri" w:hAnsi="Arial" w:cs="Arial"/>
          <w:sz w:val="24"/>
          <w:szCs w:val="24"/>
        </w:rPr>
        <w:t>whether correct procedure followed</w:t>
      </w:r>
      <w:r w:rsidR="00ED33B1" w:rsidRPr="00ED33B1">
        <w:rPr>
          <w:rFonts w:ascii="Arial" w:eastAsia="Calibri" w:hAnsi="Arial" w:cs="Arial"/>
          <w:sz w:val="24"/>
          <w:szCs w:val="24"/>
        </w:rPr>
        <w:t xml:space="preserve"> </w:t>
      </w:r>
      <w:r w:rsidR="00ED33B1" w:rsidRPr="00D44002">
        <w:rPr>
          <w:rFonts w:ascii="Arial" w:eastAsia="Calibri" w:hAnsi="Arial" w:cs="Arial"/>
          <w:sz w:val="24"/>
          <w:szCs w:val="24"/>
        </w:rPr>
        <w:t>–</w:t>
      </w:r>
      <w:r w:rsidR="00ED33B1" w:rsidRPr="00ED33B1">
        <w:rPr>
          <w:rFonts w:ascii="Arial" w:eastAsia="Calibri" w:hAnsi="Arial" w:cs="Arial"/>
          <w:sz w:val="24"/>
          <w:szCs w:val="24"/>
        </w:rPr>
        <w:t xml:space="preserve"> whether questions</w:t>
      </w:r>
      <w:r w:rsidR="00D92BC1" w:rsidRPr="00ED33B1">
        <w:rPr>
          <w:rFonts w:ascii="Arial" w:eastAsia="Calibri" w:hAnsi="Arial" w:cs="Arial"/>
          <w:sz w:val="24"/>
          <w:szCs w:val="24"/>
        </w:rPr>
        <w:t xml:space="preserve"> of law properly reserved </w:t>
      </w:r>
      <w:r w:rsidR="00ED33B1" w:rsidRPr="00ED33B1">
        <w:rPr>
          <w:rFonts w:ascii="Arial" w:eastAsia="Calibri" w:hAnsi="Arial" w:cs="Arial"/>
          <w:sz w:val="24"/>
          <w:szCs w:val="24"/>
        </w:rPr>
        <w:t>where facts</w:t>
      </w:r>
      <w:r w:rsidR="00F86AC3" w:rsidRPr="00ED33B1">
        <w:rPr>
          <w:rFonts w:ascii="Arial" w:eastAsia="Calibri" w:hAnsi="Arial" w:cs="Arial"/>
          <w:sz w:val="24"/>
          <w:szCs w:val="24"/>
        </w:rPr>
        <w:t xml:space="preserve"> </w:t>
      </w:r>
      <w:r w:rsidR="00D92BC1" w:rsidRPr="00ED33B1">
        <w:rPr>
          <w:rFonts w:ascii="Arial" w:eastAsia="Calibri" w:hAnsi="Arial" w:cs="Arial"/>
          <w:sz w:val="24"/>
          <w:szCs w:val="24"/>
        </w:rPr>
        <w:t>not fully set out by the</w:t>
      </w:r>
      <w:r w:rsidR="00D92BC1">
        <w:rPr>
          <w:rFonts w:ascii="Arial" w:eastAsia="Calibri" w:hAnsi="Arial" w:cs="Arial"/>
          <w:sz w:val="24"/>
          <w:szCs w:val="24"/>
        </w:rPr>
        <w:t xml:space="preserve"> State</w:t>
      </w:r>
      <w:r w:rsidR="00ED33B1">
        <w:rPr>
          <w:rFonts w:ascii="Arial" w:eastAsia="Calibri" w:hAnsi="Arial" w:cs="Arial"/>
          <w:sz w:val="24"/>
          <w:szCs w:val="24"/>
        </w:rPr>
        <w:t xml:space="preserve"> </w:t>
      </w:r>
      <w:r w:rsidR="00ED33B1" w:rsidRPr="00B85098">
        <w:rPr>
          <w:rFonts w:ascii="Arial" w:eastAsia="Calibri" w:hAnsi="Arial" w:cs="Arial"/>
          <w:bCs/>
          <w:sz w:val="24"/>
          <w:szCs w:val="24"/>
        </w:rPr>
        <w:t>–</w:t>
      </w:r>
      <w:r w:rsidR="00ED33B1">
        <w:rPr>
          <w:rFonts w:ascii="Arial" w:eastAsia="Calibri" w:hAnsi="Arial" w:cs="Arial"/>
          <w:b/>
          <w:sz w:val="24"/>
          <w:szCs w:val="24"/>
        </w:rPr>
        <w:t xml:space="preserve"> </w:t>
      </w:r>
      <w:r w:rsidR="00A61039" w:rsidRPr="00B85098">
        <w:rPr>
          <w:rFonts w:ascii="Arial" w:eastAsia="Calibri" w:hAnsi="Arial" w:cs="Arial"/>
          <w:bCs/>
          <w:sz w:val="24"/>
          <w:szCs w:val="24"/>
        </w:rPr>
        <w:t>a</w:t>
      </w:r>
      <w:r w:rsidR="00D92BC1">
        <w:rPr>
          <w:rFonts w:ascii="Arial" w:eastAsia="Calibri" w:hAnsi="Arial" w:cs="Arial"/>
          <w:sz w:val="24"/>
          <w:szCs w:val="24"/>
        </w:rPr>
        <w:t>pplication dismissed</w:t>
      </w:r>
      <w:r w:rsidR="003828D0">
        <w:rPr>
          <w:rFonts w:ascii="Arial" w:eastAsia="Calibri" w:hAnsi="Arial" w:cs="Arial"/>
          <w:sz w:val="24"/>
          <w:szCs w:val="24"/>
        </w:rPr>
        <w:t>.</w:t>
      </w:r>
    </w:p>
    <w:p w14:paraId="57763062" w14:textId="77777777" w:rsidR="001B7623" w:rsidRDefault="001B7623" w:rsidP="003B17C9">
      <w:pPr>
        <w:spacing w:after="0" w:line="360" w:lineRule="auto"/>
        <w:jc w:val="both"/>
        <w:rPr>
          <w:rFonts w:ascii="Arial" w:eastAsia="Calibri" w:hAnsi="Arial" w:cs="Arial"/>
          <w:sz w:val="24"/>
          <w:szCs w:val="24"/>
        </w:rPr>
      </w:pPr>
    </w:p>
    <w:p w14:paraId="1942B419" w14:textId="77777777" w:rsidR="00731DDF" w:rsidRPr="0001217E" w:rsidRDefault="00731DDF" w:rsidP="00731DDF">
      <w:pPr>
        <w:pStyle w:val="ListParagraph"/>
        <w:spacing w:after="0" w:line="360" w:lineRule="auto"/>
        <w:ind w:left="0"/>
        <w:jc w:val="both"/>
        <w:rPr>
          <w:rFonts w:ascii="Arial" w:eastAsiaTheme="minorEastAsia" w:hAnsi="Arial" w:cs="Arial"/>
          <w:sz w:val="24"/>
          <w:szCs w:val="24"/>
          <w:lang w:val="en-US"/>
        </w:rPr>
      </w:pPr>
      <w:r w:rsidRPr="0001217E">
        <w:rPr>
          <w:rFonts w:ascii="Arial" w:eastAsiaTheme="minorEastAsia" w:hAnsi="Arial" w:cs="Arial"/>
          <w:sz w:val="24"/>
          <w:szCs w:val="24"/>
          <w:lang w:val="en-US"/>
        </w:rPr>
        <w:lastRenderedPageBreak/>
        <w:t>___________________________________________________________________</w:t>
      </w:r>
    </w:p>
    <w:p w14:paraId="2F03F50E" w14:textId="77777777" w:rsidR="00731DDF" w:rsidRPr="0001217E" w:rsidRDefault="00731DDF" w:rsidP="00731DDF">
      <w:pPr>
        <w:spacing w:after="0" w:line="360" w:lineRule="auto"/>
        <w:jc w:val="center"/>
        <w:rPr>
          <w:rFonts w:ascii="Arial" w:hAnsi="Arial" w:cs="Arial"/>
          <w:b/>
          <w:sz w:val="24"/>
          <w:szCs w:val="24"/>
        </w:rPr>
      </w:pPr>
    </w:p>
    <w:p w14:paraId="45DCE8FC" w14:textId="673CF5DC" w:rsidR="00731DDF" w:rsidRPr="0001217E" w:rsidRDefault="00731DDF" w:rsidP="00731DDF">
      <w:pPr>
        <w:spacing w:after="0" w:line="360" w:lineRule="auto"/>
        <w:jc w:val="center"/>
        <w:rPr>
          <w:rFonts w:ascii="Arial" w:hAnsi="Arial" w:cs="Arial"/>
          <w:b/>
          <w:sz w:val="24"/>
          <w:szCs w:val="24"/>
        </w:rPr>
      </w:pPr>
      <w:r>
        <w:rPr>
          <w:rFonts w:ascii="Arial" w:hAnsi="Arial" w:cs="Arial"/>
          <w:b/>
          <w:sz w:val="24"/>
          <w:szCs w:val="24"/>
        </w:rPr>
        <w:t>ORDER</w:t>
      </w:r>
    </w:p>
    <w:p w14:paraId="324C13E6" w14:textId="27BA410B" w:rsidR="00AF107B" w:rsidRDefault="00731DDF" w:rsidP="00B0446D">
      <w:pPr>
        <w:spacing w:after="0" w:line="360" w:lineRule="auto"/>
        <w:jc w:val="both"/>
        <w:rPr>
          <w:rFonts w:ascii="Arial" w:eastAsiaTheme="minorEastAsia" w:hAnsi="Arial" w:cs="Arial"/>
          <w:b/>
          <w:sz w:val="24"/>
          <w:szCs w:val="24"/>
          <w:lang w:val="en-US"/>
        </w:rPr>
      </w:pPr>
      <w:r w:rsidRPr="0001217E">
        <w:rPr>
          <w:rFonts w:ascii="Arial" w:eastAsiaTheme="minorEastAsia" w:hAnsi="Arial" w:cs="Arial"/>
          <w:sz w:val="24"/>
          <w:szCs w:val="24"/>
          <w:lang w:val="en-US"/>
        </w:rPr>
        <w:t>___________________________________________________________________</w:t>
      </w:r>
    </w:p>
    <w:p w14:paraId="24EE1FF1" w14:textId="2F5E0622" w:rsidR="000E290D" w:rsidRPr="00381C50" w:rsidRDefault="00381C50" w:rsidP="004F3EF6">
      <w:pPr>
        <w:spacing w:before="120" w:after="0" w:line="360" w:lineRule="auto"/>
        <w:jc w:val="both"/>
        <w:rPr>
          <w:rFonts w:ascii="Arial" w:eastAsiaTheme="minorEastAsia" w:hAnsi="Arial" w:cs="Arial"/>
          <w:b/>
          <w:sz w:val="24"/>
          <w:szCs w:val="24"/>
          <w:lang w:val="en-US"/>
        </w:rPr>
      </w:pPr>
      <w:r w:rsidRPr="00381C50">
        <w:rPr>
          <w:rFonts w:ascii="Arial" w:eastAsiaTheme="minorEastAsia" w:hAnsi="Arial" w:cs="Arial"/>
          <w:b/>
          <w:sz w:val="24"/>
          <w:szCs w:val="24"/>
          <w:lang w:val="en-US"/>
        </w:rPr>
        <w:t xml:space="preserve">On appeal from: </w:t>
      </w:r>
      <w:r w:rsidRPr="00381C50">
        <w:rPr>
          <w:rFonts w:ascii="Arial" w:hAnsi="Arial" w:cs="Arial"/>
          <w:sz w:val="24"/>
          <w:szCs w:val="24"/>
        </w:rPr>
        <w:t>Gauteng Division of the High Court, Pretoria</w:t>
      </w:r>
      <w:r w:rsidRPr="00381C50">
        <w:rPr>
          <w:rFonts w:ascii="Arial" w:eastAsiaTheme="minorEastAsia" w:hAnsi="Arial" w:cs="Arial"/>
          <w:sz w:val="24"/>
          <w:szCs w:val="24"/>
          <w:lang w:val="en-US"/>
        </w:rPr>
        <w:t xml:space="preserve"> (Hattingh AJ sitting as court of first instance):</w:t>
      </w:r>
      <w:r w:rsidRPr="00381C50">
        <w:rPr>
          <w:rFonts w:ascii="Arial" w:hAnsi="Arial" w:cs="Arial"/>
          <w:sz w:val="24"/>
          <w:szCs w:val="24"/>
        </w:rPr>
        <w:t xml:space="preserve"> </w:t>
      </w:r>
    </w:p>
    <w:p w14:paraId="3A0124A2" w14:textId="451E169A" w:rsidR="00862308" w:rsidRPr="00862308" w:rsidRDefault="00926302" w:rsidP="00B0446D">
      <w:pPr>
        <w:spacing w:before="120" w:after="0" w:line="360" w:lineRule="auto"/>
        <w:jc w:val="both"/>
        <w:rPr>
          <w:lang w:val="en-US"/>
        </w:rPr>
      </w:pPr>
      <w:r w:rsidRPr="004F3EF6">
        <w:rPr>
          <w:rFonts w:ascii="Arial" w:eastAsiaTheme="minorEastAsia" w:hAnsi="Arial" w:cs="Arial"/>
          <w:sz w:val="24"/>
          <w:szCs w:val="24"/>
          <w:lang w:val="en-US"/>
        </w:rPr>
        <w:t>The application for leave to appeal is dism</w:t>
      </w:r>
      <w:r w:rsidR="00E450B9" w:rsidRPr="004F3EF6">
        <w:rPr>
          <w:rFonts w:ascii="Arial" w:eastAsiaTheme="minorEastAsia" w:hAnsi="Arial" w:cs="Arial"/>
          <w:sz w:val="24"/>
          <w:szCs w:val="24"/>
          <w:lang w:val="en-US"/>
        </w:rPr>
        <w:t>issed.</w:t>
      </w:r>
    </w:p>
    <w:p w14:paraId="58782F01" w14:textId="77777777" w:rsidR="0091476C" w:rsidRPr="0001217E" w:rsidRDefault="006E3019" w:rsidP="00651677">
      <w:pPr>
        <w:pStyle w:val="ListParagraph"/>
        <w:spacing w:after="0" w:line="360" w:lineRule="auto"/>
        <w:ind w:left="0"/>
        <w:jc w:val="both"/>
        <w:rPr>
          <w:rFonts w:ascii="Arial" w:eastAsiaTheme="minorEastAsia" w:hAnsi="Arial" w:cs="Arial"/>
          <w:sz w:val="24"/>
          <w:szCs w:val="24"/>
          <w:lang w:val="en-US"/>
        </w:rPr>
      </w:pPr>
      <w:r w:rsidRPr="0001217E">
        <w:rPr>
          <w:rFonts w:ascii="Arial" w:eastAsiaTheme="minorEastAsia" w:hAnsi="Arial" w:cs="Arial"/>
          <w:sz w:val="24"/>
          <w:szCs w:val="24"/>
          <w:lang w:val="en-US"/>
        </w:rPr>
        <w:t>____________</w:t>
      </w:r>
      <w:r w:rsidR="0091476C" w:rsidRPr="0001217E">
        <w:rPr>
          <w:rFonts w:ascii="Arial" w:eastAsiaTheme="minorEastAsia" w:hAnsi="Arial" w:cs="Arial"/>
          <w:sz w:val="24"/>
          <w:szCs w:val="24"/>
          <w:lang w:val="en-US"/>
        </w:rPr>
        <w:t>___________________________________________________</w:t>
      </w:r>
      <w:r w:rsidR="0096124E" w:rsidRPr="0001217E">
        <w:rPr>
          <w:rFonts w:ascii="Arial" w:eastAsiaTheme="minorEastAsia" w:hAnsi="Arial" w:cs="Arial"/>
          <w:sz w:val="24"/>
          <w:szCs w:val="24"/>
          <w:lang w:val="en-US"/>
        </w:rPr>
        <w:t>_</w:t>
      </w:r>
      <w:r w:rsidR="0050718C" w:rsidRPr="0001217E">
        <w:rPr>
          <w:rFonts w:ascii="Arial" w:eastAsiaTheme="minorEastAsia" w:hAnsi="Arial" w:cs="Arial"/>
          <w:sz w:val="24"/>
          <w:szCs w:val="24"/>
          <w:lang w:val="en-US"/>
        </w:rPr>
        <w:t>___</w:t>
      </w:r>
    </w:p>
    <w:p w14:paraId="15B0105C" w14:textId="77777777" w:rsidR="0096124E" w:rsidRPr="0001217E" w:rsidRDefault="0096124E" w:rsidP="00651677">
      <w:pPr>
        <w:spacing w:after="0" w:line="360" w:lineRule="auto"/>
        <w:jc w:val="center"/>
        <w:rPr>
          <w:rFonts w:ascii="Arial" w:hAnsi="Arial" w:cs="Arial"/>
          <w:b/>
          <w:sz w:val="24"/>
          <w:szCs w:val="24"/>
        </w:rPr>
      </w:pPr>
    </w:p>
    <w:p w14:paraId="1E70487B" w14:textId="77777777" w:rsidR="006E1142" w:rsidRPr="0001217E" w:rsidRDefault="006E1142" w:rsidP="00651677">
      <w:pPr>
        <w:spacing w:after="0" w:line="360" w:lineRule="auto"/>
        <w:jc w:val="center"/>
        <w:rPr>
          <w:rFonts w:ascii="Arial" w:hAnsi="Arial" w:cs="Arial"/>
          <w:b/>
          <w:sz w:val="24"/>
          <w:szCs w:val="24"/>
        </w:rPr>
      </w:pPr>
      <w:r w:rsidRPr="0001217E">
        <w:rPr>
          <w:rFonts w:ascii="Arial" w:hAnsi="Arial" w:cs="Arial"/>
          <w:b/>
          <w:sz w:val="24"/>
          <w:szCs w:val="24"/>
        </w:rPr>
        <w:t>JUDGMENT</w:t>
      </w:r>
    </w:p>
    <w:p w14:paraId="54994CDB" w14:textId="77777777" w:rsidR="0091476C" w:rsidRPr="0001217E" w:rsidRDefault="0091476C" w:rsidP="00651677">
      <w:pPr>
        <w:spacing w:after="0" w:line="360" w:lineRule="auto"/>
        <w:jc w:val="both"/>
        <w:rPr>
          <w:rFonts w:ascii="Arial" w:eastAsiaTheme="minorEastAsia" w:hAnsi="Arial" w:cs="Arial"/>
          <w:sz w:val="24"/>
          <w:szCs w:val="24"/>
          <w:lang w:val="en-US"/>
        </w:rPr>
      </w:pPr>
      <w:r w:rsidRPr="0001217E">
        <w:rPr>
          <w:rFonts w:ascii="Arial" w:eastAsiaTheme="minorEastAsia" w:hAnsi="Arial" w:cs="Arial"/>
          <w:sz w:val="24"/>
          <w:szCs w:val="24"/>
          <w:lang w:val="en-US"/>
        </w:rPr>
        <w:t>___________________________________</w:t>
      </w:r>
      <w:r w:rsidR="0096124E" w:rsidRPr="0001217E">
        <w:rPr>
          <w:rFonts w:ascii="Arial" w:eastAsiaTheme="minorEastAsia" w:hAnsi="Arial" w:cs="Arial"/>
          <w:sz w:val="24"/>
          <w:szCs w:val="24"/>
          <w:lang w:val="en-US"/>
        </w:rPr>
        <w:t>_____________________________</w:t>
      </w:r>
      <w:r w:rsidR="0050718C" w:rsidRPr="0001217E">
        <w:rPr>
          <w:rFonts w:ascii="Arial" w:eastAsiaTheme="minorEastAsia" w:hAnsi="Arial" w:cs="Arial"/>
          <w:sz w:val="24"/>
          <w:szCs w:val="24"/>
          <w:lang w:val="en-US"/>
        </w:rPr>
        <w:t>___</w:t>
      </w:r>
    </w:p>
    <w:p w14:paraId="182653EA" w14:textId="3083592F" w:rsidR="00CD717D" w:rsidRDefault="00266395" w:rsidP="00651677">
      <w:pPr>
        <w:spacing w:after="0" w:line="360" w:lineRule="auto"/>
        <w:ind w:left="1440" w:hanging="1440"/>
        <w:jc w:val="both"/>
        <w:outlineLvl w:val="0"/>
        <w:rPr>
          <w:rFonts w:ascii="Arial" w:hAnsi="Arial" w:cs="Arial"/>
          <w:b/>
          <w:sz w:val="24"/>
          <w:szCs w:val="24"/>
        </w:rPr>
      </w:pPr>
      <w:r w:rsidRPr="0001217E">
        <w:rPr>
          <w:rFonts w:ascii="Arial" w:hAnsi="Arial" w:cs="Arial"/>
          <w:b/>
          <w:sz w:val="24"/>
          <w:szCs w:val="24"/>
        </w:rPr>
        <w:t>Saldulker JA</w:t>
      </w:r>
      <w:r w:rsidR="00CD717D" w:rsidRPr="0001217E">
        <w:rPr>
          <w:rFonts w:ascii="Arial" w:hAnsi="Arial" w:cs="Arial"/>
          <w:b/>
          <w:sz w:val="24"/>
          <w:szCs w:val="24"/>
        </w:rPr>
        <w:t xml:space="preserve"> (</w:t>
      </w:r>
      <w:r w:rsidR="00862308">
        <w:rPr>
          <w:rFonts w:ascii="Arial" w:hAnsi="Arial" w:cs="Arial"/>
          <w:b/>
          <w:sz w:val="24"/>
          <w:szCs w:val="24"/>
        </w:rPr>
        <w:t xml:space="preserve">Dlodlo JA </w:t>
      </w:r>
      <w:r w:rsidR="0073374B" w:rsidRPr="0001217E">
        <w:rPr>
          <w:rFonts w:ascii="Arial" w:hAnsi="Arial" w:cs="Arial"/>
          <w:b/>
          <w:sz w:val="24"/>
          <w:szCs w:val="24"/>
        </w:rPr>
        <w:t>concurring</w:t>
      </w:r>
      <w:r w:rsidR="00CD717D" w:rsidRPr="0001217E">
        <w:rPr>
          <w:rFonts w:ascii="Arial" w:hAnsi="Arial" w:cs="Arial"/>
          <w:b/>
          <w:sz w:val="24"/>
          <w:szCs w:val="24"/>
        </w:rPr>
        <w:t>)</w:t>
      </w:r>
    </w:p>
    <w:p w14:paraId="6E54A9BE" w14:textId="77777777" w:rsidR="00C858B3" w:rsidRPr="00B85098" w:rsidRDefault="00C858B3" w:rsidP="00651677">
      <w:pPr>
        <w:spacing w:after="0" w:line="360" w:lineRule="auto"/>
        <w:ind w:left="1440" w:hanging="1440"/>
        <w:jc w:val="both"/>
        <w:outlineLvl w:val="0"/>
        <w:rPr>
          <w:rFonts w:ascii="Arial" w:hAnsi="Arial" w:cs="Arial"/>
          <w:bCs/>
          <w:sz w:val="24"/>
          <w:szCs w:val="24"/>
        </w:rPr>
      </w:pPr>
    </w:p>
    <w:p w14:paraId="116DF022" w14:textId="501FFB99" w:rsidR="00A3659D" w:rsidRPr="0001217E" w:rsidRDefault="00C858B3" w:rsidP="00651677">
      <w:pPr>
        <w:spacing w:after="0" w:line="360" w:lineRule="auto"/>
        <w:ind w:left="1440" w:hanging="1440"/>
        <w:jc w:val="both"/>
        <w:outlineLvl w:val="0"/>
        <w:rPr>
          <w:rFonts w:ascii="Arial" w:hAnsi="Arial" w:cs="Arial"/>
          <w:b/>
          <w:sz w:val="24"/>
          <w:szCs w:val="24"/>
        </w:rPr>
      </w:pPr>
      <w:r>
        <w:rPr>
          <w:rFonts w:ascii="Arial" w:hAnsi="Arial" w:cs="Arial"/>
          <w:b/>
          <w:sz w:val="24"/>
          <w:szCs w:val="24"/>
        </w:rPr>
        <w:t xml:space="preserve">Introduction </w:t>
      </w:r>
    </w:p>
    <w:p w14:paraId="41A1FDB3" w14:textId="096BF5D0" w:rsidR="00A560B1" w:rsidRDefault="005C111C" w:rsidP="0001217E">
      <w:pPr>
        <w:spacing w:after="0" w:line="360" w:lineRule="auto"/>
        <w:jc w:val="both"/>
        <w:rPr>
          <w:rFonts w:ascii="Arial" w:hAnsi="Arial" w:cs="Arial"/>
          <w:sz w:val="24"/>
          <w:szCs w:val="24"/>
        </w:rPr>
      </w:pPr>
      <w:r w:rsidRPr="0001217E">
        <w:rPr>
          <w:rFonts w:ascii="Arial" w:hAnsi="Arial" w:cs="Arial"/>
          <w:sz w:val="24"/>
          <w:szCs w:val="24"/>
        </w:rPr>
        <w:t>[1]</w:t>
      </w:r>
      <w:r w:rsidRPr="0001217E">
        <w:rPr>
          <w:rFonts w:ascii="Arial" w:hAnsi="Arial" w:cs="Arial"/>
          <w:sz w:val="24"/>
          <w:szCs w:val="24"/>
        </w:rPr>
        <w:tab/>
      </w:r>
      <w:r w:rsidR="0001217E" w:rsidRPr="0001217E">
        <w:rPr>
          <w:rFonts w:ascii="Arial" w:hAnsi="Arial" w:cs="Arial"/>
          <w:sz w:val="24"/>
          <w:szCs w:val="24"/>
        </w:rPr>
        <w:t>This is an application by the Director of Public Prosecutions, Gauteng (the State) for leave to appeal</w:t>
      </w:r>
      <w:r w:rsidR="00926302">
        <w:rPr>
          <w:rFonts w:ascii="Arial" w:hAnsi="Arial" w:cs="Arial"/>
          <w:sz w:val="24"/>
          <w:szCs w:val="24"/>
        </w:rPr>
        <w:t>,</w:t>
      </w:r>
      <w:r w:rsidR="0001217E" w:rsidRPr="0001217E">
        <w:rPr>
          <w:rFonts w:ascii="Arial" w:hAnsi="Arial" w:cs="Arial"/>
          <w:sz w:val="24"/>
          <w:szCs w:val="24"/>
        </w:rPr>
        <w:t xml:space="preserve"> referred for oral argument in terms of s 17(2)</w:t>
      </w:r>
      <w:r w:rsidR="0001217E" w:rsidRPr="00D44002">
        <w:rPr>
          <w:rFonts w:ascii="Arial" w:hAnsi="Arial" w:cs="Arial"/>
          <w:i/>
          <w:iCs/>
          <w:sz w:val="24"/>
          <w:szCs w:val="24"/>
        </w:rPr>
        <w:t>(d)</w:t>
      </w:r>
      <w:r w:rsidR="0001217E" w:rsidRPr="0001217E">
        <w:rPr>
          <w:rFonts w:ascii="Arial" w:hAnsi="Arial" w:cs="Arial"/>
          <w:sz w:val="24"/>
          <w:szCs w:val="24"/>
        </w:rPr>
        <w:t xml:space="preserve"> of the Superior </w:t>
      </w:r>
      <w:r w:rsidR="0057474C">
        <w:rPr>
          <w:rFonts w:ascii="Arial" w:hAnsi="Arial" w:cs="Arial"/>
          <w:sz w:val="24"/>
          <w:szCs w:val="24"/>
        </w:rPr>
        <w:t>C</w:t>
      </w:r>
      <w:r w:rsidR="0001217E" w:rsidRPr="0001217E">
        <w:rPr>
          <w:rFonts w:ascii="Arial" w:hAnsi="Arial" w:cs="Arial"/>
          <w:sz w:val="24"/>
          <w:szCs w:val="24"/>
        </w:rPr>
        <w:t>ourts Act 10 of 2013 (the Superior Courts Act),</w:t>
      </w:r>
      <w:r w:rsidR="00CC3526">
        <w:rPr>
          <w:rStyle w:val="FootnoteReference"/>
          <w:rFonts w:ascii="Arial" w:hAnsi="Arial" w:cs="Arial"/>
          <w:sz w:val="24"/>
          <w:szCs w:val="24"/>
        </w:rPr>
        <w:footnoteReference w:id="1"/>
      </w:r>
      <w:r w:rsidR="0001217E" w:rsidRPr="0001217E">
        <w:rPr>
          <w:rFonts w:ascii="Arial" w:hAnsi="Arial" w:cs="Arial"/>
          <w:sz w:val="24"/>
          <w:szCs w:val="24"/>
        </w:rPr>
        <w:t xml:space="preserve"> and, if successful, the determination of the appeal itself. The State seeks leave to appeal against the refusal</w:t>
      </w:r>
      <w:r w:rsidR="0057474C">
        <w:rPr>
          <w:rFonts w:ascii="Arial" w:hAnsi="Arial" w:cs="Arial"/>
          <w:sz w:val="24"/>
          <w:szCs w:val="24"/>
        </w:rPr>
        <w:t xml:space="preserve"> of leave</w:t>
      </w:r>
      <w:r w:rsidR="0001217E" w:rsidRPr="0001217E">
        <w:rPr>
          <w:rFonts w:ascii="Arial" w:hAnsi="Arial" w:cs="Arial"/>
          <w:sz w:val="24"/>
          <w:szCs w:val="24"/>
        </w:rPr>
        <w:t xml:space="preserve"> by the </w:t>
      </w:r>
      <w:r w:rsidR="0057474C" w:rsidRPr="00A560B1">
        <w:rPr>
          <w:rFonts w:ascii="Arial" w:hAnsi="Arial" w:cs="Arial"/>
          <w:sz w:val="24"/>
          <w:szCs w:val="24"/>
        </w:rPr>
        <w:t xml:space="preserve">Gauteng Division of the High </w:t>
      </w:r>
      <w:r w:rsidR="0057474C">
        <w:rPr>
          <w:rFonts w:ascii="Arial" w:hAnsi="Arial" w:cs="Arial"/>
          <w:sz w:val="24"/>
          <w:szCs w:val="24"/>
        </w:rPr>
        <w:t>C</w:t>
      </w:r>
      <w:r w:rsidR="0057474C" w:rsidRPr="00A560B1">
        <w:rPr>
          <w:rFonts w:ascii="Arial" w:hAnsi="Arial" w:cs="Arial"/>
          <w:sz w:val="24"/>
          <w:szCs w:val="24"/>
        </w:rPr>
        <w:t>ourt</w:t>
      </w:r>
      <w:r w:rsidR="0057474C">
        <w:rPr>
          <w:rFonts w:ascii="Arial" w:hAnsi="Arial" w:cs="Arial"/>
          <w:sz w:val="24"/>
          <w:szCs w:val="24"/>
        </w:rPr>
        <w:t xml:space="preserve">, Pretoria </w:t>
      </w:r>
      <w:r w:rsidR="00A803D1">
        <w:rPr>
          <w:rFonts w:ascii="Arial" w:hAnsi="Arial" w:cs="Arial"/>
          <w:sz w:val="24"/>
          <w:szCs w:val="24"/>
        </w:rPr>
        <w:t>(Hattingh AJ</w:t>
      </w:r>
      <w:r w:rsidR="00A803D1" w:rsidRPr="00A560B1">
        <w:rPr>
          <w:rFonts w:ascii="Arial" w:hAnsi="Arial" w:cs="Arial"/>
          <w:sz w:val="24"/>
          <w:szCs w:val="24"/>
        </w:rPr>
        <w:t>)</w:t>
      </w:r>
      <w:r w:rsidR="00A803D1">
        <w:rPr>
          <w:rFonts w:ascii="Arial" w:hAnsi="Arial" w:cs="Arial"/>
          <w:sz w:val="24"/>
          <w:szCs w:val="24"/>
        </w:rPr>
        <w:t xml:space="preserve"> </w:t>
      </w:r>
      <w:r w:rsidR="0057474C">
        <w:rPr>
          <w:rFonts w:ascii="Arial" w:hAnsi="Arial" w:cs="Arial"/>
          <w:sz w:val="24"/>
          <w:szCs w:val="24"/>
        </w:rPr>
        <w:t xml:space="preserve">(the trial </w:t>
      </w:r>
      <w:r w:rsidR="0057474C" w:rsidRPr="00A560B1">
        <w:rPr>
          <w:rFonts w:ascii="Arial" w:hAnsi="Arial" w:cs="Arial"/>
          <w:sz w:val="24"/>
          <w:szCs w:val="24"/>
        </w:rPr>
        <w:t>court</w:t>
      </w:r>
      <w:r w:rsidR="0011316B">
        <w:rPr>
          <w:rFonts w:ascii="Arial" w:hAnsi="Arial" w:cs="Arial"/>
          <w:sz w:val="24"/>
          <w:szCs w:val="24"/>
        </w:rPr>
        <w:t>)</w:t>
      </w:r>
      <w:r w:rsidR="0001217E" w:rsidRPr="0001217E">
        <w:rPr>
          <w:rFonts w:ascii="Arial" w:hAnsi="Arial" w:cs="Arial"/>
          <w:sz w:val="24"/>
          <w:szCs w:val="24"/>
        </w:rPr>
        <w:t xml:space="preserve"> to reserve questions of law for decision by this </w:t>
      </w:r>
      <w:r w:rsidR="0057474C">
        <w:rPr>
          <w:rFonts w:ascii="Arial" w:hAnsi="Arial" w:cs="Arial"/>
          <w:sz w:val="24"/>
          <w:szCs w:val="24"/>
        </w:rPr>
        <w:t>C</w:t>
      </w:r>
      <w:r w:rsidR="0001217E" w:rsidRPr="0001217E">
        <w:rPr>
          <w:rFonts w:ascii="Arial" w:hAnsi="Arial" w:cs="Arial"/>
          <w:sz w:val="24"/>
          <w:szCs w:val="24"/>
        </w:rPr>
        <w:t>ourt, in terms of s</w:t>
      </w:r>
      <w:r w:rsidR="001F394A">
        <w:rPr>
          <w:rFonts w:ascii="Arial" w:hAnsi="Arial" w:cs="Arial"/>
          <w:sz w:val="24"/>
          <w:szCs w:val="24"/>
        </w:rPr>
        <w:t xml:space="preserve"> </w:t>
      </w:r>
      <w:r w:rsidR="0001217E" w:rsidRPr="0001217E">
        <w:rPr>
          <w:rFonts w:ascii="Arial" w:hAnsi="Arial" w:cs="Arial"/>
          <w:sz w:val="24"/>
          <w:szCs w:val="24"/>
        </w:rPr>
        <w:t>319 of the Criminal Procedure Act 51 of 1977</w:t>
      </w:r>
      <w:r w:rsidR="0057474C">
        <w:rPr>
          <w:rFonts w:ascii="Arial" w:hAnsi="Arial" w:cs="Arial"/>
          <w:sz w:val="24"/>
          <w:szCs w:val="24"/>
        </w:rPr>
        <w:t xml:space="preserve"> </w:t>
      </w:r>
      <w:r w:rsidR="0001217E" w:rsidRPr="0001217E">
        <w:rPr>
          <w:rFonts w:ascii="Arial" w:hAnsi="Arial" w:cs="Arial"/>
          <w:sz w:val="24"/>
          <w:szCs w:val="24"/>
        </w:rPr>
        <w:t>(the CPA), following the acquittal of the respondent, Mr Rethabile Amogelang Pooe, at the conclusion of the trial.</w:t>
      </w:r>
    </w:p>
    <w:p w14:paraId="7E8EA273" w14:textId="5C5C3DC1" w:rsidR="0001217E" w:rsidRPr="0001217E" w:rsidRDefault="0001217E" w:rsidP="0001217E">
      <w:pPr>
        <w:spacing w:after="0" w:line="360" w:lineRule="auto"/>
        <w:jc w:val="both"/>
        <w:rPr>
          <w:rFonts w:ascii="Arial" w:hAnsi="Arial" w:cs="Arial"/>
          <w:sz w:val="24"/>
          <w:szCs w:val="24"/>
        </w:rPr>
      </w:pPr>
      <w:r w:rsidRPr="0001217E">
        <w:rPr>
          <w:rFonts w:ascii="Arial" w:hAnsi="Arial" w:cs="Arial"/>
          <w:sz w:val="24"/>
          <w:szCs w:val="24"/>
        </w:rPr>
        <w:t xml:space="preserve"> </w:t>
      </w:r>
    </w:p>
    <w:p w14:paraId="21DDB237" w14:textId="600D84B4" w:rsidR="00966475" w:rsidRDefault="00A560B1" w:rsidP="00B0446D">
      <w:pPr>
        <w:spacing w:after="160" w:line="360" w:lineRule="auto"/>
        <w:jc w:val="both"/>
        <w:rPr>
          <w:rFonts w:ascii="Arial" w:hAnsi="Arial" w:cs="Arial"/>
          <w:sz w:val="24"/>
          <w:szCs w:val="24"/>
        </w:rPr>
      </w:pPr>
      <w:r>
        <w:rPr>
          <w:rFonts w:ascii="Arial" w:hAnsi="Arial" w:cs="Arial"/>
          <w:sz w:val="24"/>
          <w:szCs w:val="24"/>
        </w:rPr>
        <w:t>[2]</w:t>
      </w:r>
      <w:r w:rsidR="0057474C">
        <w:rPr>
          <w:rFonts w:ascii="Arial" w:hAnsi="Arial" w:cs="Arial"/>
          <w:sz w:val="24"/>
          <w:szCs w:val="24"/>
        </w:rPr>
        <w:tab/>
      </w:r>
      <w:r w:rsidR="0001217E" w:rsidRPr="00A560B1">
        <w:rPr>
          <w:rFonts w:ascii="Arial" w:hAnsi="Arial" w:cs="Arial"/>
          <w:sz w:val="24"/>
          <w:szCs w:val="24"/>
        </w:rPr>
        <w:t>The re</w:t>
      </w:r>
      <w:r w:rsidR="00E450B9">
        <w:rPr>
          <w:rFonts w:ascii="Arial" w:hAnsi="Arial" w:cs="Arial"/>
          <w:sz w:val="24"/>
          <w:szCs w:val="24"/>
        </w:rPr>
        <w:t xml:space="preserve">spondent, </w:t>
      </w:r>
      <w:r w:rsidR="0057474C">
        <w:rPr>
          <w:rFonts w:ascii="Arial" w:hAnsi="Arial" w:cs="Arial"/>
          <w:sz w:val="24"/>
          <w:szCs w:val="24"/>
        </w:rPr>
        <w:t xml:space="preserve">Mr </w:t>
      </w:r>
      <w:r w:rsidR="0057474C" w:rsidRPr="00A560B1">
        <w:rPr>
          <w:rFonts w:ascii="Arial" w:hAnsi="Arial" w:cs="Arial"/>
          <w:sz w:val="24"/>
          <w:szCs w:val="24"/>
        </w:rPr>
        <w:t>Pooe</w:t>
      </w:r>
      <w:r w:rsidR="0001217E" w:rsidRPr="00A560B1">
        <w:rPr>
          <w:rFonts w:ascii="Arial" w:hAnsi="Arial" w:cs="Arial"/>
          <w:sz w:val="24"/>
          <w:szCs w:val="24"/>
        </w:rPr>
        <w:t xml:space="preserve">, was 16 years old when he was </w:t>
      </w:r>
      <w:r w:rsidR="0057474C" w:rsidRPr="00A560B1">
        <w:rPr>
          <w:rFonts w:ascii="Arial" w:hAnsi="Arial" w:cs="Arial"/>
          <w:sz w:val="24"/>
          <w:szCs w:val="24"/>
        </w:rPr>
        <w:t>charged in</w:t>
      </w:r>
      <w:r w:rsidR="0001217E" w:rsidRPr="00A560B1">
        <w:rPr>
          <w:rFonts w:ascii="Arial" w:hAnsi="Arial" w:cs="Arial"/>
          <w:sz w:val="24"/>
          <w:szCs w:val="24"/>
        </w:rPr>
        <w:t xml:space="preserve"> </w:t>
      </w:r>
      <w:r w:rsidR="00F45063">
        <w:rPr>
          <w:rFonts w:ascii="Arial" w:hAnsi="Arial" w:cs="Arial"/>
          <w:sz w:val="24"/>
          <w:szCs w:val="24"/>
        </w:rPr>
        <w:t xml:space="preserve">the trial </w:t>
      </w:r>
      <w:r w:rsidR="0001217E" w:rsidRPr="00A560B1">
        <w:rPr>
          <w:rFonts w:ascii="Arial" w:hAnsi="Arial" w:cs="Arial"/>
          <w:sz w:val="24"/>
          <w:szCs w:val="24"/>
        </w:rPr>
        <w:t>court</w:t>
      </w:r>
      <w:r w:rsidR="0057474C">
        <w:rPr>
          <w:rFonts w:ascii="Arial" w:hAnsi="Arial" w:cs="Arial"/>
          <w:sz w:val="24"/>
          <w:szCs w:val="24"/>
        </w:rPr>
        <w:t xml:space="preserve"> </w:t>
      </w:r>
      <w:r w:rsidR="0001217E" w:rsidRPr="00A560B1">
        <w:rPr>
          <w:rFonts w:ascii="Arial" w:hAnsi="Arial" w:cs="Arial"/>
          <w:sz w:val="24"/>
          <w:szCs w:val="24"/>
        </w:rPr>
        <w:t>on five counts, namely murder, robbery with aggravating circumstances, kidnapping, unlawful possession of a firearm and the unlawful possession of ammunition. The respondent pleaded</w:t>
      </w:r>
      <w:r w:rsidR="00120CE5">
        <w:rPr>
          <w:rFonts w:ascii="Arial" w:hAnsi="Arial" w:cs="Arial"/>
          <w:sz w:val="24"/>
          <w:szCs w:val="24"/>
        </w:rPr>
        <w:t xml:space="preserve"> not guilty to all counts and made a statement in terms of </w:t>
      </w:r>
      <w:r>
        <w:rPr>
          <w:rFonts w:ascii="Arial" w:hAnsi="Arial" w:cs="Arial"/>
          <w:sz w:val="24"/>
          <w:szCs w:val="24"/>
        </w:rPr>
        <w:t>s</w:t>
      </w:r>
      <w:r w:rsidR="0057474C">
        <w:rPr>
          <w:rFonts w:ascii="Arial" w:hAnsi="Arial" w:cs="Arial"/>
          <w:sz w:val="24"/>
          <w:szCs w:val="24"/>
        </w:rPr>
        <w:t xml:space="preserve"> </w:t>
      </w:r>
      <w:r w:rsidR="0001217E" w:rsidRPr="00A560B1">
        <w:rPr>
          <w:rFonts w:ascii="Arial" w:hAnsi="Arial" w:cs="Arial"/>
          <w:sz w:val="24"/>
          <w:szCs w:val="24"/>
        </w:rPr>
        <w:t xml:space="preserve">115 </w:t>
      </w:r>
      <w:r w:rsidR="00120CE5">
        <w:rPr>
          <w:rFonts w:ascii="Arial" w:hAnsi="Arial" w:cs="Arial"/>
          <w:sz w:val="24"/>
          <w:szCs w:val="24"/>
        </w:rPr>
        <w:t xml:space="preserve">of the CPA. </w:t>
      </w:r>
      <w:r w:rsidR="0033191C">
        <w:rPr>
          <w:rFonts w:ascii="Arial" w:hAnsi="Arial" w:cs="Arial"/>
          <w:sz w:val="24"/>
          <w:szCs w:val="24"/>
        </w:rPr>
        <w:t xml:space="preserve">On 10 September 2018, </w:t>
      </w:r>
      <w:r w:rsidR="0057474C">
        <w:rPr>
          <w:rFonts w:ascii="Arial" w:hAnsi="Arial" w:cs="Arial"/>
          <w:sz w:val="24"/>
          <w:szCs w:val="24"/>
        </w:rPr>
        <w:t>the trial court</w:t>
      </w:r>
      <w:r w:rsidR="001F394A">
        <w:rPr>
          <w:rFonts w:ascii="Arial" w:hAnsi="Arial" w:cs="Arial"/>
          <w:sz w:val="24"/>
          <w:szCs w:val="24"/>
        </w:rPr>
        <w:t xml:space="preserve"> found Mr Pooe not guilty </w:t>
      </w:r>
      <w:r w:rsidR="0001217E" w:rsidRPr="00A560B1">
        <w:rPr>
          <w:rFonts w:ascii="Arial" w:hAnsi="Arial" w:cs="Arial"/>
          <w:sz w:val="24"/>
          <w:szCs w:val="24"/>
        </w:rPr>
        <w:t xml:space="preserve">on all counts. </w:t>
      </w:r>
    </w:p>
    <w:p w14:paraId="7D449BF5" w14:textId="43856D61" w:rsidR="00253087" w:rsidRDefault="00A560B1" w:rsidP="004F3EF6">
      <w:pPr>
        <w:spacing w:after="0" w:line="360" w:lineRule="auto"/>
        <w:contextualSpacing/>
        <w:jc w:val="both"/>
        <w:rPr>
          <w:rFonts w:ascii="Arial" w:hAnsi="Arial" w:cs="Arial"/>
          <w:sz w:val="24"/>
          <w:szCs w:val="24"/>
        </w:rPr>
      </w:pPr>
      <w:r>
        <w:rPr>
          <w:rFonts w:ascii="Arial" w:hAnsi="Arial" w:cs="Arial"/>
          <w:sz w:val="24"/>
          <w:szCs w:val="24"/>
        </w:rPr>
        <w:lastRenderedPageBreak/>
        <w:t>[3]</w:t>
      </w:r>
      <w:r w:rsidR="0057474C">
        <w:rPr>
          <w:rFonts w:ascii="Arial" w:hAnsi="Arial" w:cs="Arial"/>
          <w:sz w:val="24"/>
          <w:szCs w:val="24"/>
        </w:rPr>
        <w:tab/>
      </w:r>
      <w:r w:rsidR="00D92BC1">
        <w:rPr>
          <w:rFonts w:ascii="Arial" w:hAnsi="Arial" w:cs="Arial"/>
          <w:sz w:val="24"/>
          <w:szCs w:val="24"/>
        </w:rPr>
        <w:t>Dissatisfied with the outcome of the trial, the St</w:t>
      </w:r>
      <w:r w:rsidR="00F45063">
        <w:rPr>
          <w:rFonts w:ascii="Arial" w:hAnsi="Arial" w:cs="Arial"/>
          <w:sz w:val="24"/>
          <w:szCs w:val="24"/>
        </w:rPr>
        <w:t>at</w:t>
      </w:r>
      <w:r w:rsidR="00D92BC1">
        <w:rPr>
          <w:rFonts w:ascii="Arial" w:hAnsi="Arial" w:cs="Arial"/>
          <w:sz w:val="24"/>
          <w:szCs w:val="24"/>
        </w:rPr>
        <w:t xml:space="preserve">e then requested the trial court to </w:t>
      </w:r>
      <w:r w:rsidR="00F45063">
        <w:rPr>
          <w:rFonts w:ascii="Arial" w:hAnsi="Arial" w:cs="Arial"/>
          <w:sz w:val="24"/>
          <w:szCs w:val="24"/>
        </w:rPr>
        <w:t>re</w:t>
      </w:r>
      <w:r w:rsidR="00D92BC1">
        <w:rPr>
          <w:rFonts w:ascii="Arial" w:hAnsi="Arial" w:cs="Arial"/>
          <w:sz w:val="24"/>
          <w:szCs w:val="24"/>
        </w:rPr>
        <w:t>serve fo</w:t>
      </w:r>
      <w:r w:rsidR="00F45063">
        <w:rPr>
          <w:rFonts w:ascii="Arial" w:hAnsi="Arial" w:cs="Arial"/>
          <w:sz w:val="24"/>
          <w:szCs w:val="24"/>
        </w:rPr>
        <w:t>u</w:t>
      </w:r>
      <w:r w:rsidR="00D92BC1">
        <w:rPr>
          <w:rFonts w:ascii="Arial" w:hAnsi="Arial" w:cs="Arial"/>
          <w:sz w:val="24"/>
          <w:szCs w:val="24"/>
        </w:rPr>
        <w:t>r questions o</w:t>
      </w:r>
      <w:r w:rsidR="00F45063">
        <w:rPr>
          <w:rFonts w:ascii="Arial" w:hAnsi="Arial" w:cs="Arial"/>
          <w:sz w:val="24"/>
          <w:szCs w:val="24"/>
        </w:rPr>
        <w:t xml:space="preserve">f </w:t>
      </w:r>
      <w:r w:rsidR="00D92BC1">
        <w:rPr>
          <w:rFonts w:ascii="Arial" w:hAnsi="Arial" w:cs="Arial"/>
          <w:sz w:val="24"/>
          <w:szCs w:val="24"/>
        </w:rPr>
        <w:t>law in term</w:t>
      </w:r>
      <w:r w:rsidR="00F45063">
        <w:rPr>
          <w:rFonts w:ascii="Arial" w:hAnsi="Arial" w:cs="Arial"/>
          <w:sz w:val="24"/>
          <w:szCs w:val="24"/>
        </w:rPr>
        <w:t xml:space="preserve">s of </w:t>
      </w:r>
      <w:r w:rsidR="00D92BC1">
        <w:rPr>
          <w:rFonts w:ascii="Arial" w:hAnsi="Arial" w:cs="Arial"/>
          <w:sz w:val="24"/>
          <w:szCs w:val="24"/>
        </w:rPr>
        <w:t>s</w:t>
      </w:r>
      <w:r w:rsidR="001F394A">
        <w:rPr>
          <w:rFonts w:ascii="Arial" w:hAnsi="Arial" w:cs="Arial"/>
          <w:sz w:val="24"/>
          <w:szCs w:val="24"/>
        </w:rPr>
        <w:t xml:space="preserve"> 319</w:t>
      </w:r>
      <w:r w:rsidR="0057474C">
        <w:rPr>
          <w:rFonts w:ascii="Arial" w:hAnsi="Arial" w:cs="Arial"/>
          <w:sz w:val="24"/>
          <w:szCs w:val="24"/>
        </w:rPr>
        <w:t xml:space="preserve"> of the CPA</w:t>
      </w:r>
      <w:r w:rsidR="001F394A">
        <w:rPr>
          <w:rFonts w:ascii="Arial" w:hAnsi="Arial" w:cs="Arial"/>
          <w:sz w:val="24"/>
          <w:szCs w:val="24"/>
        </w:rPr>
        <w:t xml:space="preserve"> </w:t>
      </w:r>
      <w:r w:rsidR="00F45063">
        <w:rPr>
          <w:rFonts w:ascii="Arial" w:hAnsi="Arial" w:cs="Arial"/>
          <w:sz w:val="24"/>
          <w:szCs w:val="24"/>
        </w:rPr>
        <w:t xml:space="preserve">for consideration by this </w:t>
      </w:r>
      <w:r w:rsidR="0057474C">
        <w:rPr>
          <w:rFonts w:ascii="Arial" w:hAnsi="Arial" w:cs="Arial"/>
          <w:sz w:val="24"/>
          <w:szCs w:val="24"/>
        </w:rPr>
        <w:t>C</w:t>
      </w:r>
      <w:r w:rsidR="00F45063">
        <w:rPr>
          <w:rFonts w:ascii="Arial" w:hAnsi="Arial" w:cs="Arial"/>
          <w:sz w:val="24"/>
          <w:szCs w:val="24"/>
        </w:rPr>
        <w:t xml:space="preserve">ourt. </w:t>
      </w:r>
      <w:r w:rsidR="0057474C">
        <w:rPr>
          <w:rFonts w:ascii="Arial" w:hAnsi="Arial" w:cs="Arial"/>
          <w:sz w:val="24"/>
          <w:szCs w:val="24"/>
        </w:rPr>
        <w:t>The trial court</w:t>
      </w:r>
      <w:r w:rsidR="00F45063">
        <w:rPr>
          <w:rFonts w:ascii="Arial" w:hAnsi="Arial" w:cs="Arial"/>
          <w:sz w:val="24"/>
          <w:szCs w:val="24"/>
        </w:rPr>
        <w:t xml:space="preserve"> refused the</w:t>
      </w:r>
      <w:r w:rsidR="0001217E" w:rsidRPr="00A560B1">
        <w:rPr>
          <w:rFonts w:ascii="Arial" w:hAnsi="Arial" w:cs="Arial"/>
          <w:sz w:val="24"/>
          <w:szCs w:val="24"/>
        </w:rPr>
        <w:t xml:space="preserve"> application. </w:t>
      </w:r>
      <w:r w:rsidR="00F45063">
        <w:rPr>
          <w:rFonts w:ascii="Arial" w:hAnsi="Arial" w:cs="Arial"/>
          <w:sz w:val="24"/>
          <w:szCs w:val="24"/>
        </w:rPr>
        <w:t>The State then challenged</w:t>
      </w:r>
      <w:r w:rsidR="001F394A">
        <w:rPr>
          <w:rFonts w:ascii="Arial" w:hAnsi="Arial" w:cs="Arial"/>
          <w:sz w:val="24"/>
          <w:szCs w:val="24"/>
        </w:rPr>
        <w:t xml:space="preserve"> the decision</w:t>
      </w:r>
      <w:r w:rsidR="00F45063">
        <w:rPr>
          <w:rFonts w:ascii="Arial" w:hAnsi="Arial" w:cs="Arial"/>
          <w:sz w:val="24"/>
          <w:szCs w:val="24"/>
        </w:rPr>
        <w:t xml:space="preserve"> by applying to this </w:t>
      </w:r>
      <w:r w:rsidR="0057474C">
        <w:rPr>
          <w:rFonts w:ascii="Arial" w:hAnsi="Arial" w:cs="Arial"/>
          <w:sz w:val="24"/>
          <w:szCs w:val="24"/>
        </w:rPr>
        <w:t>C</w:t>
      </w:r>
      <w:r w:rsidR="00F45063">
        <w:rPr>
          <w:rFonts w:ascii="Arial" w:hAnsi="Arial" w:cs="Arial"/>
          <w:sz w:val="24"/>
          <w:szCs w:val="24"/>
        </w:rPr>
        <w:t>ourt for an order granting it leave to appeal in terms of s</w:t>
      </w:r>
      <w:r w:rsidR="00A5708B">
        <w:rPr>
          <w:rFonts w:ascii="Arial" w:hAnsi="Arial" w:cs="Arial"/>
          <w:sz w:val="24"/>
          <w:szCs w:val="24"/>
        </w:rPr>
        <w:t xml:space="preserve"> </w:t>
      </w:r>
      <w:r w:rsidR="00F45063">
        <w:rPr>
          <w:rFonts w:ascii="Arial" w:hAnsi="Arial" w:cs="Arial"/>
          <w:sz w:val="24"/>
          <w:szCs w:val="24"/>
        </w:rPr>
        <w:t>17(2</w:t>
      </w:r>
      <w:r w:rsidR="00BF6EE9">
        <w:rPr>
          <w:rFonts w:ascii="Arial" w:hAnsi="Arial" w:cs="Arial"/>
          <w:sz w:val="24"/>
          <w:szCs w:val="24"/>
        </w:rPr>
        <w:t>)</w:t>
      </w:r>
      <w:r w:rsidR="00BF6EE9" w:rsidRPr="00D44002">
        <w:rPr>
          <w:rFonts w:ascii="Arial" w:hAnsi="Arial" w:cs="Arial"/>
          <w:i/>
          <w:iCs/>
          <w:sz w:val="24"/>
          <w:szCs w:val="24"/>
        </w:rPr>
        <w:t>(</w:t>
      </w:r>
      <w:r w:rsidR="00BF6EE9" w:rsidRPr="0057474C">
        <w:rPr>
          <w:rFonts w:ascii="Arial" w:hAnsi="Arial" w:cs="Arial"/>
          <w:i/>
          <w:iCs/>
          <w:sz w:val="24"/>
          <w:szCs w:val="24"/>
        </w:rPr>
        <w:t>b</w:t>
      </w:r>
      <w:r w:rsidR="00BF6EE9" w:rsidRPr="00D44002">
        <w:rPr>
          <w:rFonts w:ascii="Arial" w:hAnsi="Arial" w:cs="Arial"/>
          <w:i/>
          <w:iCs/>
          <w:sz w:val="24"/>
          <w:szCs w:val="24"/>
        </w:rPr>
        <w:t>)</w:t>
      </w:r>
      <w:r w:rsidR="00BF6EE9">
        <w:rPr>
          <w:rFonts w:ascii="Arial" w:hAnsi="Arial" w:cs="Arial"/>
          <w:sz w:val="24"/>
          <w:szCs w:val="24"/>
        </w:rPr>
        <w:t xml:space="preserve"> of the Superior Courts Act against the respondent.</w:t>
      </w:r>
      <w:r w:rsidR="0057474C">
        <w:rPr>
          <w:rFonts w:ascii="Arial" w:hAnsi="Arial" w:cs="Arial"/>
          <w:sz w:val="24"/>
          <w:szCs w:val="24"/>
        </w:rPr>
        <w:t xml:space="preserve"> </w:t>
      </w:r>
      <w:r w:rsidR="00F45063">
        <w:rPr>
          <w:rFonts w:ascii="Arial" w:hAnsi="Arial" w:cs="Arial"/>
          <w:sz w:val="24"/>
          <w:szCs w:val="24"/>
        </w:rPr>
        <w:t>T</w:t>
      </w:r>
      <w:r w:rsidR="0001217E" w:rsidRPr="00A560B1">
        <w:rPr>
          <w:rFonts w:ascii="Arial" w:hAnsi="Arial" w:cs="Arial"/>
          <w:sz w:val="24"/>
          <w:szCs w:val="24"/>
        </w:rPr>
        <w:t xml:space="preserve">his </w:t>
      </w:r>
      <w:r w:rsidR="0057474C">
        <w:rPr>
          <w:rFonts w:ascii="Arial" w:hAnsi="Arial" w:cs="Arial"/>
          <w:sz w:val="24"/>
          <w:szCs w:val="24"/>
        </w:rPr>
        <w:t>C</w:t>
      </w:r>
      <w:r w:rsidR="0001217E" w:rsidRPr="00A560B1">
        <w:rPr>
          <w:rFonts w:ascii="Arial" w:hAnsi="Arial" w:cs="Arial"/>
          <w:sz w:val="24"/>
          <w:szCs w:val="24"/>
        </w:rPr>
        <w:t>ourt ordered that the application for leav</w:t>
      </w:r>
      <w:r w:rsidR="002916A0">
        <w:rPr>
          <w:rFonts w:ascii="Arial" w:hAnsi="Arial" w:cs="Arial"/>
          <w:sz w:val="24"/>
          <w:szCs w:val="24"/>
        </w:rPr>
        <w:t>e to appeal is</w:t>
      </w:r>
      <w:r w:rsidR="0001217E" w:rsidRPr="00A560B1">
        <w:rPr>
          <w:rFonts w:ascii="Arial" w:hAnsi="Arial" w:cs="Arial"/>
          <w:sz w:val="24"/>
          <w:szCs w:val="24"/>
        </w:rPr>
        <w:t xml:space="preserve"> referred for oral argumen</w:t>
      </w:r>
      <w:r w:rsidR="00E450B9">
        <w:rPr>
          <w:rFonts w:ascii="Arial" w:hAnsi="Arial" w:cs="Arial"/>
          <w:sz w:val="24"/>
          <w:szCs w:val="24"/>
        </w:rPr>
        <w:t>t in terms of s</w:t>
      </w:r>
      <w:r w:rsidR="0057474C">
        <w:rPr>
          <w:rFonts w:ascii="Arial" w:hAnsi="Arial" w:cs="Arial"/>
          <w:sz w:val="24"/>
          <w:szCs w:val="24"/>
        </w:rPr>
        <w:t xml:space="preserve"> </w:t>
      </w:r>
      <w:r w:rsidR="00E450B9">
        <w:rPr>
          <w:rFonts w:ascii="Arial" w:hAnsi="Arial" w:cs="Arial"/>
          <w:sz w:val="24"/>
          <w:szCs w:val="24"/>
        </w:rPr>
        <w:t>17(2)</w:t>
      </w:r>
      <w:r w:rsidR="00E450B9" w:rsidRPr="00D44002">
        <w:rPr>
          <w:rFonts w:ascii="Arial" w:hAnsi="Arial" w:cs="Arial"/>
          <w:i/>
          <w:iCs/>
          <w:sz w:val="24"/>
          <w:szCs w:val="24"/>
        </w:rPr>
        <w:t>(</w:t>
      </w:r>
      <w:r w:rsidR="00E450B9" w:rsidRPr="0057474C">
        <w:rPr>
          <w:rFonts w:ascii="Arial" w:hAnsi="Arial" w:cs="Arial"/>
          <w:i/>
          <w:iCs/>
          <w:sz w:val="24"/>
          <w:szCs w:val="24"/>
        </w:rPr>
        <w:t>d</w:t>
      </w:r>
      <w:r w:rsidR="00E450B9" w:rsidRPr="00D44002">
        <w:rPr>
          <w:rFonts w:ascii="Arial" w:hAnsi="Arial" w:cs="Arial"/>
          <w:i/>
          <w:iCs/>
          <w:sz w:val="24"/>
          <w:szCs w:val="24"/>
        </w:rPr>
        <w:t>)</w:t>
      </w:r>
      <w:r w:rsidR="00E450B9">
        <w:rPr>
          <w:rFonts w:ascii="Arial" w:hAnsi="Arial" w:cs="Arial"/>
          <w:sz w:val="24"/>
          <w:szCs w:val="24"/>
        </w:rPr>
        <w:t xml:space="preserve"> of the S</w:t>
      </w:r>
      <w:r w:rsidR="0001217E" w:rsidRPr="00A560B1">
        <w:rPr>
          <w:rFonts w:ascii="Arial" w:hAnsi="Arial" w:cs="Arial"/>
          <w:sz w:val="24"/>
          <w:szCs w:val="24"/>
        </w:rPr>
        <w:t xml:space="preserve">uperior </w:t>
      </w:r>
      <w:r w:rsidR="0011316B">
        <w:rPr>
          <w:rFonts w:ascii="Arial" w:hAnsi="Arial" w:cs="Arial"/>
          <w:sz w:val="24"/>
          <w:szCs w:val="24"/>
        </w:rPr>
        <w:t>Courts Act</w:t>
      </w:r>
      <w:r w:rsidR="00A5708B">
        <w:rPr>
          <w:rFonts w:ascii="Arial" w:hAnsi="Arial" w:cs="Arial"/>
          <w:sz w:val="24"/>
          <w:szCs w:val="24"/>
        </w:rPr>
        <w:t>,</w:t>
      </w:r>
      <w:r w:rsidR="0011316B">
        <w:rPr>
          <w:rFonts w:ascii="Arial" w:hAnsi="Arial" w:cs="Arial"/>
          <w:sz w:val="24"/>
          <w:szCs w:val="24"/>
        </w:rPr>
        <w:t xml:space="preserve"> and </w:t>
      </w:r>
      <w:r w:rsidR="0001217E" w:rsidRPr="00A560B1">
        <w:rPr>
          <w:rFonts w:ascii="Arial" w:hAnsi="Arial" w:cs="Arial"/>
          <w:sz w:val="24"/>
          <w:szCs w:val="24"/>
        </w:rPr>
        <w:t xml:space="preserve">the parties </w:t>
      </w:r>
      <w:r w:rsidR="0011316B">
        <w:rPr>
          <w:rFonts w:ascii="Arial" w:hAnsi="Arial" w:cs="Arial"/>
          <w:sz w:val="24"/>
          <w:szCs w:val="24"/>
        </w:rPr>
        <w:t xml:space="preserve">were forewarned that they </w:t>
      </w:r>
      <w:r w:rsidR="0001217E" w:rsidRPr="00A560B1">
        <w:rPr>
          <w:rFonts w:ascii="Arial" w:hAnsi="Arial" w:cs="Arial"/>
          <w:sz w:val="24"/>
          <w:szCs w:val="24"/>
        </w:rPr>
        <w:t>must be prepared, if called upon to do so, to address the court on the merits.</w:t>
      </w:r>
      <w:r w:rsidR="00253087">
        <w:rPr>
          <w:rFonts w:ascii="Arial" w:hAnsi="Arial" w:cs="Arial"/>
          <w:sz w:val="24"/>
          <w:szCs w:val="24"/>
        </w:rPr>
        <w:t xml:space="preserve"> This </w:t>
      </w:r>
      <w:r w:rsidR="0057474C">
        <w:rPr>
          <w:rFonts w:ascii="Arial" w:hAnsi="Arial" w:cs="Arial"/>
          <w:sz w:val="24"/>
          <w:szCs w:val="24"/>
        </w:rPr>
        <w:t>C</w:t>
      </w:r>
      <w:r w:rsidR="00253087">
        <w:rPr>
          <w:rFonts w:ascii="Arial" w:hAnsi="Arial" w:cs="Arial"/>
          <w:sz w:val="24"/>
          <w:szCs w:val="24"/>
        </w:rPr>
        <w:t>ourt heard argument from both parties on the application for leave to appeal and on the merits.</w:t>
      </w:r>
    </w:p>
    <w:p w14:paraId="6EF3D1A5" w14:textId="77777777" w:rsidR="0057474C" w:rsidRDefault="0057474C" w:rsidP="004F3EF6">
      <w:pPr>
        <w:spacing w:after="0" w:line="360" w:lineRule="auto"/>
        <w:contextualSpacing/>
        <w:jc w:val="both"/>
        <w:rPr>
          <w:rFonts w:ascii="Arial" w:hAnsi="Arial" w:cs="Arial"/>
          <w:sz w:val="24"/>
          <w:szCs w:val="24"/>
        </w:rPr>
      </w:pPr>
    </w:p>
    <w:p w14:paraId="4C1FFABE" w14:textId="30F288C3" w:rsidR="0001217E" w:rsidRPr="00D44002" w:rsidRDefault="0057474C" w:rsidP="00A5708B">
      <w:pPr>
        <w:spacing w:after="0" w:line="360" w:lineRule="auto"/>
        <w:contextualSpacing/>
        <w:jc w:val="both"/>
        <w:rPr>
          <w:rFonts w:ascii="Arial" w:hAnsi="Arial" w:cs="Arial"/>
          <w:b/>
          <w:bCs/>
          <w:sz w:val="24"/>
          <w:szCs w:val="24"/>
        </w:rPr>
      </w:pPr>
      <w:r w:rsidRPr="00D44002">
        <w:rPr>
          <w:rFonts w:ascii="Arial" w:hAnsi="Arial" w:cs="Arial"/>
          <w:b/>
          <w:bCs/>
          <w:sz w:val="24"/>
          <w:szCs w:val="24"/>
        </w:rPr>
        <w:t xml:space="preserve">Application for leave to appeal  </w:t>
      </w:r>
    </w:p>
    <w:p w14:paraId="01E324DE" w14:textId="70C20B83" w:rsidR="00E450B9" w:rsidRDefault="00B12EFD" w:rsidP="0057474C">
      <w:pPr>
        <w:spacing w:after="0" w:line="360" w:lineRule="auto"/>
        <w:contextualSpacing/>
        <w:jc w:val="both"/>
        <w:rPr>
          <w:rFonts w:ascii="Arial" w:hAnsi="Arial" w:cs="Arial"/>
          <w:sz w:val="24"/>
          <w:szCs w:val="24"/>
        </w:rPr>
      </w:pPr>
      <w:r>
        <w:rPr>
          <w:rFonts w:ascii="Arial" w:hAnsi="Arial" w:cs="Arial"/>
          <w:sz w:val="24"/>
          <w:szCs w:val="24"/>
        </w:rPr>
        <w:t>[4]</w:t>
      </w:r>
      <w:r w:rsidR="0057474C">
        <w:rPr>
          <w:rFonts w:ascii="Arial" w:hAnsi="Arial" w:cs="Arial"/>
          <w:sz w:val="24"/>
          <w:szCs w:val="24"/>
        </w:rPr>
        <w:tab/>
      </w:r>
      <w:r w:rsidR="00F45063">
        <w:rPr>
          <w:rFonts w:ascii="Arial" w:hAnsi="Arial" w:cs="Arial"/>
          <w:sz w:val="24"/>
          <w:szCs w:val="24"/>
        </w:rPr>
        <w:t xml:space="preserve">Whether </w:t>
      </w:r>
      <w:r w:rsidR="00814FED">
        <w:rPr>
          <w:rFonts w:ascii="Arial" w:hAnsi="Arial" w:cs="Arial"/>
          <w:sz w:val="24"/>
          <w:szCs w:val="24"/>
        </w:rPr>
        <w:t>the procedure</w:t>
      </w:r>
      <w:r w:rsidR="00EB3670">
        <w:rPr>
          <w:rFonts w:ascii="Arial" w:hAnsi="Arial" w:cs="Arial"/>
          <w:sz w:val="24"/>
          <w:szCs w:val="24"/>
        </w:rPr>
        <w:t xml:space="preserve"> </w:t>
      </w:r>
      <w:r w:rsidR="005879A4">
        <w:rPr>
          <w:rFonts w:ascii="Arial" w:hAnsi="Arial" w:cs="Arial"/>
          <w:sz w:val="24"/>
          <w:szCs w:val="24"/>
        </w:rPr>
        <w:t xml:space="preserve">followed </w:t>
      </w:r>
      <w:r w:rsidR="00CD2B19">
        <w:rPr>
          <w:rFonts w:ascii="Arial" w:hAnsi="Arial" w:cs="Arial"/>
          <w:sz w:val="24"/>
          <w:szCs w:val="24"/>
        </w:rPr>
        <w:t xml:space="preserve">by the </w:t>
      </w:r>
      <w:r w:rsidR="00814FED">
        <w:rPr>
          <w:rFonts w:ascii="Arial" w:hAnsi="Arial" w:cs="Arial"/>
          <w:sz w:val="24"/>
          <w:szCs w:val="24"/>
        </w:rPr>
        <w:t>State results</w:t>
      </w:r>
      <w:r w:rsidR="00F45063">
        <w:rPr>
          <w:rFonts w:ascii="Arial" w:hAnsi="Arial" w:cs="Arial"/>
          <w:sz w:val="24"/>
          <w:szCs w:val="24"/>
        </w:rPr>
        <w:t xml:space="preserve"> in this </w:t>
      </w:r>
      <w:r w:rsidR="00814FED">
        <w:rPr>
          <w:rFonts w:ascii="Arial" w:hAnsi="Arial" w:cs="Arial"/>
          <w:sz w:val="24"/>
          <w:szCs w:val="24"/>
        </w:rPr>
        <w:t>C</w:t>
      </w:r>
      <w:r w:rsidR="00F45063">
        <w:rPr>
          <w:rFonts w:ascii="Arial" w:hAnsi="Arial" w:cs="Arial"/>
          <w:sz w:val="24"/>
          <w:szCs w:val="24"/>
        </w:rPr>
        <w:t>ourt lacking jurisdiction to hear the appeal</w:t>
      </w:r>
      <w:r w:rsidR="00CD2B19">
        <w:rPr>
          <w:rFonts w:ascii="Arial" w:hAnsi="Arial" w:cs="Arial"/>
          <w:sz w:val="24"/>
          <w:szCs w:val="24"/>
        </w:rPr>
        <w:t xml:space="preserve"> </w:t>
      </w:r>
      <w:r w:rsidR="00F45063">
        <w:rPr>
          <w:rFonts w:ascii="Arial" w:hAnsi="Arial" w:cs="Arial"/>
          <w:sz w:val="24"/>
          <w:szCs w:val="24"/>
        </w:rPr>
        <w:t xml:space="preserve">must be determined at the outset. </w:t>
      </w:r>
      <w:r w:rsidR="00CD2B19">
        <w:rPr>
          <w:rFonts w:ascii="Arial" w:hAnsi="Arial" w:cs="Arial"/>
          <w:sz w:val="24"/>
          <w:szCs w:val="24"/>
        </w:rPr>
        <w:t>The State</w:t>
      </w:r>
      <w:r w:rsidR="001F394A">
        <w:rPr>
          <w:rFonts w:ascii="Arial" w:hAnsi="Arial" w:cs="Arial"/>
          <w:sz w:val="24"/>
          <w:szCs w:val="24"/>
        </w:rPr>
        <w:t>’</w:t>
      </w:r>
      <w:r w:rsidR="00CD2B19">
        <w:rPr>
          <w:rFonts w:ascii="Arial" w:hAnsi="Arial" w:cs="Arial"/>
          <w:sz w:val="24"/>
          <w:szCs w:val="24"/>
        </w:rPr>
        <w:t xml:space="preserve">s application </w:t>
      </w:r>
      <w:r w:rsidR="00606AAD" w:rsidRPr="0001217E">
        <w:rPr>
          <w:rFonts w:ascii="Arial" w:hAnsi="Arial" w:cs="Arial"/>
          <w:sz w:val="24"/>
          <w:szCs w:val="24"/>
        </w:rPr>
        <w:t>in terms of s 17(2)</w:t>
      </w:r>
      <w:r w:rsidR="00606AAD" w:rsidRPr="0001217E">
        <w:rPr>
          <w:rFonts w:ascii="Arial" w:hAnsi="Arial" w:cs="Arial"/>
          <w:i/>
          <w:sz w:val="24"/>
          <w:szCs w:val="24"/>
        </w:rPr>
        <w:t xml:space="preserve">(b) </w:t>
      </w:r>
      <w:r w:rsidR="00606AAD" w:rsidRPr="0001217E">
        <w:rPr>
          <w:rFonts w:ascii="Arial" w:hAnsi="Arial" w:cs="Arial"/>
          <w:sz w:val="24"/>
          <w:szCs w:val="24"/>
        </w:rPr>
        <w:t xml:space="preserve">of the </w:t>
      </w:r>
      <w:r w:rsidR="003769EC">
        <w:rPr>
          <w:rFonts w:ascii="Arial" w:hAnsi="Arial" w:cs="Arial"/>
          <w:sz w:val="24"/>
          <w:szCs w:val="24"/>
        </w:rPr>
        <w:t>Superior Cour</w:t>
      </w:r>
      <w:r w:rsidR="00CD2B19">
        <w:rPr>
          <w:rFonts w:ascii="Arial" w:hAnsi="Arial" w:cs="Arial"/>
          <w:sz w:val="24"/>
          <w:szCs w:val="24"/>
        </w:rPr>
        <w:t xml:space="preserve">ts </w:t>
      </w:r>
      <w:r w:rsidR="00F0030C">
        <w:rPr>
          <w:rFonts w:ascii="Arial" w:hAnsi="Arial" w:cs="Arial"/>
          <w:sz w:val="24"/>
          <w:szCs w:val="24"/>
        </w:rPr>
        <w:t>Act was</w:t>
      </w:r>
      <w:r w:rsidR="0001217E" w:rsidRPr="0001217E">
        <w:rPr>
          <w:rFonts w:ascii="Arial" w:hAnsi="Arial" w:cs="Arial"/>
          <w:sz w:val="24"/>
          <w:szCs w:val="24"/>
        </w:rPr>
        <w:t xml:space="preserve"> in line with the process followed </w:t>
      </w:r>
      <w:r w:rsidR="002B2A9C">
        <w:rPr>
          <w:rFonts w:ascii="Arial" w:hAnsi="Arial" w:cs="Arial"/>
          <w:sz w:val="24"/>
          <w:szCs w:val="24"/>
        </w:rPr>
        <w:t xml:space="preserve">in this </w:t>
      </w:r>
      <w:r w:rsidR="00D762E7">
        <w:rPr>
          <w:rFonts w:ascii="Arial" w:hAnsi="Arial" w:cs="Arial"/>
          <w:sz w:val="24"/>
          <w:szCs w:val="24"/>
        </w:rPr>
        <w:t xml:space="preserve">Court </w:t>
      </w:r>
      <w:r w:rsidR="0001217E" w:rsidRPr="0001217E">
        <w:rPr>
          <w:rFonts w:ascii="Arial" w:hAnsi="Arial" w:cs="Arial"/>
          <w:sz w:val="24"/>
          <w:szCs w:val="24"/>
        </w:rPr>
        <w:t xml:space="preserve">in </w:t>
      </w:r>
      <w:r w:rsidR="0001217E" w:rsidRPr="00E450B9">
        <w:rPr>
          <w:rFonts w:ascii="Arial" w:hAnsi="Arial" w:cs="Arial"/>
          <w:i/>
          <w:sz w:val="24"/>
          <w:szCs w:val="24"/>
        </w:rPr>
        <w:t>Director of P</w:t>
      </w:r>
      <w:r w:rsidR="00D40E47" w:rsidRPr="00E450B9">
        <w:rPr>
          <w:rFonts w:ascii="Arial" w:hAnsi="Arial" w:cs="Arial"/>
          <w:i/>
          <w:sz w:val="24"/>
          <w:szCs w:val="24"/>
        </w:rPr>
        <w:t>ublic Prosecutions, Limpopo v Mo</w:t>
      </w:r>
      <w:r w:rsidR="001F394A">
        <w:rPr>
          <w:rFonts w:ascii="Arial" w:hAnsi="Arial" w:cs="Arial"/>
          <w:i/>
          <w:sz w:val="24"/>
          <w:szCs w:val="24"/>
        </w:rPr>
        <w:t>k</w:t>
      </w:r>
      <w:r w:rsidR="0001217E" w:rsidRPr="00E450B9">
        <w:rPr>
          <w:rFonts w:ascii="Arial" w:hAnsi="Arial" w:cs="Arial"/>
          <w:i/>
          <w:sz w:val="24"/>
          <w:szCs w:val="24"/>
        </w:rPr>
        <w:t>gotho</w:t>
      </w:r>
      <w:r w:rsidR="0001217E" w:rsidRPr="0001217E">
        <w:rPr>
          <w:rFonts w:ascii="Arial" w:hAnsi="Arial" w:cs="Arial"/>
          <w:sz w:val="24"/>
          <w:szCs w:val="24"/>
        </w:rPr>
        <w:t xml:space="preserve"> [2</w:t>
      </w:r>
      <w:r w:rsidR="00D40E47">
        <w:rPr>
          <w:rFonts w:ascii="Arial" w:hAnsi="Arial" w:cs="Arial"/>
          <w:sz w:val="24"/>
          <w:szCs w:val="24"/>
        </w:rPr>
        <w:t>017] ZAS</w:t>
      </w:r>
      <w:r w:rsidR="00E450B9">
        <w:rPr>
          <w:rFonts w:ascii="Arial" w:hAnsi="Arial" w:cs="Arial"/>
          <w:sz w:val="24"/>
          <w:szCs w:val="24"/>
        </w:rPr>
        <w:t>C</w:t>
      </w:r>
      <w:r w:rsidR="00D40E47">
        <w:rPr>
          <w:rFonts w:ascii="Arial" w:hAnsi="Arial" w:cs="Arial"/>
          <w:sz w:val="24"/>
          <w:szCs w:val="24"/>
        </w:rPr>
        <w:t>A 159</w:t>
      </w:r>
      <w:r w:rsidR="001C069D">
        <w:rPr>
          <w:rFonts w:ascii="Arial" w:hAnsi="Arial" w:cs="Arial"/>
          <w:sz w:val="24"/>
          <w:szCs w:val="24"/>
        </w:rPr>
        <w:t xml:space="preserve"> (SCA)</w:t>
      </w:r>
      <w:r w:rsidR="00D762E7">
        <w:rPr>
          <w:rFonts w:ascii="Arial" w:hAnsi="Arial" w:cs="Arial"/>
          <w:sz w:val="24"/>
          <w:szCs w:val="24"/>
        </w:rPr>
        <w:t>.</w:t>
      </w:r>
      <w:r w:rsidR="00BF6EE9">
        <w:rPr>
          <w:rFonts w:ascii="Arial" w:hAnsi="Arial" w:cs="Arial"/>
          <w:sz w:val="24"/>
          <w:szCs w:val="24"/>
        </w:rPr>
        <w:t xml:space="preserve"> I</w:t>
      </w:r>
      <w:r w:rsidR="00CD2B19">
        <w:rPr>
          <w:rFonts w:ascii="Arial" w:hAnsi="Arial" w:cs="Arial"/>
          <w:sz w:val="24"/>
          <w:szCs w:val="24"/>
        </w:rPr>
        <w:t xml:space="preserve">t does not appear </w:t>
      </w:r>
      <w:r w:rsidR="00BF6EE9">
        <w:rPr>
          <w:rFonts w:ascii="Arial" w:hAnsi="Arial" w:cs="Arial"/>
          <w:sz w:val="24"/>
          <w:szCs w:val="24"/>
        </w:rPr>
        <w:t xml:space="preserve">from </w:t>
      </w:r>
      <w:r w:rsidR="003828D0">
        <w:rPr>
          <w:rFonts w:ascii="Arial" w:hAnsi="Arial" w:cs="Arial"/>
          <w:sz w:val="24"/>
          <w:szCs w:val="24"/>
        </w:rPr>
        <w:t>a reading of that</w:t>
      </w:r>
      <w:r w:rsidR="001F394A">
        <w:rPr>
          <w:rFonts w:ascii="Arial" w:hAnsi="Arial" w:cs="Arial"/>
          <w:sz w:val="24"/>
          <w:szCs w:val="24"/>
        </w:rPr>
        <w:t xml:space="preserve"> judgment that </w:t>
      </w:r>
      <w:r w:rsidR="00CD2B19">
        <w:rPr>
          <w:rFonts w:ascii="Arial" w:hAnsi="Arial" w:cs="Arial"/>
          <w:sz w:val="24"/>
          <w:szCs w:val="24"/>
        </w:rPr>
        <w:t>the procedure adopted by the Stat</w:t>
      </w:r>
      <w:r w:rsidR="00BF6EE9">
        <w:rPr>
          <w:rFonts w:ascii="Arial" w:hAnsi="Arial" w:cs="Arial"/>
          <w:sz w:val="24"/>
          <w:szCs w:val="24"/>
        </w:rPr>
        <w:t xml:space="preserve">e was challenged in </w:t>
      </w:r>
      <w:r w:rsidR="00BF6EE9" w:rsidRPr="001F394A">
        <w:rPr>
          <w:rFonts w:ascii="Arial" w:hAnsi="Arial" w:cs="Arial"/>
          <w:i/>
          <w:sz w:val="24"/>
          <w:szCs w:val="24"/>
        </w:rPr>
        <w:t>Mo</w:t>
      </w:r>
      <w:r w:rsidR="001F394A" w:rsidRPr="001F394A">
        <w:rPr>
          <w:rFonts w:ascii="Arial" w:hAnsi="Arial" w:cs="Arial"/>
          <w:i/>
          <w:sz w:val="24"/>
          <w:szCs w:val="24"/>
        </w:rPr>
        <w:t>k</w:t>
      </w:r>
      <w:r w:rsidR="00BF6EE9" w:rsidRPr="001F394A">
        <w:rPr>
          <w:rFonts w:ascii="Arial" w:hAnsi="Arial" w:cs="Arial"/>
          <w:i/>
          <w:sz w:val="24"/>
          <w:szCs w:val="24"/>
        </w:rPr>
        <w:t>gotho</w:t>
      </w:r>
      <w:r w:rsidR="00E7074C">
        <w:rPr>
          <w:rFonts w:ascii="Arial" w:hAnsi="Arial" w:cs="Arial"/>
          <w:sz w:val="24"/>
          <w:szCs w:val="24"/>
        </w:rPr>
        <w:t>.</w:t>
      </w:r>
      <w:r w:rsidR="00966475">
        <w:rPr>
          <w:rFonts w:ascii="Arial" w:hAnsi="Arial" w:cs="Arial"/>
          <w:sz w:val="24"/>
          <w:szCs w:val="24"/>
        </w:rPr>
        <w:t xml:space="preserve"> </w:t>
      </w:r>
      <w:r w:rsidR="00E7074C">
        <w:rPr>
          <w:rFonts w:ascii="Arial" w:hAnsi="Arial" w:cs="Arial"/>
          <w:sz w:val="24"/>
          <w:szCs w:val="24"/>
        </w:rPr>
        <w:t>Th</w:t>
      </w:r>
      <w:r w:rsidR="002B2A9C">
        <w:rPr>
          <w:rFonts w:ascii="Arial" w:hAnsi="Arial" w:cs="Arial"/>
          <w:sz w:val="24"/>
          <w:szCs w:val="24"/>
        </w:rPr>
        <w:t xml:space="preserve">is </w:t>
      </w:r>
      <w:r w:rsidR="00D762E7">
        <w:rPr>
          <w:rFonts w:ascii="Arial" w:hAnsi="Arial" w:cs="Arial"/>
          <w:sz w:val="24"/>
          <w:szCs w:val="24"/>
        </w:rPr>
        <w:t>C</w:t>
      </w:r>
      <w:r w:rsidR="002B2A9C">
        <w:rPr>
          <w:rFonts w:ascii="Arial" w:hAnsi="Arial" w:cs="Arial"/>
          <w:sz w:val="24"/>
          <w:szCs w:val="24"/>
        </w:rPr>
        <w:t>ourt</w:t>
      </w:r>
      <w:r w:rsidR="00D40E47">
        <w:rPr>
          <w:rFonts w:ascii="Arial" w:hAnsi="Arial" w:cs="Arial"/>
          <w:sz w:val="24"/>
          <w:szCs w:val="24"/>
        </w:rPr>
        <w:t xml:space="preserve">, </w:t>
      </w:r>
      <w:r w:rsidR="00E7074C">
        <w:rPr>
          <w:rFonts w:ascii="Arial" w:hAnsi="Arial" w:cs="Arial"/>
          <w:sz w:val="24"/>
          <w:szCs w:val="24"/>
        </w:rPr>
        <w:t xml:space="preserve">however, </w:t>
      </w:r>
      <w:r w:rsidR="0001217E" w:rsidRPr="0001217E">
        <w:rPr>
          <w:rFonts w:ascii="Arial" w:hAnsi="Arial" w:cs="Arial"/>
          <w:sz w:val="24"/>
          <w:szCs w:val="24"/>
        </w:rPr>
        <w:t xml:space="preserve">in </w:t>
      </w:r>
      <w:r w:rsidR="0001217E" w:rsidRPr="00E450B9">
        <w:rPr>
          <w:rFonts w:ascii="Arial" w:hAnsi="Arial" w:cs="Arial"/>
          <w:i/>
          <w:sz w:val="24"/>
          <w:szCs w:val="24"/>
        </w:rPr>
        <w:t xml:space="preserve">Director of Public Prosecutions, </w:t>
      </w:r>
      <w:r w:rsidR="00A560B1" w:rsidRPr="00E450B9">
        <w:rPr>
          <w:rFonts w:ascii="Arial" w:hAnsi="Arial" w:cs="Arial"/>
          <w:i/>
          <w:sz w:val="24"/>
          <w:szCs w:val="24"/>
        </w:rPr>
        <w:t>KwaZulu-Natal v Ramdass</w:t>
      </w:r>
      <w:r w:rsidR="00A560B1">
        <w:rPr>
          <w:rFonts w:ascii="Arial" w:hAnsi="Arial" w:cs="Arial"/>
          <w:sz w:val="24"/>
          <w:szCs w:val="24"/>
        </w:rPr>
        <w:t xml:space="preserve"> </w:t>
      </w:r>
      <w:r w:rsidR="00FA084E">
        <w:rPr>
          <w:rFonts w:ascii="Arial" w:hAnsi="Arial" w:cs="Arial"/>
          <w:sz w:val="24"/>
          <w:szCs w:val="24"/>
        </w:rPr>
        <w:t xml:space="preserve">[2019] ZASCA 23; </w:t>
      </w:r>
      <w:r w:rsidR="00A560B1">
        <w:rPr>
          <w:rFonts w:ascii="Arial" w:hAnsi="Arial" w:cs="Arial"/>
          <w:sz w:val="24"/>
          <w:szCs w:val="24"/>
        </w:rPr>
        <w:t xml:space="preserve">2019 (2) SACR </w:t>
      </w:r>
      <w:r w:rsidR="005E1390">
        <w:rPr>
          <w:rFonts w:ascii="Arial" w:hAnsi="Arial" w:cs="Arial"/>
          <w:sz w:val="24"/>
          <w:szCs w:val="24"/>
        </w:rPr>
        <w:t>1 (SCA),</w:t>
      </w:r>
      <w:r w:rsidR="002B2A9C">
        <w:rPr>
          <w:rFonts w:ascii="Arial" w:hAnsi="Arial" w:cs="Arial"/>
          <w:sz w:val="24"/>
          <w:szCs w:val="24"/>
        </w:rPr>
        <w:t xml:space="preserve"> without reference to </w:t>
      </w:r>
      <w:r w:rsidR="002B2A9C" w:rsidRPr="001F394A">
        <w:rPr>
          <w:rFonts w:ascii="Arial" w:hAnsi="Arial" w:cs="Arial"/>
          <w:i/>
          <w:sz w:val="24"/>
          <w:szCs w:val="24"/>
        </w:rPr>
        <w:t>Mokgotho,</w:t>
      </w:r>
      <w:r w:rsidR="002B2A9C">
        <w:rPr>
          <w:rFonts w:ascii="Arial" w:hAnsi="Arial" w:cs="Arial"/>
          <w:sz w:val="24"/>
          <w:szCs w:val="24"/>
        </w:rPr>
        <w:t xml:space="preserve"> </w:t>
      </w:r>
      <w:r w:rsidR="0001217E" w:rsidRPr="0001217E">
        <w:rPr>
          <w:rFonts w:ascii="Arial" w:hAnsi="Arial" w:cs="Arial"/>
          <w:sz w:val="24"/>
          <w:szCs w:val="24"/>
        </w:rPr>
        <w:t>held that the correct jurisdictional path for the State to follow</w:t>
      </w:r>
      <w:r w:rsidR="00D762E7">
        <w:rPr>
          <w:rFonts w:ascii="Arial" w:hAnsi="Arial" w:cs="Arial"/>
          <w:sz w:val="24"/>
          <w:szCs w:val="24"/>
        </w:rPr>
        <w:t>,</w:t>
      </w:r>
      <w:r w:rsidR="0001217E" w:rsidRPr="0001217E">
        <w:rPr>
          <w:rFonts w:ascii="Arial" w:hAnsi="Arial" w:cs="Arial"/>
          <w:sz w:val="24"/>
          <w:szCs w:val="24"/>
        </w:rPr>
        <w:t xml:space="preserve"> where the trial court refused its applicat</w:t>
      </w:r>
      <w:r w:rsidR="00B17ED5">
        <w:rPr>
          <w:rFonts w:ascii="Arial" w:hAnsi="Arial" w:cs="Arial"/>
          <w:sz w:val="24"/>
          <w:szCs w:val="24"/>
        </w:rPr>
        <w:t>ion to reserve questions of law in terms of s</w:t>
      </w:r>
      <w:r w:rsidR="001F394A">
        <w:rPr>
          <w:rFonts w:ascii="Arial" w:hAnsi="Arial" w:cs="Arial"/>
          <w:sz w:val="24"/>
          <w:szCs w:val="24"/>
        </w:rPr>
        <w:t xml:space="preserve"> </w:t>
      </w:r>
      <w:r w:rsidR="00B17ED5">
        <w:rPr>
          <w:rFonts w:ascii="Arial" w:hAnsi="Arial" w:cs="Arial"/>
          <w:sz w:val="24"/>
          <w:szCs w:val="24"/>
        </w:rPr>
        <w:t>319</w:t>
      </w:r>
      <w:r w:rsidR="00D762E7">
        <w:rPr>
          <w:rFonts w:ascii="Arial" w:hAnsi="Arial" w:cs="Arial"/>
          <w:sz w:val="24"/>
          <w:szCs w:val="24"/>
        </w:rPr>
        <w:t>,</w:t>
      </w:r>
      <w:r w:rsidR="00B17ED5">
        <w:rPr>
          <w:rFonts w:ascii="Arial" w:hAnsi="Arial" w:cs="Arial"/>
          <w:sz w:val="24"/>
          <w:szCs w:val="24"/>
        </w:rPr>
        <w:t xml:space="preserve"> </w:t>
      </w:r>
      <w:r w:rsidR="0001217E" w:rsidRPr="0001217E">
        <w:rPr>
          <w:rFonts w:ascii="Arial" w:hAnsi="Arial" w:cs="Arial"/>
          <w:sz w:val="24"/>
          <w:szCs w:val="24"/>
        </w:rPr>
        <w:t>was the process prescribed in s</w:t>
      </w:r>
      <w:r w:rsidR="001F394A">
        <w:rPr>
          <w:rFonts w:ascii="Arial" w:hAnsi="Arial" w:cs="Arial"/>
          <w:sz w:val="24"/>
          <w:szCs w:val="24"/>
        </w:rPr>
        <w:t xml:space="preserve"> </w:t>
      </w:r>
      <w:r w:rsidR="0001217E" w:rsidRPr="0001217E">
        <w:rPr>
          <w:rFonts w:ascii="Arial" w:hAnsi="Arial" w:cs="Arial"/>
          <w:sz w:val="24"/>
          <w:szCs w:val="24"/>
        </w:rPr>
        <w:t>317(5) of the CPA</w:t>
      </w:r>
      <w:r w:rsidR="0054549A">
        <w:rPr>
          <w:rStyle w:val="FootnoteReference"/>
          <w:rFonts w:ascii="Arial" w:hAnsi="Arial" w:cs="Arial"/>
          <w:sz w:val="24"/>
          <w:szCs w:val="24"/>
        </w:rPr>
        <w:footnoteReference w:id="2"/>
      </w:r>
      <w:r w:rsidR="0001217E" w:rsidRPr="0001217E">
        <w:rPr>
          <w:rFonts w:ascii="Arial" w:hAnsi="Arial" w:cs="Arial"/>
          <w:sz w:val="24"/>
          <w:szCs w:val="24"/>
        </w:rPr>
        <w:t xml:space="preserve"> </w:t>
      </w:r>
      <w:r w:rsidR="003828D0">
        <w:rPr>
          <w:rFonts w:ascii="Arial" w:hAnsi="Arial" w:cs="Arial"/>
          <w:sz w:val="24"/>
          <w:szCs w:val="24"/>
        </w:rPr>
        <w:t>(</w:t>
      </w:r>
      <w:r w:rsidR="0001217E" w:rsidRPr="0001217E">
        <w:rPr>
          <w:rFonts w:ascii="Arial" w:hAnsi="Arial" w:cs="Arial"/>
          <w:sz w:val="24"/>
          <w:szCs w:val="24"/>
        </w:rPr>
        <w:t>as referred to in s</w:t>
      </w:r>
      <w:r w:rsidR="001F394A">
        <w:rPr>
          <w:rFonts w:ascii="Arial" w:hAnsi="Arial" w:cs="Arial"/>
          <w:sz w:val="24"/>
          <w:szCs w:val="24"/>
        </w:rPr>
        <w:t xml:space="preserve"> </w:t>
      </w:r>
      <w:r w:rsidR="003828D0">
        <w:rPr>
          <w:rFonts w:ascii="Arial" w:hAnsi="Arial" w:cs="Arial"/>
          <w:sz w:val="24"/>
          <w:szCs w:val="24"/>
        </w:rPr>
        <w:t>319(3) of the CPA),</w:t>
      </w:r>
      <w:r w:rsidR="0001217E" w:rsidRPr="0001217E">
        <w:rPr>
          <w:rFonts w:ascii="Arial" w:hAnsi="Arial" w:cs="Arial"/>
          <w:sz w:val="24"/>
          <w:szCs w:val="24"/>
        </w:rPr>
        <w:t xml:space="preserve"> dealing with appeals against such refusal, by way of a petition to the President of th</w:t>
      </w:r>
      <w:r w:rsidR="002B2A9C">
        <w:rPr>
          <w:rFonts w:ascii="Arial" w:hAnsi="Arial" w:cs="Arial"/>
          <w:sz w:val="24"/>
          <w:szCs w:val="24"/>
        </w:rPr>
        <w:t>e Supreme Court of Appeal</w:t>
      </w:r>
      <w:r w:rsidR="00F7314A">
        <w:rPr>
          <w:rFonts w:ascii="Arial" w:hAnsi="Arial" w:cs="Arial"/>
          <w:sz w:val="24"/>
          <w:szCs w:val="24"/>
        </w:rPr>
        <w:t xml:space="preserve"> (SCA)</w:t>
      </w:r>
      <w:r w:rsidR="0001217E" w:rsidRPr="0001217E">
        <w:rPr>
          <w:rFonts w:ascii="Arial" w:hAnsi="Arial" w:cs="Arial"/>
          <w:sz w:val="24"/>
          <w:szCs w:val="24"/>
        </w:rPr>
        <w:t xml:space="preserve">. </w:t>
      </w:r>
    </w:p>
    <w:p w14:paraId="35CD91A9" w14:textId="77777777" w:rsidR="00C421A3" w:rsidRDefault="00C421A3" w:rsidP="00D44002">
      <w:pPr>
        <w:spacing w:after="0" w:line="360" w:lineRule="auto"/>
        <w:contextualSpacing/>
        <w:jc w:val="both"/>
        <w:rPr>
          <w:rFonts w:ascii="Arial" w:hAnsi="Arial" w:cs="Arial"/>
          <w:sz w:val="24"/>
          <w:szCs w:val="24"/>
        </w:rPr>
      </w:pPr>
    </w:p>
    <w:p w14:paraId="42DD7B11" w14:textId="1D73D9B5" w:rsidR="00C421A3" w:rsidRDefault="001F394A" w:rsidP="00D44002">
      <w:pPr>
        <w:spacing w:after="0" w:line="360" w:lineRule="auto"/>
        <w:contextualSpacing/>
        <w:jc w:val="both"/>
        <w:rPr>
          <w:rFonts w:ascii="Arial" w:hAnsi="Arial" w:cs="Arial"/>
          <w:sz w:val="24"/>
          <w:szCs w:val="24"/>
        </w:rPr>
      </w:pPr>
      <w:r>
        <w:rPr>
          <w:rFonts w:ascii="Arial" w:hAnsi="Arial" w:cs="Arial"/>
          <w:sz w:val="24"/>
          <w:szCs w:val="24"/>
        </w:rPr>
        <w:t>[5</w:t>
      </w:r>
      <w:r w:rsidR="00E450B9">
        <w:rPr>
          <w:rFonts w:ascii="Arial" w:hAnsi="Arial" w:cs="Arial"/>
          <w:sz w:val="24"/>
          <w:szCs w:val="24"/>
        </w:rPr>
        <w:t>]</w:t>
      </w:r>
      <w:r w:rsidR="005165CA">
        <w:rPr>
          <w:rFonts w:ascii="Arial" w:hAnsi="Arial" w:cs="Arial"/>
          <w:sz w:val="24"/>
          <w:szCs w:val="24"/>
        </w:rPr>
        <w:tab/>
      </w:r>
      <w:r w:rsidR="0001217E" w:rsidRPr="0001217E">
        <w:rPr>
          <w:rFonts w:ascii="Arial" w:hAnsi="Arial" w:cs="Arial"/>
          <w:sz w:val="24"/>
          <w:szCs w:val="24"/>
        </w:rPr>
        <w:t xml:space="preserve">In </w:t>
      </w:r>
      <w:r w:rsidR="0001217E" w:rsidRPr="00E450B9">
        <w:rPr>
          <w:rFonts w:ascii="Arial" w:hAnsi="Arial" w:cs="Arial"/>
          <w:i/>
          <w:sz w:val="24"/>
          <w:szCs w:val="24"/>
        </w:rPr>
        <w:t>Ramdass</w:t>
      </w:r>
      <w:r w:rsidR="0001217E" w:rsidRPr="00B35453">
        <w:rPr>
          <w:rFonts w:ascii="Arial" w:hAnsi="Arial" w:cs="Arial"/>
          <w:sz w:val="24"/>
          <w:szCs w:val="24"/>
        </w:rPr>
        <w:t xml:space="preserve">, </w:t>
      </w:r>
      <w:r w:rsidR="0001217E" w:rsidRPr="0001217E">
        <w:rPr>
          <w:rFonts w:ascii="Arial" w:hAnsi="Arial" w:cs="Arial"/>
          <w:sz w:val="24"/>
          <w:szCs w:val="24"/>
        </w:rPr>
        <w:t xml:space="preserve">the State did not apply to this </w:t>
      </w:r>
      <w:r w:rsidR="00C421A3">
        <w:rPr>
          <w:rFonts w:ascii="Arial" w:hAnsi="Arial" w:cs="Arial"/>
          <w:sz w:val="24"/>
          <w:szCs w:val="24"/>
        </w:rPr>
        <w:t>C</w:t>
      </w:r>
      <w:r w:rsidR="0001217E" w:rsidRPr="0001217E">
        <w:rPr>
          <w:rFonts w:ascii="Arial" w:hAnsi="Arial" w:cs="Arial"/>
          <w:sz w:val="24"/>
          <w:szCs w:val="24"/>
        </w:rPr>
        <w:t>ourt in terms of s</w:t>
      </w:r>
      <w:r>
        <w:rPr>
          <w:rFonts w:ascii="Arial" w:hAnsi="Arial" w:cs="Arial"/>
          <w:sz w:val="24"/>
          <w:szCs w:val="24"/>
        </w:rPr>
        <w:t xml:space="preserve"> </w:t>
      </w:r>
      <w:r w:rsidR="0001217E" w:rsidRPr="0001217E">
        <w:rPr>
          <w:rFonts w:ascii="Arial" w:hAnsi="Arial" w:cs="Arial"/>
          <w:sz w:val="24"/>
          <w:szCs w:val="24"/>
        </w:rPr>
        <w:t>317(5) of the CPA, but in terms of s</w:t>
      </w:r>
      <w:r>
        <w:rPr>
          <w:rFonts w:ascii="Arial" w:hAnsi="Arial" w:cs="Arial"/>
          <w:sz w:val="24"/>
          <w:szCs w:val="24"/>
        </w:rPr>
        <w:t xml:space="preserve"> </w:t>
      </w:r>
      <w:r w:rsidR="0001217E" w:rsidRPr="0001217E">
        <w:rPr>
          <w:rFonts w:ascii="Arial" w:hAnsi="Arial" w:cs="Arial"/>
          <w:sz w:val="24"/>
          <w:szCs w:val="24"/>
        </w:rPr>
        <w:t>319(1) of the CPA read with s</w:t>
      </w:r>
      <w:r w:rsidR="00EF4916">
        <w:rPr>
          <w:rFonts w:ascii="Arial" w:hAnsi="Arial" w:cs="Arial"/>
          <w:sz w:val="24"/>
          <w:szCs w:val="24"/>
        </w:rPr>
        <w:t xml:space="preserve"> </w:t>
      </w:r>
      <w:r w:rsidR="0001217E" w:rsidRPr="0001217E">
        <w:rPr>
          <w:rFonts w:ascii="Arial" w:hAnsi="Arial" w:cs="Arial"/>
          <w:sz w:val="24"/>
          <w:szCs w:val="24"/>
        </w:rPr>
        <w:t>16(1)</w:t>
      </w:r>
      <w:r w:rsidR="0001217E" w:rsidRPr="00D44002">
        <w:rPr>
          <w:rFonts w:ascii="Arial" w:hAnsi="Arial" w:cs="Arial"/>
          <w:i/>
          <w:iCs/>
          <w:sz w:val="24"/>
          <w:szCs w:val="24"/>
        </w:rPr>
        <w:t>(</w:t>
      </w:r>
      <w:r w:rsidR="0001217E" w:rsidRPr="00C421A3">
        <w:rPr>
          <w:rFonts w:ascii="Arial" w:hAnsi="Arial" w:cs="Arial"/>
          <w:i/>
          <w:iCs/>
          <w:sz w:val="24"/>
          <w:szCs w:val="24"/>
        </w:rPr>
        <w:t>b</w:t>
      </w:r>
      <w:r w:rsidR="0001217E" w:rsidRPr="00D44002">
        <w:rPr>
          <w:rFonts w:ascii="Arial" w:hAnsi="Arial" w:cs="Arial"/>
          <w:i/>
          <w:iCs/>
          <w:sz w:val="24"/>
          <w:szCs w:val="24"/>
        </w:rPr>
        <w:t>)</w:t>
      </w:r>
      <w:r w:rsidR="0001217E" w:rsidRPr="0001217E">
        <w:rPr>
          <w:rFonts w:ascii="Arial" w:hAnsi="Arial" w:cs="Arial"/>
          <w:sz w:val="24"/>
          <w:szCs w:val="24"/>
        </w:rPr>
        <w:t xml:space="preserve"> of the Superior Courts Act, asking for special leave</w:t>
      </w:r>
      <w:r w:rsidR="00D40E47">
        <w:rPr>
          <w:rFonts w:ascii="Arial" w:hAnsi="Arial" w:cs="Arial"/>
          <w:sz w:val="24"/>
          <w:szCs w:val="24"/>
        </w:rPr>
        <w:t xml:space="preserve"> to appeal against the refusal.</w:t>
      </w:r>
      <w:r w:rsidR="0051425C">
        <w:rPr>
          <w:rFonts w:ascii="Arial" w:hAnsi="Arial" w:cs="Arial"/>
          <w:sz w:val="24"/>
          <w:szCs w:val="24"/>
        </w:rPr>
        <w:t xml:space="preserve"> </w:t>
      </w:r>
      <w:r w:rsidR="00B17ED5">
        <w:rPr>
          <w:rFonts w:ascii="Arial" w:hAnsi="Arial" w:cs="Arial"/>
          <w:sz w:val="24"/>
          <w:szCs w:val="24"/>
        </w:rPr>
        <w:t xml:space="preserve">The question arose as to whether the State had followed </w:t>
      </w:r>
      <w:r w:rsidR="00AF69C0">
        <w:rPr>
          <w:rFonts w:ascii="Arial" w:hAnsi="Arial" w:cs="Arial"/>
          <w:sz w:val="24"/>
          <w:szCs w:val="24"/>
        </w:rPr>
        <w:t xml:space="preserve">the correct procedure. </w:t>
      </w:r>
      <w:r w:rsidR="00B17ED5">
        <w:rPr>
          <w:rFonts w:ascii="Arial" w:hAnsi="Arial" w:cs="Arial"/>
          <w:sz w:val="24"/>
          <w:szCs w:val="24"/>
        </w:rPr>
        <w:t xml:space="preserve">This </w:t>
      </w:r>
      <w:r w:rsidR="00FA084E">
        <w:rPr>
          <w:rFonts w:ascii="Arial" w:hAnsi="Arial" w:cs="Arial"/>
          <w:sz w:val="24"/>
          <w:szCs w:val="24"/>
        </w:rPr>
        <w:t>C</w:t>
      </w:r>
      <w:r w:rsidR="00B17ED5">
        <w:rPr>
          <w:rFonts w:ascii="Arial" w:hAnsi="Arial" w:cs="Arial"/>
          <w:sz w:val="24"/>
          <w:szCs w:val="24"/>
        </w:rPr>
        <w:t xml:space="preserve">ourt </w:t>
      </w:r>
      <w:r w:rsidR="00FA084E">
        <w:rPr>
          <w:rFonts w:ascii="Arial" w:hAnsi="Arial" w:cs="Arial"/>
          <w:sz w:val="24"/>
          <w:szCs w:val="24"/>
        </w:rPr>
        <w:t xml:space="preserve">in </w:t>
      </w:r>
      <w:r w:rsidR="00FA084E" w:rsidRPr="00D44002">
        <w:rPr>
          <w:rFonts w:ascii="Arial" w:hAnsi="Arial" w:cs="Arial"/>
          <w:i/>
          <w:iCs/>
          <w:sz w:val="24"/>
          <w:szCs w:val="24"/>
        </w:rPr>
        <w:t xml:space="preserve">Ramdass </w:t>
      </w:r>
      <w:r w:rsidR="00B17ED5">
        <w:rPr>
          <w:rFonts w:ascii="Arial" w:hAnsi="Arial" w:cs="Arial"/>
          <w:sz w:val="24"/>
          <w:szCs w:val="24"/>
        </w:rPr>
        <w:t>said</w:t>
      </w:r>
      <w:r w:rsidR="00F7314A">
        <w:rPr>
          <w:rFonts w:ascii="Arial" w:hAnsi="Arial" w:cs="Arial"/>
          <w:sz w:val="24"/>
          <w:szCs w:val="24"/>
        </w:rPr>
        <w:t>,</w:t>
      </w:r>
      <w:r w:rsidR="00B17ED5">
        <w:rPr>
          <w:rFonts w:ascii="Arial" w:hAnsi="Arial" w:cs="Arial"/>
          <w:sz w:val="24"/>
          <w:szCs w:val="24"/>
        </w:rPr>
        <w:t xml:space="preserve"> a</w:t>
      </w:r>
      <w:r w:rsidR="0033191C">
        <w:rPr>
          <w:rFonts w:ascii="Arial" w:hAnsi="Arial" w:cs="Arial"/>
          <w:sz w:val="24"/>
          <w:szCs w:val="24"/>
        </w:rPr>
        <w:t>t para</w:t>
      </w:r>
      <w:r w:rsidR="00FA084E">
        <w:rPr>
          <w:rFonts w:ascii="Arial" w:hAnsi="Arial" w:cs="Arial"/>
          <w:sz w:val="24"/>
          <w:szCs w:val="24"/>
        </w:rPr>
        <w:t>s</w:t>
      </w:r>
      <w:r w:rsidR="0033191C">
        <w:rPr>
          <w:rFonts w:ascii="Arial" w:hAnsi="Arial" w:cs="Arial"/>
          <w:sz w:val="24"/>
          <w:szCs w:val="24"/>
        </w:rPr>
        <w:t xml:space="preserve"> 4</w:t>
      </w:r>
      <w:r w:rsidR="00FA084E">
        <w:rPr>
          <w:rFonts w:ascii="Arial" w:hAnsi="Arial" w:cs="Arial"/>
          <w:sz w:val="24"/>
          <w:szCs w:val="24"/>
        </w:rPr>
        <w:t xml:space="preserve"> and 5</w:t>
      </w:r>
      <w:r w:rsidR="00F7314A">
        <w:rPr>
          <w:rFonts w:ascii="Arial" w:hAnsi="Arial" w:cs="Arial"/>
          <w:sz w:val="24"/>
          <w:szCs w:val="24"/>
        </w:rPr>
        <w:t>,</w:t>
      </w:r>
      <w:r w:rsidR="0033191C">
        <w:rPr>
          <w:rFonts w:ascii="Arial" w:hAnsi="Arial" w:cs="Arial"/>
          <w:sz w:val="24"/>
          <w:szCs w:val="24"/>
        </w:rPr>
        <w:t xml:space="preserve"> </w:t>
      </w:r>
      <w:r w:rsidR="0051425C">
        <w:rPr>
          <w:rFonts w:ascii="Arial" w:hAnsi="Arial" w:cs="Arial"/>
          <w:sz w:val="24"/>
          <w:szCs w:val="24"/>
        </w:rPr>
        <w:t>as foll</w:t>
      </w:r>
      <w:r w:rsidR="0047664A">
        <w:rPr>
          <w:rFonts w:ascii="Arial" w:hAnsi="Arial" w:cs="Arial"/>
          <w:sz w:val="24"/>
          <w:szCs w:val="24"/>
        </w:rPr>
        <w:t>o</w:t>
      </w:r>
      <w:r w:rsidR="0051425C">
        <w:rPr>
          <w:rFonts w:ascii="Arial" w:hAnsi="Arial" w:cs="Arial"/>
          <w:sz w:val="24"/>
          <w:szCs w:val="24"/>
        </w:rPr>
        <w:t>ws:</w:t>
      </w:r>
    </w:p>
    <w:p w14:paraId="089FE7E6" w14:textId="0AB02C70" w:rsidR="00FA084E" w:rsidRPr="00B85098" w:rsidRDefault="00FA084E" w:rsidP="00D44002">
      <w:pPr>
        <w:shd w:val="clear" w:color="auto" w:fill="FFFFFF"/>
        <w:spacing w:after="0" w:line="360" w:lineRule="auto"/>
        <w:contextualSpacing/>
        <w:jc w:val="both"/>
        <w:rPr>
          <w:rFonts w:ascii="Arial" w:eastAsia="Times New Roman" w:hAnsi="Arial" w:cs="Arial"/>
          <w:lang w:eastAsia="en-ZA"/>
        </w:rPr>
      </w:pPr>
      <w:r w:rsidRPr="00FA084E">
        <w:rPr>
          <w:rFonts w:ascii="Arial" w:eastAsia="Times New Roman" w:hAnsi="Arial" w:cs="Arial"/>
          <w:color w:val="242121"/>
          <w:lang w:eastAsia="en-ZA"/>
        </w:rPr>
        <w:lastRenderedPageBreak/>
        <w:t xml:space="preserve">‘The starting point in determining the correct jurisdictional path that should have been followed </w:t>
      </w:r>
      <w:r w:rsidRPr="00B85098">
        <w:rPr>
          <w:rFonts w:ascii="Arial" w:eastAsia="Times New Roman" w:hAnsi="Arial" w:cs="Arial"/>
          <w:lang w:eastAsia="en-ZA"/>
        </w:rPr>
        <w:t>by the State, is s 319 of the CPA. The relevant provisions of the section are ss 319(1) and 319(3) which provide as follows:</w:t>
      </w:r>
    </w:p>
    <w:p w14:paraId="79901368" w14:textId="25351B0D" w:rsidR="00FA084E" w:rsidRPr="00B85098" w:rsidRDefault="00FA084E" w:rsidP="00D44002">
      <w:pPr>
        <w:shd w:val="clear" w:color="auto" w:fill="FFFFFF"/>
        <w:spacing w:after="0" w:line="360" w:lineRule="auto"/>
        <w:contextualSpacing/>
        <w:jc w:val="both"/>
        <w:rPr>
          <w:rFonts w:ascii="Arial" w:eastAsia="Times New Roman" w:hAnsi="Arial" w:cs="Arial"/>
          <w:lang w:eastAsia="en-ZA"/>
        </w:rPr>
      </w:pPr>
      <w:r w:rsidRPr="00B85098">
        <w:rPr>
          <w:rFonts w:ascii="Arial" w:eastAsia="Times New Roman" w:hAnsi="Arial" w:cs="Arial"/>
          <w:lang w:eastAsia="en-ZA"/>
        </w:rPr>
        <w:t>“(1) If any question of law arises on the trial in a superior court of any person for any offence, that court may of its own motion or at the request either of the prosecutor or the accused reserve that question for the consideration of the Appellate Division, and thereupon the first-mentioned court shall state the question reserved and shall direct that it be specially entered in the record and that a copy thereof be transmitted to the registrar of the Appellate Division.</w:t>
      </w:r>
    </w:p>
    <w:p w14:paraId="2745671B" w14:textId="77777777" w:rsidR="00FA084E" w:rsidRPr="00B85098" w:rsidRDefault="00FA084E" w:rsidP="00D44002">
      <w:pPr>
        <w:shd w:val="clear" w:color="auto" w:fill="FFFFFF"/>
        <w:spacing w:after="0" w:line="360" w:lineRule="auto"/>
        <w:contextualSpacing/>
        <w:jc w:val="both"/>
        <w:rPr>
          <w:rFonts w:ascii="Arial" w:eastAsia="Times New Roman" w:hAnsi="Arial" w:cs="Arial"/>
          <w:lang w:eastAsia="en-ZA"/>
        </w:rPr>
      </w:pPr>
      <w:r w:rsidRPr="00B85098">
        <w:rPr>
          <w:rFonts w:ascii="Arial" w:eastAsia="Times New Roman" w:hAnsi="Arial" w:cs="Arial"/>
          <w:lang w:eastAsia="en-ZA"/>
        </w:rPr>
        <w:t>(2) . . .</w:t>
      </w:r>
    </w:p>
    <w:p w14:paraId="2C91470F" w14:textId="5F408DC2" w:rsidR="00FA084E" w:rsidRPr="00B85098" w:rsidRDefault="00FA084E" w:rsidP="00D44002">
      <w:pPr>
        <w:shd w:val="clear" w:color="auto" w:fill="FFFFFF"/>
        <w:spacing w:after="0" w:line="360" w:lineRule="auto"/>
        <w:contextualSpacing/>
        <w:jc w:val="both"/>
        <w:rPr>
          <w:rFonts w:ascii="Arial" w:eastAsia="Times New Roman" w:hAnsi="Arial" w:cs="Arial"/>
          <w:lang w:eastAsia="en-ZA"/>
        </w:rPr>
      </w:pPr>
      <w:r w:rsidRPr="00B85098">
        <w:rPr>
          <w:rFonts w:ascii="Arial" w:eastAsia="Times New Roman" w:hAnsi="Arial" w:cs="Arial"/>
          <w:lang w:eastAsia="en-ZA"/>
        </w:rPr>
        <w:t>(3) The provisions of sections 317(2), (4) and (5) and 318(2) shall apply </w:t>
      </w:r>
      <w:r w:rsidRPr="00B85098">
        <w:rPr>
          <w:rFonts w:ascii="Arial" w:eastAsia="Times New Roman" w:hAnsi="Arial" w:cs="Arial"/>
          <w:i/>
          <w:iCs/>
          <w:lang w:eastAsia="en-ZA"/>
        </w:rPr>
        <w:t>mutatis mutandis </w:t>
      </w:r>
      <w:r w:rsidRPr="00B85098">
        <w:rPr>
          <w:rFonts w:ascii="Arial" w:eastAsia="Times New Roman" w:hAnsi="Arial" w:cs="Arial"/>
          <w:lang w:eastAsia="en-ZA"/>
        </w:rPr>
        <w:t>with reference to all proceedings under this section.</w:t>
      </w:r>
      <w:r w:rsidR="005936C2">
        <w:rPr>
          <w:rFonts w:ascii="Arial" w:eastAsia="Times New Roman" w:hAnsi="Arial" w:cs="Arial"/>
          <w:lang w:eastAsia="en-ZA"/>
        </w:rPr>
        <w:t>”</w:t>
      </w:r>
    </w:p>
    <w:p w14:paraId="5C5FD287" w14:textId="015B877C" w:rsidR="00FA084E" w:rsidRPr="00EF4916" w:rsidRDefault="00FA084E" w:rsidP="00D44002">
      <w:pPr>
        <w:shd w:val="clear" w:color="auto" w:fill="FFFFFF"/>
        <w:spacing w:after="0" w:line="360" w:lineRule="auto"/>
        <w:contextualSpacing/>
        <w:jc w:val="both"/>
        <w:rPr>
          <w:rFonts w:ascii="Arial" w:eastAsia="Times New Roman" w:hAnsi="Arial" w:cs="Arial"/>
          <w:lang w:eastAsia="en-ZA"/>
        </w:rPr>
      </w:pPr>
      <w:r w:rsidRPr="00B85098">
        <w:rPr>
          <w:rFonts w:ascii="Arial" w:eastAsia="Times New Roman" w:hAnsi="Arial" w:cs="Arial"/>
          <w:lang w:eastAsia="en-ZA"/>
        </w:rPr>
        <w:t xml:space="preserve">If the trial judge </w:t>
      </w:r>
      <w:r w:rsidRPr="00EF4916">
        <w:rPr>
          <w:rFonts w:ascii="Arial" w:eastAsia="Times New Roman" w:hAnsi="Arial" w:cs="Arial"/>
          <w:lang w:eastAsia="en-ZA"/>
        </w:rPr>
        <w:t>refuses the application to reserve questions of law, the provisions of s 317(5) of the CPA (as referred to in s 319(3)), dealing with appeals against such a refusal, are the next step in the process and provide that:</w:t>
      </w:r>
    </w:p>
    <w:p w14:paraId="631C7B34" w14:textId="64ADF759" w:rsidR="00FA084E" w:rsidRPr="00EF4916" w:rsidRDefault="00FA084E" w:rsidP="00D44002">
      <w:pPr>
        <w:shd w:val="clear" w:color="auto" w:fill="FFFFFF"/>
        <w:spacing w:after="0" w:line="360" w:lineRule="auto"/>
        <w:contextualSpacing/>
        <w:jc w:val="both"/>
        <w:rPr>
          <w:rFonts w:ascii="Arial" w:eastAsia="Times New Roman" w:hAnsi="Arial" w:cs="Arial"/>
          <w:lang w:eastAsia="en-ZA"/>
        </w:rPr>
      </w:pPr>
      <w:r w:rsidRPr="00EF4916">
        <w:rPr>
          <w:rFonts w:ascii="Arial" w:eastAsia="Times New Roman" w:hAnsi="Arial" w:cs="Arial"/>
          <w:lang w:eastAsia="en-ZA"/>
        </w:rPr>
        <w:t>“If an application for condonation or for a special entry is refused, the accused may, within a period of 21 days of such refusal or within such extended period as may on good cause shown, be allowed, by petition addressed to the President of the Supreme Court of Appeal, apply to the Supreme Court of Appeal for condonation or for a special entry to be made on the record stating in what respect the proceedings are alleged to be irregular and not according to law, as the case may be, and thereupon the provisions of subsections (11), (12), (13), (14) and (15) of section 316 shall </w:t>
      </w:r>
      <w:r w:rsidRPr="00EF4916">
        <w:rPr>
          <w:rFonts w:ascii="Arial" w:eastAsia="Times New Roman" w:hAnsi="Arial" w:cs="Arial"/>
          <w:i/>
          <w:iCs/>
          <w:lang w:eastAsia="en-ZA"/>
        </w:rPr>
        <w:t>mutatis mutandis </w:t>
      </w:r>
      <w:r w:rsidRPr="00EF4916">
        <w:rPr>
          <w:rFonts w:ascii="Arial" w:eastAsia="Times New Roman" w:hAnsi="Arial" w:cs="Arial"/>
          <w:lang w:eastAsia="en-ZA"/>
        </w:rPr>
        <w:t>apply”</w:t>
      </w:r>
      <w:r w:rsidR="002D56A4" w:rsidRPr="00EF4916">
        <w:rPr>
          <w:rFonts w:ascii="Arial" w:eastAsia="Times New Roman" w:hAnsi="Arial" w:cs="Arial"/>
          <w:lang w:eastAsia="en-ZA"/>
        </w:rPr>
        <w:t>.</w:t>
      </w:r>
      <w:r w:rsidRPr="00EF4916">
        <w:rPr>
          <w:rFonts w:ascii="Arial" w:eastAsia="Times New Roman" w:hAnsi="Arial" w:cs="Arial"/>
          <w:lang w:eastAsia="en-ZA"/>
        </w:rPr>
        <w:t>’</w:t>
      </w:r>
    </w:p>
    <w:p w14:paraId="4BB5B9CF" w14:textId="1E53F4DC" w:rsidR="00C421A3" w:rsidRPr="002560F3" w:rsidRDefault="00515D02" w:rsidP="00D44002">
      <w:pPr>
        <w:spacing w:after="0" w:line="360" w:lineRule="auto"/>
        <w:contextualSpacing/>
        <w:jc w:val="both"/>
      </w:pPr>
      <w:r w:rsidRPr="002560F3">
        <w:rPr>
          <w:rFonts w:ascii="Arial" w:hAnsi="Arial" w:cs="Arial"/>
          <w:sz w:val="24"/>
          <w:szCs w:val="24"/>
        </w:rPr>
        <w:t xml:space="preserve">And at para 9 </w:t>
      </w:r>
      <w:r w:rsidR="009710B3" w:rsidRPr="002560F3">
        <w:rPr>
          <w:rFonts w:ascii="Arial" w:hAnsi="Arial" w:cs="Arial"/>
          <w:sz w:val="24"/>
          <w:szCs w:val="24"/>
        </w:rPr>
        <w:t>stated further</w:t>
      </w:r>
      <w:r w:rsidR="00D40E47" w:rsidRPr="002560F3">
        <w:rPr>
          <w:rFonts w:ascii="Arial" w:hAnsi="Arial" w:cs="Arial"/>
          <w:sz w:val="24"/>
          <w:szCs w:val="24"/>
        </w:rPr>
        <w:t xml:space="preserve">: </w:t>
      </w:r>
    </w:p>
    <w:p w14:paraId="334FDF66" w14:textId="743AB7E4" w:rsidR="00FA084E" w:rsidRPr="00EF4916" w:rsidRDefault="00FA084E" w:rsidP="00D44002">
      <w:pPr>
        <w:shd w:val="clear" w:color="auto" w:fill="FFFFFF"/>
        <w:spacing w:after="0" w:line="360" w:lineRule="auto"/>
        <w:contextualSpacing/>
        <w:jc w:val="both"/>
        <w:rPr>
          <w:rFonts w:ascii="Verdana" w:eastAsia="Times New Roman" w:hAnsi="Verdana" w:cs="Times New Roman"/>
          <w:lang w:eastAsia="en-ZA"/>
        </w:rPr>
      </w:pPr>
      <w:r w:rsidRPr="00EF4916">
        <w:rPr>
          <w:rFonts w:ascii="Arial" w:eastAsia="Times New Roman" w:hAnsi="Arial" w:cs="Arial"/>
          <w:lang w:eastAsia="en-ZA"/>
        </w:rPr>
        <w:t>‘The application followed the incorrect procedure and was defective in two respects:</w:t>
      </w:r>
    </w:p>
    <w:p w14:paraId="1A3A0AC6" w14:textId="77777777" w:rsidR="00FA084E" w:rsidRPr="00B85098" w:rsidRDefault="00FA084E" w:rsidP="00D44002">
      <w:pPr>
        <w:shd w:val="clear" w:color="auto" w:fill="FFFFFF"/>
        <w:spacing w:after="0" w:line="360" w:lineRule="auto"/>
        <w:contextualSpacing/>
        <w:jc w:val="both"/>
        <w:rPr>
          <w:rFonts w:ascii="Verdana" w:eastAsia="Times New Roman" w:hAnsi="Verdana" w:cs="Times New Roman"/>
          <w:lang w:eastAsia="en-ZA"/>
        </w:rPr>
      </w:pPr>
      <w:r w:rsidRPr="00EF4916">
        <w:rPr>
          <w:rFonts w:ascii="Arial" w:eastAsia="Times New Roman" w:hAnsi="Arial" w:cs="Arial"/>
          <w:lang w:eastAsia="en-ZA"/>
        </w:rPr>
        <w:t>(a) First, special leave was not required. The State only required the ordinary leave of this court and the provisions of s 16(1)</w:t>
      </w:r>
      <w:r w:rsidRPr="00EF4916">
        <w:rPr>
          <w:rFonts w:ascii="Arial" w:eastAsia="Times New Roman" w:hAnsi="Arial" w:cs="Arial"/>
          <w:i/>
          <w:iCs/>
          <w:lang w:eastAsia="en-ZA"/>
        </w:rPr>
        <w:t>(b) </w:t>
      </w:r>
      <w:r w:rsidRPr="00EF4916">
        <w:rPr>
          <w:rFonts w:ascii="Arial" w:eastAsia="Times New Roman" w:hAnsi="Arial" w:cs="Arial"/>
          <w:lang w:eastAsia="en-ZA"/>
        </w:rPr>
        <w:t xml:space="preserve">of the SC Act were not applicable. That section deals with appeals against any decision of a division of the high court taken on appeal </w:t>
      </w:r>
      <w:r w:rsidRPr="00B85098">
        <w:rPr>
          <w:rFonts w:ascii="Arial" w:eastAsia="Times New Roman" w:hAnsi="Arial" w:cs="Arial"/>
          <w:lang w:eastAsia="en-ZA"/>
        </w:rPr>
        <w:t>to it, where the special leave of this court is required.</w:t>
      </w:r>
    </w:p>
    <w:p w14:paraId="23686736" w14:textId="5B5FE1E8" w:rsidR="00D40E47" w:rsidRPr="002560F3" w:rsidRDefault="00FA084E" w:rsidP="00FA084E">
      <w:pPr>
        <w:autoSpaceDE w:val="0"/>
        <w:autoSpaceDN w:val="0"/>
        <w:adjustRightInd w:val="0"/>
        <w:spacing w:after="0" w:line="360" w:lineRule="auto"/>
        <w:contextualSpacing/>
        <w:jc w:val="both"/>
        <w:rPr>
          <w:rFonts w:ascii="Arial" w:hAnsi="Arial" w:cs="Arial"/>
        </w:rPr>
      </w:pPr>
      <w:r w:rsidRPr="00B85098">
        <w:rPr>
          <w:rFonts w:ascii="Arial" w:eastAsia="Times New Roman" w:hAnsi="Arial" w:cs="Arial"/>
          <w:lang w:eastAsia="en-ZA"/>
        </w:rPr>
        <w:t xml:space="preserve">(b) Second, the definition of </w:t>
      </w:r>
      <w:r w:rsidR="005936C2">
        <w:rPr>
          <w:rFonts w:ascii="Arial" w:eastAsia="Times New Roman" w:hAnsi="Arial" w:cs="Arial"/>
          <w:lang w:eastAsia="en-ZA"/>
        </w:rPr>
        <w:t>“</w:t>
      </w:r>
      <w:r w:rsidRPr="00B85098">
        <w:rPr>
          <w:rFonts w:ascii="Arial" w:eastAsia="Times New Roman" w:hAnsi="Arial" w:cs="Arial"/>
          <w:lang w:eastAsia="en-ZA"/>
        </w:rPr>
        <w:t>appeal</w:t>
      </w:r>
      <w:r w:rsidR="005936C2">
        <w:rPr>
          <w:rFonts w:ascii="Arial" w:eastAsia="Times New Roman" w:hAnsi="Arial" w:cs="Arial"/>
          <w:lang w:eastAsia="en-ZA"/>
        </w:rPr>
        <w:t>”</w:t>
      </w:r>
      <w:r w:rsidRPr="00B85098">
        <w:rPr>
          <w:rFonts w:ascii="Arial" w:eastAsia="Times New Roman" w:hAnsi="Arial" w:cs="Arial"/>
          <w:lang w:eastAsia="en-ZA"/>
        </w:rPr>
        <w:t xml:space="preserve"> contained in the SC Act provides that </w:t>
      </w:r>
      <w:r w:rsidR="005936C2">
        <w:rPr>
          <w:rFonts w:ascii="Arial" w:eastAsia="Times New Roman" w:hAnsi="Arial" w:cs="Arial"/>
          <w:lang w:eastAsia="en-ZA"/>
        </w:rPr>
        <w:t>“</w:t>
      </w:r>
      <w:r w:rsidRPr="00B85098">
        <w:rPr>
          <w:rFonts w:ascii="Arial" w:eastAsia="Times New Roman" w:hAnsi="Arial" w:cs="Arial"/>
          <w:lang w:eastAsia="en-ZA"/>
        </w:rPr>
        <w:t>appeal</w:t>
      </w:r>
      <w:r w:rsidR="005936C2">
        <w:rPr>
          <w:rFonts w:ascii="Arial" w:eastAsia="Times New Roman" w:hAnsi="Arial" w:cs="Arial"/>
          <w:lang w:eastAsia="en-ZA"/>
        </w:rPr>
        <w:t>”</w:t>
      </w:r>
      <w:r w:rsidRPr="00B85098">
        <w:rPr>
          <w:rFonts w:ascii="Arial" w:eastAsia="Times New Roman" w:hAnsi="Arial" w:cs="Arial"/>
          <w:lang w:eastAsia="en-ZA"/>
        </w:rPr>
        <w:t xml:space="preserve"> in Chapter 5, which includes ss 16 and 17, does not include an appeal in a matter regulated in terms of the CPA. As the appeal in the present matter is regulated in terms of the CPA, it should follow that these sections of the SC Act do not apply.</w:t>
      </w:r>
      <w:r w:rsidR="00D40E47" w:rsidRPr="002560F3">
        <w:rPr>
          <w:rFonts w:ascii="Arial" w:hAnsi="Arial" w:cs="Arial"/>
        </w:rPr>
        <w:t>’</w:t>
      </w:r>
      <w:r w:rsidR="00D40E47" w:rsidRPr="002560F3">
        <w:rPr>
          <w:rStyle w:val="FootnoteReference"/>
          <w:rFonts w:ascii="Arial" w:hAnsi="Arial" w:cs="Arial"/>
        </w:rPr>
        <w:footnoteReference w:id="3"/>
      </w:r>
    </w:p>
    <w:p w14:paraId="1A84A373" w14:textId="77777777" w:rsidR="00C421A3" w:rsidRPr="002560F3" w:rsidRDefault="00C421A3" w:rsidP="00D44002">
      <w:pPr>
        <w:autoSpaceDE w:val="0"/>
        <w:autoSpaceDN w:val="0"/>
        <w:adjustRightInd w:val="0"/>
        <w:spacing w:after="0" w:line="360" w:lineRule="auto"/>
        <w:contextualSpacing/>
        <w:jc w:val="both"/>
        <w:rPr>
          <w:rFonts w:ascii="Arial" w:hAnsi="Arial" w:cs="Arial"/>
          <w:sz w:val="24"/>
          <w:szCs w:val="24"/>
        </w:rPr>
      </w:pPr>
    </w:p>
    <w:p w14:paraId="774C5051" w14:textId="086A5A13" w:rsidR="00606AAD" w:rsidRPr="002560F3" w:rsidRDefault="001F394A" w:rsidP="009710B3">
      <w:pPr>
        <w:autoSpaceDE w:val="0"/>
        <w:autoSpaceDN w:val="0"/>
        <w:adjustRightInd w:val="0"/>
        <w:spacing w:after="0" w:line="360" w:lineRule="auto"/>
        <w:contextualSpacing/>
        <w:jc w:val="both"/>
        <w:rPr>
          <w:rFonts w:ascii="Arial" w:hAnsi="Arial" w:cs="Arial"/>
          <w:sz w:val="24"/>
          <w:szCs w:val="24"/>
        </w:rPr>
      </w:pPr>
      <w:r w:rsidRPr="002560F3">
        <w:rPr>
          <w:rFonts w:ascii="Arial" w:hAnsi="Arial" w:cs="Arial"/>
          <w:sz w:val="24"/>
          <w:szCs w:val="24"/>
        </w:rPr>
        <w:lastRenderedPageBreak/>
        <w:t>[6</w:t>
      </w:r>
      <w:r w:rsidR="00D40E47" w:rsidRPr="002560F3">
        <w:rPr>
          <w:rFonts w:ascii="Arial" w:hAnsi="Arial" w:cs="Arial"/>
          <w:sz w:val="24"/>
          <w:szCs w:val="24"/>
        </w:rPr>
        <w:t>]</w:t>
      </w:r>
      <w:r w:rsidR="009710B3" w:rsidRPr="002560F3">
        <w:rPr>
          <w:rFonts w:ascii="Arial" w:hAnsi="Arial" w:cs="Arial"/>
          <w:sz w:val="24"/>
          <w:szCs w:val="24"/>
        </w:rPr>
        <w:tab/>
      </w:r>
      <w:r w:rsidR="00515D02" w:rsidRPr="002560F3">
        <w:rPr>
          <w:rFonts w:ascii="Arial" w:hAnsi="Arial" w:cs="Arial"/>
          <w:sz w:val="24"/>
          <w:szCs w:val="24"/>
        </w:rPr>
        <w:t>Thus</w:t>
      </w:r>
      <w:r w:rsidR="00E769CC">
        <w:rPr>
          <w:rFonts w:ascii="Arial" w:hAnsi="Arial" w:cs="Arial"/>
          <w:sz w:val="24"/>
          <w:szCs w:val="24"/>
        </w:rPr>
        <w:t>,</w:t>
      </w:r>
      <w:r w:rsidR="00515D02" w:rsidRPr="002560F3">
        <w:rPr>
          <w:rFonts w:ascii="Arial" w:hAnsi="Arial" w:cs="Arial"/>
          <w:sz w:val="24"/>
          <w:szCs w:val="24"/>
        </w:rPr>
        <w:t xml:space="preserve"> in </w:t>
      </w:r>
      <w:r w:rsidR="0001217E" w:rsidRPr="002560F3">
        <w:rPr>
          <w:rFonts w:ascii="Arial" w:hAnsi="Arial" w:cs="Arial"/>
          <w:sz w:val="24"/>
          <w:szCs w:val="24"/>
        </w:rPr>
        <w:t xml:space="preserve">terms of the decision in </w:t>
      </w:r>
      <w:r w:rsidR="0001217E" w:rsidRPr="002560F3">
        <w:rPr>
          <w:rFonts w:ascii="Arial" w:hAnsi="Arial" w:cs="Arial"/>
          <w:i/>
          <w:sz w:val="24"/>
          <w:szCs w:val="24"/>
        </w:rPr>
        <w:t>Ramdass</w:t>
      </w:r>
      <w:r w:rsidR="0001217E" w:rsidRPr="002560F3">
        <w:rPr>
          <w:rFonts w:ascii="Arial" w:hAnsi="Arial" w:cs="Arial"/>
          <w:sz w:val="24"/>
          <w:szCs w:val="24"/>
        </w:rPr>
        <w:t>, the present application should not have been an application for leave to appeal in terms of s</w:t>
      </w:r>
      <w:r w:rsidR="00B7766B" w:rsidRPr="002560F3">
        <w:rPr>
          <w:rFonts w:ascii="Arial" w:hAnsi="Arial" w:cs="Arial"/>
          <w:sz w:val="24"/>
          <w:szCs w:val="24"/>
        </w:rPr>
        <w:t xml:space="preserve"> </w:t>
      </w:r>
      <w:r w:rsidR="0001217E" w:rsidRPr="002560F3">
        <w:rPr>
          <w:rFonts w:ascii="Arial" w:hAnsi="Arial" w:cs="Arial"/>
          <w:sz w:val="24"/>
          <w:szCs w:val="24"/>
        </w:rPr>
        <w:t>17(2)</w:t>
      </w:r>
      <w:r w:rsidR="0001217E" w:rsidRPr="002560F3">
        <w:rPr>
          <w:rFonts w:ascii="Arial" w:hAnsi="Arial" w:cs="Arial"/>
          <w:i/>
          <w:iCs/>
          <w:sz w:val="24"/>
          <w:szCs w:val="24"/>
        </w:rPr>
        <w:t>(</w:t>
      </w:r>
      <w:r w:rsidR="00515D02" w:rsidRPr="002560F3">
        <w:rPr>
          <w:rFonts w:ascii="Arial" w:hAnsi="Arial" w:cs="Arial"/>
          <w:i/>
          <w:iCs/>
          <w:sz w:val="24"/>
          <w:szCs w:val="24"/>
        </w:rPr>
        <w:t>b)</w:t>
      </w:r>
      <w:r w:rsidR="00515D02" w:rsidRPr="002560F3">
        <w:rPr>
          <w:rFonts w:ascii="Arial" w:hAnsi="Arial" w:cs="Arial"/>
          <w:sz w:val="24"/>
          <w:szCs w:val="24"/>
        </w:rPr>
        <w:t xml:space="preserve"> of the Superior Courts Act</w:t>
      </w:r>
      <w:r w:rsidR="00E769CC">
        <w:rPr>
          <w:rFonts w:ascii="Arial" w:hAnsi="Arial" w:cs="Arial"/>
          <w:sz w:val="24"/>
          <w:szCs w:val="24"/>
        </w:rPr>
        <w:t>,</w:t>
      </w:r>
      <w:r w:rsidR="00515D02" w:rsidRPr="002560F3">
        <w:rPr>
          <w:rFonts w:ascii="Arial" w:hAnsi="Arial" w:cs="Arial"/>
          <w:sz w:val="24"/>
          <w:szCs w:val="24"/>
        </w:rPr>
        <w:t xml:space="preserve"> </w:t>
      </w:r>
      <w:r w:rsidR="0001217E" w:rsidRPr="002560F3">
        <w:rPr>
          <w:rFonts w:ascii="Arial" w:hAnsi="Arial" w:cs="Arial"/>
          <w:sz w:val="24"/>
          <w:szCs w:val="24"/>
        </w:rPr>
        <w:t xml:space="preserve">but in fact a petition in terms </w:t>
      </w:r>
      <w:r w:rsidR="0047664A" w:rsidRPr="002560F3">
        <w:rPr>
          <w:rFonts w:ascii="Arial" w:hAnsi="Arial" w:cs="Arial"/>
          <w:sz w:val="24"/>
          <w:szCs w:val="24"/>
        </w:rPr>
        <w:t>of s</w:t>
      </w:r>
      <w:r w:rsidR="00B7766B" w:rsidRPr="002560F3">
        <w:rPr>
          <w:rFonts w:ascii="Arial" w:hAnsi="Arial" w:cs="Arial"/>
          <w:sz w:val="24"/>
          <w:szCs w:val="24"/>
        </w:rPr>
        <w:t xml:space="preserve"> </w:t>
      </w:r>
      <w:r w:rsidR="0047664A" w:rsidRPr="002560F3">
        <w:rPr>
          <w:rFonts w:ascii="Arial" w:hAnsi="Arial" w:cs="Arial"/>
          <w:sz w:val="24"/>
          <w:szCs w:val="24"/>
        </w:rPr>
        <w:t>317(5) of the CPA.</w:t>
      </w:r>
      <w:r w:rsidR="00515D02" w:rsidRPr="002560F3">
        <w:rPr>
          <w:rFonts w:ascii="Arial" w:hAnsi="Arial" w:cs="Arial"/>
          <w:sz w:val="24"/>
          <w:szCs w:val="24"/>
        </w:rPr>
        <w:t xml:space="preserve"> </w:t>
      </w:r>
      <w:r w:rsidR="00E450B9" w:rsidRPr="002560F3">
        <w:rPr>
          <w:rFonts w:ascii="Arial" w:hAnsi="Arial" w:cs="Arial"/>
          <w:sz w:val="24"/>
          <w:szCs w:val="24"/>
        </w:rPr>
        <w:t xml:space="preserve">However, there </w:t>
      </w:r>
      <w:r w:rsidR="00515D02" w:rsidRPr="002560F3">
        <w:rPr>
          <w:rFonts w:ascii="Arial" w:hAnsi="Arial" w:cs="Arial"/>
          <w:sz w:val="24"/>
          <w:szCs w:val="24"/>
        </w:rPr>
        <w:t>appears to be</w:t>
      </w:r>
      <w:r w:rsidR="0001217E" w:rsidRPr="002560F3">
        <w:rPr>
          <w:rFonts w:ascii="Arial" w:hAnsi="Arial" w:cs="Arial"/>
          <w:sz w:val="24"/>
          <w:szCs w:val="24"/>
        </w:rPr>
        <w:t xml:space="preserve"> essentially no difference in the process followed in terms of s</w:t>
      </w:r>
      <w:r w:rsidR="00B7766B" w:rsidRPr="002560F3">
        <w:rPr>
          <w:rFonts w:ascii="Arial" w:hAnsi="Arial" w:cs="Arial"/>
          <w:sz w:val="24"/>
          <w:szCs w:val="24"/>
        </w:rPr>
        <w:t xml:space="preserve"> </w:t>
      </w:r>
      <w:r w:rsidR="0001217E" w:rsidRPr="002560F3">
        <w:rPr>
          <w:rFonts w:ascii="Arial" w:hAnsi="Arial" w:cs="Arial"/>
          <w:sz w:val="24"/>
          <w:szCs w:val="24"/>
        </w:rPr>
        <w:t>1</w:t>
      </w:r>
      <w:r w:rsidR="00E450B9" w:rsidRPr="002560F3">
        <w:rPr>
          <w:rFonts w:ascii="Arial" w:hAnsi="Arial" w:cs="Arial"/>
          <w:sz w:val="24"/>
          <w:szCs w:val="24"/>
        </w:rPr>
        <w:t>7(2)</w:t>
      </w:r>
      <w:r w:rsidR="00E450B9" w:rsidRPr="002560F3">
        <w:rPr>
          <w:rFonts w:ascii="Arial" w:hAnsi="Arial" w:cs="Arial"/>
          <w:i/>
          <w:iCs/>
          <w:sz w:val="24"/>
          <w:szCs w:val="24"/>
        </w:rPr>
        <w:t>(b)</w:t>
      </w:r>
      <w:r w:rsidR="00E450B9" w:rsidRPr="002560F3">
        <w:rPr>
          <w:rFonts w:ascii="Arial" w:hAnsi="Arial" w:cs="Arial"/>
          <w:sz w:val="24"/>
          <w:szCs w:val="24"/>
        </w:rPr>
        <w:t xml:space="preserve"> of the Superior C</w:t>
      </w:r>
      <w:r w:rsidR="0017549F" w:rsidRPr="002560F3">
        <w:rPr>
          <w:rFonts w:ascii="Arial" w:hAnsi="Arial" w:cs="Arial"/>
          <w:sz w:val="24"/>
          <w:szCs w:val="24"/>
        </w:rPr>
        <w:t>ourts A</w:t>
      </w:r>
      <w:r w:rsidR="0001217E" w:rsidRPr="002560F3">
        <w:rPr>
          <w:rFonts w:ascii="Arial" w:hAnsi="Arial" w:cs="Arial"/>
          <w:sz w:val="24"/>
          <w:szCs w:val="24"/>
        </w:rPr>
        <w:t>ct and that followed</w:t>
      </w:r>
      <w:r w:rsidR="00515D02" w:rsidRPr="002560F3">
        <w:rPr>
          <w:rFonts w:ascii="Arial" w:hAnsi="Arial" w:cs="Arial"/>
          <w:sz w:val="24"/>
          <w:szCs w:val="24"/>
        </w:rPr>
        <w:t xml:space="preserve"> in terms of </w:t>
      </w:r>
      <w:r w:rsidR="00EF4916">
        <w:rPr>
          <w:rFonts w:ascii="Arial" w:hAnsi="Arial" w:cs="Arial"/>
          <w:sz w:val="24"/>
          <w:szCs w:val="24"/>
        </w:rPr>
        <w:t xml:space="preserve">s </w:t>
      </w:r>
      <w:r w:rsidR="00515D02" w:rsidRPr="002560F3">
        <w:rPr>
          <w:rFonts w:ascii="Arial" w:hAnsi="Arial" w:cs="Arial"/>
          <w:sz w:val="24"/>
          <w:szCs w:val="24"/>
        </w:rPr>
        <w:t>317(5) of the CPA. I</w:t>
      </w:r>
      <w:r w:rsidR="0001217E" w:rsidRPr="002560F3">
        <w:rPr>
          <w:rFonts w:ascii="Arial" w:hAnsi="Arial" w:cs="Arial"/>
          <w:sz w:val="24"/>
          <w:szCs w:val="24"/>
        </w:rPr>
        <w:t>n respect of both</w:t>
      </w:r>
      <w:r w:rsidR="009710B3" w:rsidRPr="002560F3">
        <w:rPr>
          <w:rFonts w:ascii="Arial" w:hAnsi="Arial" w:cs="Arial"/>
          <w:sz w:val="24"/>
          <w:szCs w:val="24"/>
        </w:rPr>
        <w:t>,</w:t>
      </w:r>
      <w:r w:rsidR="0001217E" w:rsidRPr="002560F3">
        <w:rPr>
          <w:rFonts w:ascii="Arial" w:hAnsi="Arial" w:cs="Arial"/>
          <w:sz w:val="24"/>
          <w:szCs w:val="24"/>
        </w:rPr>
        <w:t xml:space="preserve"> the question for determination is essentially whether an appeal on the proposed questions of law will be justified. </w:t>
      </w:r>
      <w:r w:rsidR="00515D02" w:rsidRPr="002560F3">
        <w:rPr>
          <w:rFonts w:ascii="Arial" w:hAnsi="Arial" w:cs="Arial"/>
          <w:sz w:val="24"/>
          <w:szCs w:val="24"/>
        </w:rPr>
        <w:t>I</w:t>
      </w:r>
      <w:r w:rsidR="007D28ED" w:rsidRPr="002560F3">
        <w:rPr>
          <w:rFonts w:ascii="Arial" w:hAnsi="Arial" w:cs="Arial"/>
          <w:sz w:val="24"/>
          <w:szCs w:val="24"/>
        </w:rPr>
        <w:t xml:space="preserve">n </w:t>
      </w:r>
      <w:r w:rsidR="007D28ED" w:rsidRPr="002560F3">
        <w:rPr>
          <w:rFonts w:ascii="Arial" w:hAnsi="Arial" w:cs="Arial"/>
          <w:i/>
          <w:iCs/>
          <w:sz w:val="24"/>
          <w:szCs w:val="24"/>
        </w:rPr>
        <w:t>Ramdass</w:t>
      </w:r>
      <w:r w:rsidR="00E7074C" w:rsidRPr="002560F3">
        <w:rPr>
          <w:rFonts w:ascii="Arial" w:hAnsi="Arial" w:cs="Arial"/>
          <w:sz w:val="24"/>
          <w:szCs w:val="24"/>
        </w:rPr>
        <w:t xml:space="preserve">, </w:t>
      </w:r>
      <w:r w:rsidR="00B7766B" w:rsidRPr="002560F3">
        <w:rPr>
          <w:rFonts w:ascii="Arial" w:hAnsi="Arial" w:cs="Arial"/>
          <w:sz w:val="24"/>
          <w:szCs w:val="24"/>
        </w:rPr>
        <w:t xml:space="preserve">this </w:t>
      </w:r>
      <w:r w:rsidR="009710B3" w:rsidRPr="002560F3">
        <w:rPr>
          <w:rFonts w:ascii="Arial" w:hAnsi="Arial" w:cs="Arial"/>
          <w:sz w:val="24"/>
          <w:szCs w:val="24"/>
        </w:rPr>
        <w:t>C</w:t>
      </w:r>
      <w:r w:rsidR="00B7766B" w:rsidRPr="002560F3">
        <w:rPr>
          <w:rFonts w:ascii="Arial" w:hAnsi="Arial" w:cs="Arial"/>
          <w:sz w:val="24"/>
          <w:szCs w:val="24"/>
        </w:rPr>
        <w:t>ourt, at para</w:t>
      </w:r>
      <w:r w:rsidR="009710B3" w:rsidRPr="002560F3">
        <w:rPr>
          <w:rFonts w:ascii="Arial" w:hAnsi="Arial" w:cs="Arial"/>
          <w:sz w:val="24"/>
          <w:szCs w:val="24"/>
        </w:rPr>
        <w:t xml:space="preserve"> </w:t>
      </w:r>
      <w:r w:rsidR="00B7766B" w:rsidRPr="002560F3">
        <w:rPr>
          <w:rFonts w:ascii="Arial" w:hAnsi="Arial" w:cs="Arial"/>
          <w:sz w:val="24"/>
          <w:szCs w:val="24"/>
        </w:rPr>
        <w:t>19</w:t>
      </w:r>
      <w:r w:rsidR="009710B3" w:rsidRPr="002560F3">
        <w:rPr>
          <w:rFonts w:ascii="Arial" w:hAnsi="Arial" w:cs="Arial"/>
          <w:sz w:val="24"/>
          <w:szCs w:val="24"/>
        </w:rPr>
        <w:t>,</w:t>
      </w:r>
      <w:r w:rsidR="00B7766B" w:rsidRPr="002560F3">
        <w:rPr>
          <w:rFonts w:ascii="Arial" w:hAnsi="Arial" w:cs="Arial"/>
          <w:sz w:val="24"/>
          <w:szCs w:val="24"/>
        </w:rPr>
        <w:t xml:space="preserve"> </w:t>
      </w:r>
      <w:r w:rsidR="00515D02" w:rsidRPr="002560F3">
        <w:rPr>
          <w:rFonts w:ascii="Arial" w:hAnsi="Arial" w:cs="Arial"/>
          <w:sz w:val="24"/>
          <w:szCs w:val="24"/>
        </w:rPr>
        <w:t>said that the irregularity c</w:t>
      </w:r>
      <w:r w:rsidR="007D28ED" w:rsidRPr="002560F3">
        <w:rPr>
          <w:rFonts w:ascii="Arial" w:hAnsi="Arial" w:cs="Arial"/>
          <w:sz w:val="24"/>
          <w:szCs w:val="24"/>
        </w:rPr>
        <w:t xml:space="preserve">an </w:t>
      </w:r>
      <w:r w:rsidR="00515D02" w:rsidRPr="002560F3">
        <w:rPr>
          <w:rFonts w:ascii="Arial" w:hAnsi="Arial" w:cs="Arial"/>
          <w:sz w:val="24"/>
          <w:szCs w:val="24"/>
        </w:rPr>
        <w:t xml:space="preserve">be </w:t>
      </w:r>
      <w:r w:rsidR="007D28ED" w:rsidRPr="002560F3">
        <w:rPr>
          <w:rFonts w:ascii="Arial" w:hAnsi="Arial" w:cs="Arial"/>
          <w:sz w:val="24"/>
          <w:szCs w:val="24"/>
        </w:rPr>
        <w:t>condone</w:t>
      </w:r>
      <w:r w:rsidR="00515D02" w:rsidRPr="002560F3">
        <w:rPr>
          <w:rFonts w:ascii="Arial" w:hAnsi="Arial" w:cs="Arial"/>
          <w:sz w:val="24"/>
          <w:szCs w:val="24"/>
        </w:rPr>
        <w:t>d</w:t>
      </w:r>
      <w:r w:rsidR="0033191C" w:rsidRPr="002560F3">
        <w:rPr>
          <w:rFonts w:ascii="Arial" w:hAnsi="Arial" w:cs="Arial"/>
          <w:sz w:val="24"/>
          <w:szCs w:val="24"/>
        </w:rPr>
        <w:t xml:space="preserve"> even though such a </w:t>
      </w:r>
      <w:r w:rsidR="007D28ED" w:rsidRPr="002560F3">
        <w:rPr>
          <w:rFonts w:ascii="Arial" w:hAnsi="Arial" w:cs="Arial"/>
          <w:sz w:val="24"/>
          <w:szCs w:val="24"/>
        </w:rPr>
        <w:t xml:space="preserve">procedure </w:t>
      </w:r>
      <w:r w:rsidR="0047664A" w:rsidRPr="002560F3">
        <w:rPr>
          <w:rFonts w:ascii="Arial" w:hAnsi="Arial" w:cs="Arial"/>
          <w:sz w:val="24"/>
          <w:szCs w:val="24"/>
        </w:rPr>
        <w:t>was defective.</w:t>
      </w:r>
      <w:r w:rsidR="009710B3" w:rsidRPr="002560F3">
        <w:rPr>
          <w:rFonts w:ascii="Arial" w:hAnsi="Arial" w:cs="Arial"/>
          <w:sz w:val="24"/>
          <w:szCs w:val="24"/>
        </w:rPr>
        <w:t xml:space="preserve"> </w:t>
      </w:r>
      <w:r w:rsidR="00515D02" w:rsidRPr="002560F3">
        <w:rPr>
          <w:rFonts w:ascii="Arial" w:hAnsi="Arial" w:cs="Arial"/>
          <w:sz w:val="24"/>
          <w:szCs w:val="24"/>
        </w:rPr>
        <w:t>In any event</w:t>
      </w:r>
      <w:r w:rsidR="00E769CC">
        <w:rPr>
          <w:rFonts w:ascii="Arial" w:hAnsi="Arial" w:cs="Arial"/>
          <w:sz w:val="24"/>
          <w:szCs w:val="24"/>
        </w:rPr>
        <w:t>,</w:t>
      </w:r>
      <w:r w:rsidR="00515D02" w:rsidRPr="002560F3">
        <w:rPr>
          <w:rFonts w:ascii="Arial" w:hAnsi="Arial" w:cs="Arial"/>
          <w:sz w:val="24"/>
          <w:szCs w:val="24"/>
        </w:rPr>
        <w:t xml:space="preserve"> the resp</w:t>
      </w:r>
      <w:r w:rsidR="0033191C" w:rsidRPr="002560F3">
        <w:rPr>
          <w:rFonts w:ascii="Arial" w:hAnsi="Arial" w:cs="Arial"/>
          <w:sz w:val="24"/>
          <w:szCs w:val="24"/>
        </w:rPr>
        <w:t xml:space="preserve">ondent suffered no prejudice </w:t>
      </w:r>
      <w:r w:rsidR="00515D02" w:rsidRPr="002560F3">
        <w:rPr>
          <w:rFonts w:ascii="Arial" w:hAnsi="Arial" w:cs="Arial"/>
          <w:sz w:val="24"/>
          <w:szCs w:val="24"/>
        </w:rPr>
        <w:t xml:space="preserve">as a result of the </w:t>
      </w:r>
      <w:r w:rsidR="009710B3" w:rsidRPr="002560F3">
        <w:rPr>
          <w:rFonts w:ascii="Arial" w:hAnsi="Arial" w:cs="Arial"/>
          <w:sz w:val="24"/>
          <w:szCs w:val="24"/>
        </w:rPr>
        <w:t>State using</w:t>
      </w:r>
      <w:r w:rsidR="00FB7662" w:rsidRPr="002560F3">
        <w:rPr>
          <w:rFonts w:ascii="Arial" w:hAnsi="Arial" w:cs="Arial"/>
          <w:sz w:val="24"/>
          <w:szCs w:val="24"/>
        </w:rPr>
        <w:t xml:space="preserve"> the incorrect procedure. This </w:t>
      </w:r>
      <w:r w:rsidR="009710B3" w:rsidRPr="002560F3">
        <w:rPr>
          <w:rFonts w:ascii="Arial" w:hAnsi="Arial" w:cs="Arial"/>
          <w:sz w:val="24"/>
          <w:szCs w:val="24"/>
        </w:rPr>
        <w:t>C</w:t>
      </w:r>
      <w:r w:rsidR="00FB7662" w:rsidRPr="002560F3">
        <w:rPr>
          <w:rFonts w:ascii="Arial" w:hAnsi="Arial" w:cs="Arial"/>
          <w:sz w:val="24"/>
          <w:szCs w:val="24"/>
        </w:rPr>
        <w:t>ourt condoned th</w:t>
      </w:r>
      <w:r w:rsidR="00B7766B" w:rsidRPr="002560F3">
        <w:rPr>
          <w:rFonts w:ascii="Arial" w:hAnsi="Arial" w:cs="Arial"/>
          <w:sz w:val="24"/>
          <w:szCs w:val="24"/>
        </w:rPr>
        <w:t>e incorrect process in</w:t>
      </w:r>
      <w:r w:rsidR="00B7766B" w:rsidRPr="002560F3">
        <w:rPr>
          <w:rFonts w:ascii="Arial" w:hAnsi="Arial" w:cs="Arial"/>
          <w:i/>
          <w:iCs/>
          <w:sz w:val="24"/>
          <w:szCs w:val="24"/>
        </w:rPr>
        <w:t xml:space="preserve"> Ramdass</w:t>
      </w:r>
      <w:r w:rsidR="00F52DFE" w:rsidRPr="002560F3">
        <w:rPr>
          <w:rFonts w:ascii="Arial" w:hAnsi="Arial" w:cs="Arial"/>
          <w:sz w:val="24"/>
          <w:szCs w:val="24"/>
        </w:rPr>
        <w:t xml:space="preserve"> </w:t>
      </w:r>
      <w:r w:rsidR="009710B3" w:rsidRPr="002560F3">
        <w:rPr>
          <w:rFonts w:ascii="Arial" w:hAnsi="Arial" w:cs="Arial"/>
          <w:sz w:val="24"/>
          <w:szCs w:val="24"/>
        </w:rPr>
        <w:t>and proceeded</w:t>
      </w:r>
      <w:r w:rsidR="00FB7662" w:rsidRPr="002560F3">
        <w:rPr>
          <w:rFonts w:ascii="Arial" w:hAnsi="Arial" w:cs="Arial"/>
          <w:sz w:val="24"/>
          <w:szCs w:val="24"/>
        </w:rPr>
        <w:t xml:space="preserve"> to hear the application. Similarly, in </w:t>
      </w:r>
      <w:r w:rsidR="0047664A" w:rsidRPr="002560F3">
        <w:rPr>
          <w:rFonts w:ascii="Arial" w:hAnsi="Arial" w:cs="Arial"/>
          <w:sz w:val="24"/>
          <w:szCs w:val="24"/>
        </w:rPr>
        <w:t>the ci</w:t>
      </w:r>
      <w:r w:rsidR="00FB7662" w:rsidRPr="002560F3">
        <w:rPr>
          <w:rFonts w:ascii="Arial" w:hAnsi="Arial" w:cs="Arial"/>
          <w:sz w:val="24"/>
          <w:szCs w:val="24"/>
        </w:rPr>
        <w:t xml:space="preserve">rcumstances, </w:t>
      </w:r>
      <w:r w:rsidR="003828D0" w:rsidRPr="002560F3">
        <w:rPr>
          <w:rFonts w:ascii="Arial" w:hAnsi="Arial" w:cs="Arial"/>
          <w:sz w:val="24"/>
          <w:szCs w:val="24"/>
        </w:rPr>
        <w:t>the State</w:t>
      </w:r>
      <w:r w:rsidR="00606AAD" w:rsidRPr="002560F3">
        <w:rPr>
          <w:rFonts w:ascii="Arial" w:hAnsi="Arial" w:cs="Arial"/>
          <w:sz w:val="24"/>
          <w:szCs w:val="24"/>
        </w:rPr>
        <w:t>’s failure to lodge the appeal in</w:t>
      </w:r>
      <w:r w:rsidR="0047664A" w:rsidRPr="002560F3">
        <w:rPr>
          <w:rFonts w:ascii="Arial" w:hAnsi="Arial" w:cs="Arial"/>
          <w:sz w:val="24"/>
          <w:szCs w:val="24"/>
        </w:rPr>
        <w:t xml:space="preserve"> terms of </w:t>
      </w:r>
      <w:r w:rsidR="00FB7662" w:rsidRPr="002560F3">
        <w:rPr>
          <w:rFonts w:ascii="Arial" w:hAnsi="Arial" w:cs="Arial"/>
          <w:sz w:val="24"/>
          <w:szCs w:val="24"/>
        </w:rPr>
        <w:t>the correct procedure is</w:t>
      </w:r>
      <w:r w:rsidR="0047664A" w:rsidRPr="002560F3">
        <w:rPr>
          <w:rFonts w:ascii="Arial" w:hAnsi="Arial" w:cs="Arial"/>
          <w:sz w:val="24"/>
          <w:szCs w:val="24"/>
        </w:rPr>
        <w:t xml:space="preserve"> condoned.</w:t>
      </w:r>
      <w:r w:rsidR="00515D02" w:rsidRPr="002560F3">
        <w:rPr>
          <w:rFonts w:ascii="Arial" w:hAnsi="Arial" w:cs="Arial"/>
          <w:sz w:val="24"/>
          <w:szCs w:val="24"/>
        </w:rPr>
        <w:t xml:space="preserve"> I turn to consider the merits.</w:t>
      </w:r>
    </w:p>
    <w:p w14:paraId="702CC471" w14:textId="77777777" w:rsidR="009710B3" w:rsidRPr="002560F3" w:rsidRDefault="009710B3" w:rsidP="00D44002">
      <w:pPr>
        <w:autoSpaceDE w:val="0"/>
        <w:autoSpaceDN w:val="0"/>
        <w:adjustRightInd w:val="0"/>
        <w:spacing w:after="0" w:line="360" w:lineRule="auto"/>
        <w:contextualSpacing/>
        <w:jc w:val="both"/>
        <w:rPr>
          <w:rFonts w:ascii="Arial" w:hAnsi="Arial" w:cs="Arial"/>
          <w:sz w:val="24"/>
          <w:szCs w:val="24"/>
        </w:rPr>
      </w:pPr>
    </w:p>
    <w:p w14:paraId="45B21B20" w14:textId="1BB8D487" w:rsidR="0001217E" w:rsidRPr="0057632C" w:rsidRDefault="009710B3" w:rsidP="003F15DE">
      <w:pPr>
        <w:spacing w:after="0" w:line="360" w:lineRule="auto"/>
        <w:contextualSpacing/>
        <w:jc w:val="both"/>
        <w:rPr>
          <w:rFonts w:ascii="Arial" w:hAnsi="Arial" w:cs="Arial"/>
          <w:b/>
          <w:bCs/>
          <w:sz w:val="24"/>
          <w:szCs w:val="24"/>
        </w:rPr>
      </w:pPr>
      <w:r w:rsidRPr="0057632C">
        <w:rPr>
          <w:rFonts w:ascii="Arial" w:hAnsi="Arial" w:cs="Arial"/>
          <w:b/>
          <w:bCs/>
          <w:sz w:val="24"/>
          <w:szCs w:val="24"/>
        </w:rPr>
        <w:t xml:space="preserve">Facts </w:t>
      </w:r>
    </w:p>
    <w:p w14:paraId="64F60192" w14:textId="68788037" w:rsidR="00713DEA" w:rsidRPr="0057632C" w:rsidRDefault="001F394A" w:rsidP="004F3EF6">
      <w:pPr>
        <w:spacing w:after="0" w:line="360" w:lineRule="auto"/>
        <w:contextualSpacing/>
        <w:jc w:val="both"/>
        <w:rPr>
          <w:rFonts w:ascii="Arial" w:hAnsi="Arial" w:cs="Arial"/>
          <w:b/>
          <w:sz w:val="24"/>
          <w:szCs w:val="24"/>
          <w:u w:val="single"/>
        </w:rPr>
      </w:pPr>
      <w:r w:rsidRPr="0057632C">
        <w:rPr>
          <w:rFonts w:ascii="Arial" w:hAnsi="Arial" w:cs="Arial"/>
          <w:sz w:val="24"/>
          <w:szCs w:val="24"/>
        </w:rPr>
        <w:t>[7</w:t>
      </w:r>
      <w:r w:rsidR="00B12EFD" w:rsidRPr="0057632C">
        <w:rPr>
          <w:rFonts w:ascii="Arial" w:hAnsi="Arial" w:cs="Arial"/>
          <w:sz w:val="24"/>
          <w:szCs w:val="24"/>
        </w:rPr>
        <w:t>]</w:t>
      </w:r>
      <w:r w:rsidR="009710B3" w:rsidRPr="0057632C">
        <w:rPr>
          <w:rFonts w:ascii="Arial" w:hAnsi="Arial" w:cs="Arial"/>
          <w:sz w:val="24"/>
          <w:szCs w:val="24"/>
        </w:rPr>
        <w:tab/>
      </w:r>
      <w:r w:rsidR="005E2FFE" w:rsidRPr="0057632C">
        <w:rPr>
          <w:rFonts w:ascii="Arial" w:hAnsi="Arial" w:cs="Arial"/>
          <w:sz w:val="24"/>
          <w:szCs w:val="24"/>
        </w:rPr>
        <w:t>The questions of law that the State requested the trial court to reserve arose out of the following</w:t>
      </w:r>
      <w:r w:rsidR="004F0899">
        <w:rPr>
          <w:rFonts w:ascii="Arial" w:hAnsi="Arial" w:cs="Arial"/>
          <w:sz w:val="24"/>
          <w:szCs w:val="24"/>
        </w:rPr>
        <w:t xml:space="preserve"> tragic events, </w:t>
      </w:r>
      <w:r w:rsidR="004F0899" w:rsidRPr="000911F0">
        <w:rPr>
          <w:rFonts w:ascii="Arial" w:hAnsi="Arial" w:cs="Arial"/>
          <w:sz w:val="24"/>
          <w:szCs w:val="24"/>
        </w:rPr>
        <w:t>which are common cause</w:t>
      </w:r>
      <w:r w:rsidR="004F0899">
        <w:rPr>
          <w:rFonts w:ascii="Arial" w:hAnsi="Arial" w:cs="Arial"/>
          <w:sz w:val="24"/>
          <w:szCs w:val="24"/>
        </w:rPr>
        <w:t>.</w:t>
      </w:r>
      <w:r w:rsidR="00252F8C" w:rsidRPr="0057632C">
        <w:rPr>
          <w:rFonts w:ascii="Arial" w:hAnsi="Arial" w:cs="Arial"/>
          <w:sz w:val="24"/>
          <w:szCs w:val="24"/>
        </w:rPr>
        <w:t xml:space="preserve"> </w:t>
      </w:r>
      <w:r w:rsidR="00713DEA" w:rsidRPr="0057632C">
        <w:rPr>
          <w:rFonts w:ascii="Arial" w:hAnsi="Arial" w:cs="Arial"/>
          <w:sz w:val="24"/>
          <w:szCs w:val="24"/>
        </w:rPr>
        <w:t>The respondent and Mr Keorapetse Shabalala (Chabi) were learners at Rabonni Christian School (Rabonni) in Brits. They were in the same class in grade 9 at the time of the incident</w:t>
      </w:r>
      <w:r w:rsidR="0078754B">
        <w:rPr>
          <w:rFonts w:ascii="Arial" w:hAnsi="Arial" w:cs="Arial"/>
          <w:sz w:val="24"/>
          <w:szCs w:val="24"/>
        </w:rPr>
        <w:t>,</w:t>
      </w:r>
      <w:r w:rsidR="00713DEA" w:rsidRPr="0057632C">
        <w:rPr>
          <w:rFonts w:ascii="Arial" w:hAnsi="Arial" w:cs="Arial"/>
          <w:sz w:val="24"/>
          <w:szCs w:val="24"/>
        </w:rPr>
        <w:t xml:space="preserve"> having met in 2015 whilst in grade 8. They were friends (albeit the nature of the friendship was qualified by the respondent</w:t>
      </w:r>
      <w:r w:rsidR="00BA197B">
        <w:rPr>
          <w:rFonts w:ascii="Arial" w:hAnsi="Arial" w:cs="Arial"/>
          <w:sz w:val="24"/>
          <w:szCs w:val="24"/>
        </w:rPr>
        <w:t>,</w:t>
      </w:r>
      <w:r w:rsidR="00713DEA" w:rsidRPr="0057632C">
        <w:rPr>
          <w:rFonts w:ascii="Arial" w:hAnsi="Arial" w:cs="Arial"/>
          <w:sz w:val="24"/>
          <w:szCs w:val="24"/>
        </w:rPr>
        <w:t xml:space="preserve"> who claimed to have befriended Chabi to stop him from bullying him (the respondent). The two of them spent a lot of time together at school, sharing food and used the same transport to and from school, a taxi which was owned by Chabi’s parents. They were seen in each other’s company by others</w:t>
      </w:r>
      <w:r w:rsidR="00BA197B">
        <w:rPr>
          <w:rFonts w:ascii="Arial" w:hAnsi="Arial" w:cs="Arial"/>
          <w:sz w:val="24"/>
          <w:szCs w:val="24"/>
        </w:rPr>
        <w:t>,</w:t>
      </w:r>
      <w:r w:rsidR="00713DEA" w:rsidRPr="0057632C">
        <w:rPr>
          <w:rFonts w:ascii="Arial" w:hAnsi="Arial" w:cs="Arial"/>
          <w:sz w:val="24"/>
          <w:szCs w:val="24"/>
        </w:rPr>
        <w:t xml:space="preserve"> who also saw them as friends. </w:t>
      </w:r>
    </w:p>
    <w:p w14:paraId="4CA7315A" w14:textId="77777777" w:rsidR="00713DEA" w:rsidRPr="004019F2" w:rsidRDefault="00713DEA" w:rsidP="004F3EF6">
      <w:pPr>
        <w:pStyle w:val="ListParagraph"/>
        <w:spacing w:after="0" w:line="360" w:lineRule="auto"/>
        <w:ind w:left="0"/>
        <w:rPr>
          <w:rFonts w:ascii="Times New Roman" w:hAnsi="Times New Roman" w:cs="Times New Roman"/>
          <w:sz w:val="24"/>
          <w:szCs w:val="24"/>
        </w:rPr>
      </w:pPr>
    </w:p>
    <w:p w14:paraId="451D3870" w14:textId="62DC0E4E" w:rsidR="00713DEA" w:rsidRPr="00945F7A" w:rsidRDefault="00DC1668" w:rsidP="00770A77">
      <w:pPr>
        <w:spacing w:after="0" w:line="360" w:lineRule="auto"/>
        <w:contextualSpacing/>
        <w:jc w:val="both"/>
        <w:rPr>
          <w:rFonts w:ascii="Arial" w:hAnsi="Arial" w:cs="Arial"/>
          <w:sz w:val="24"/>
          <w:szCs w:val="24"/>
        </w:rPr>
      </w:pPr>
      <w:r w:rsidRPr="00945F7A">
        <w:rPr>
          <w:rFonts w:ascii="Arial" w:hAnsi="Arial" w:cs="Arial"/>
          <w:sz w:val="24"/>
          <w:szCs w:val="24"/>
        </w:rPr>
        <w:t>[8]</w:t>
      </w:r>
      <w:r w:rsidR="00945F7A">
        <w:rPr>
          <w:rFonts w:ascii="Arial" w:hAnsi="Arial" w:cs="Arial"/>
          <w:sz w:val="24"/>
          <w:szCs w:val="24"/>
        </w:rPr>
        <w:tab/>
      </w:r>
      <w:r w:rsidR="00713DEA" w:rsidRPr="00945F7A">
        <w:rPr>
          <w:rFonts w:ascii="Arial" w:hAnsi="Arial" w:cs="Arial"/>
          <w:sz w:val="24"/>
          <w:szCs w:val="24"/>
        </w:rPr>
        <w:t>On the morning of 22 November 2016</w:t>
      </w:r>
      <w:r w:rsidR="00BA197B">
        <w:rPr>
          <w:rFonts w:ascii="Arial" w:hAnsi="Arial" w:cs="Arial"/>
          <w:sz w:val="24"/>
          <w:szCs w:val="24"/>
        </w:rPr>
        <w:t>,</w:t>
      </w:r>
      <w:r w:rsidR="00713DEA" w:rsidRPr="00945F7A">
        <w:rPr>
          <w:rFonts w:ascii="Arial" w:hAnsi="Arial" w:cs="Arial"/>
          <w:sz w:val="24"/>
          <w:szCs w:val="24"/>
        </w:rPr>
        <w:t xml:space="preserve"> after writing exams</w:t>
      </w:r>
      <w:r w:rsidR="00BA197B">
        <w:rPr>
          <w:rFonts w:ascii="Arial" w:hAnsi="Arial" w:cs="Arial"/>
          <w:sz w:val="24"/>
          <w:szCs w:val="24"/>
        </w:rPr>
        <w:t>,</w:t>
      </w:r>
      <w:r w:rsidR="00713DEA" w:rsidRPr="00945F7A">
        <w:rPr>
          <w:rFonts w:ascii="Arial" w:hAnsi="Arial" w:cs="Arial"/>
          <w:sz w:val="24"/>
          <w:szCs w:val="24"/>
        </w:rPr>
        <w:t xml:space="preserve"> they did not return home with their usual taxi but simply handed their schoolbags to the taxi driver and remained on the school premises. Before school started that morning</w:t>
      </w:r>
      <w:r w:rsidR="00BA197B">
        <w:rPr>
          <w:rFonts w:ascii="Arial" w:hAnsi="Arial" w:cs="Arial"/>
          <w:sz w:val="24"/>
          <w:szCs w:val="24"/>
        </w:rPr>
        <w:t>,</w:t>
      </w:r>
      <w:r w:rsidR="00713DEA" w:rsidRPr="00945F7A">
        <w:rPr>
          <w:rFonts w:ascii="Arial" w:hAnsi="Arial" w:cs="Arial"/>
          <w:sz w:val="24"/>
          <w:szCs w:val="24"/>
        </w:rPr>
        <w:t xml:space="preserve"> Chabi had told the respondent that he had a firearm and showed him ammunition. They went to the school caretaker, a Mr van der Walt (who was a State witness) to ask for </w:t>
      </w:r>
      <w:r w:rsidR="006317E6">
        <w:rPr>
          <w:rFonts w:ascii="Arial" w:hAnsi="Arial" w:cs="Arial"/>
          <w:sz w:val="24"/>
          <w:szCs w:val="24"/>
        </w:rPr>
        <w:t>some</w:t>
      </w:r>
      <w:r w:rsidR="00713DEA" w:rsidRPr="00945F7A">
        <w:rPr>
          <w:rFonts w:ascii="Arial" w:hAnsi="Arial" w:cs="Arial"/>
          <w:sz w:val="24"/>
          <w:szCs w:val="24"/>
        </w:rPr>
        <w:t xml:space="preserve"> masking tape which he provided. They waited at school for a number of hours sitting on the pavilion and later went to sit by the deceased’s vehicle, a </w:t>
      </w:r>
      <w:r w:rsidR="00095793">
        <w:rPr>
          <w:rFonts w:ascii="Arial" w:hAnsi="Arial" w:cs="Arial"/>
          <w:sz w:val="24"/>
          <w:szCs w:val="24"/>
        </w:rPr>
        <w:t xml:space="preserve">VW </w:t>
      </w:r>
      <w:r w:rsidR="00713DEA" w:rsidRPr="00945F7A">
        <w:rPr>
          <w:rFonts w:ascii="Arial" w:hAnsi="Arial" w:cs="Arial"/>
          <w:sz w:val="24"/>
          <w:szCs w:val="24"/>
        </w:rPr>
        <w:t>Golf. A witness by the name of Mr Kgodisho Tau, a fellow learner</w:t>
      </w:r>
      <w:r w:rsidR="00BA197B">
        <w:rPr>
          <w:rFonts w:ascii="Arial" w:hAnsi="Arial" w:cs="Arial"/>
          <w:sz w:val="24"/>
          <w:szCs w:val="24"/>
        </w:rPr>
        <w:t>,</w:t>
      </w:r>
      <w:r w:rsidR="00713DEA" w:rsidRPr="00945F7A">
        <w:rPr>
          <w:rFonts w:ascii="Arial" w:hAnsi="Arial" w:cs="Arial"/>
          <w:sz w:val="24"/>
          <w:szCs w:val="24"/>
        </w:rPr>
        <w:t xml:space="preserve"> approached and asked them what they were waiting for. They told him </w:t>
      </w:r>
      <w:r w:rsidR="00095793">
        <w:rPr>
          <w:rFonts w:ascii="Arial" w:hAnsi="Arial" w:cs="Arial"/>
          <w:sz w:val="24"/>
          <w:szCs w:val="24"/>
        </w:rPr>
        <w:t xml:space="preserve">that </w:t>
      </w:r>
      <w:r w:rsidR="00713DEA" w:rsidRPr="00945F7A">
        <w:rPr>
          <w:rFonts w:ascii="Arial" w:hAnsi="Arial" w:cs="Arial"/>
          <w:sz w:val="24"/>
          <w:szCs w:val="24"/>
        </w:rPr>
        <w:t xml:space="preserve">they were waiting for a lift from the deceased. He </w:t>
      </w:r>
      <w:r w:rsidR="00713DEA" w:rsidRPr="00945F7A">
        <w:rPr>
          <w:rFonts w:ascii="Arial" w:hAnsi="Arial" w:cs="Arial"/>
          <w:sz w:val="24"/>
          <w:szCs w:val="24"/>
        </w:rPr>
        <w:lastRenderedPageBreak/>
        <w:t xml:space="preserve">enquired why they did not ask for a lift from another teacher who was already by the vehicles leaving and they said </w:t>
      </w:r>
      <w:r w:rsidR="00095793">
        <w:rPr>
          <w:rFonts w:ascii="Arial" w:hAnsi="Arial" w:cs="Arial"/>
          <w:sz w:val="24"/>
          <w:szCs w:val="24"/>
        </w:rPr>
        <w:t xml:space="preserve">that </w:t>
      </w:r>
      <w:r w:rsidR="00713DEA" w:rsidRPr="00945F7A">
        <w:rPr>
          <w:rFonts w:ascii="Arial" w:hAnsi="Arial" w:cs="Arial"/>
          <w:sz w:val="24"/>
          <w:szCs w:val="24"/>
        </w:rPr>
        <w:t>they would rather wait for the deceased.</w:t>
      </w:r>
    </w:p>
    <w:p w14:paraId="0D0B0C5D" w14:textId="77777777" w:rsidR="00713DEA" w:rsidRPr="00BA197B" w:rsidRDefault="00713DEA" w:rsidP="00770A77">
      <w:pPr>
        <w:spacing w:after="0" w:line="360" w:lineRule="auto"/>
        <w:rPr>
          <w:rFonts w:ascii="Arial" w:hAnsi="Arial" w:cs="Arial"/>
          <w:sz w:val="24"/>
          <w:szCs w:val="24"/>
        </w:rPr>
      </w:pPr>
    </w:p>
    <w:p w14:paraId="7BE5FFEF" w14:textId="39F5CA54" w:rsidR="00713DEA" w:rsidRPr="00945F7A" w:rsidRDefault="00DC1668" w:rsidP="00770A77">
      <w:pPr>
        <w:spacing w:after="0" w:line="360" w:lineRule="auto"/>
        <w:contextualSpacing/>
        <w:jc w:val="both"/>
        <w:rPr>
          <w:rFonts w:ascii="Arial" w:hAnsi="Arial" w:cs="Arial"/>
          <w:sz w:val="24"/>
          <w:szCs w:val="24"/>
        </w:rPr>
      </w:pPr>
      <w:r w:rsidRPr="00945F7A">
        <w:rPr>
          <w:rFonts w:ascii="Arial" w:hAnsi="Arial" w:cs="Arial"/>
          <w:sz w:val="24"/>
          <w:szCs w:val="24"/>
        </w:rPr>
        <w:t>[9]</w:t>
      </w:r>
      <w:r w:rsidR="007051B6">
        <w:rPr>
          <w:rFonts w:ascii="Arial" w:hAnsi="Arial" w:cs="Arial"/>
          <w:sz w:val="24"/>
          <w:szCs w:val="24"/>
        </w:rPr>
        <w:tab/>
      </w:r>
      <w:r w:rsidR="00713DEA" w:rsidRPr="00945F7A">
        <w:rPr>
          <w:rFonts w:ascii="Arial" w:hAnsi="Arial" w:cs="Arial"/>
          <w:sz w:val="24"/>
          <w:szCs w:val="24"/>
        </w:rPr>
        <w:t>When the deceased arrived at her vehicle the respondent asked for a lift</w:t>
      </w:r>
      <w:r w:rsidR="00A9437D">
        <w:rPr>
          <w:rFonts w:ascii="Arial" w:hAnsi="Arial" w:cs="Arial"/>
          <w:sz w:val="24"/>
          <w:szCs w:val="24"/>
        </w:rPr>
        <w:t>,</w:t>
      </w:r>
      <w:r w:rsidR="00713DEA" w:rsidRPr="00945F7A">
        <w:rPr>
          <w:rFonts w:ascii="Arial" w:hAnsi="Arial" w:cs="Arial"/>
          <w:sz w:val="24"/>
          <w:szCs w:val="24"/>
        </w:rPr>
        <w:t xml:space="preserve"> to which she agreed. As they were driving Chabi held a firearm at her </w:t>
      </w:r>
      <w:r w:rsidRPr="00945F7A">
        <w:rPr>
          <w:rFonts w:ascii="Arial" w:hAnsi="Arial" w:cs="Arial"/>
          <w:sz w:val="24"/>
          <w:szCs w:val="24"/>
        </w:rPr>
        <w:t xml:space="preserve">waist </w:t>
      </w:r>
      <w:r w:rsidR="00713DEA" w:rsidRPr="00945F7A">
        <w:rPr>
          <w:rFonts w:ascii="Arial" w:hAnsi="Arial" w:cs="Arial"/>
          <w:sz w:val="24"/>
          <w:szCs w:val="24"/>
        </w:rPr>
        <w:t>and ordered her to drive to the industrial area. Once they reached the area where the incident occurred, the hands of the deceased were tied by the respondent using the masking tape they had obtained from Mr van der Walt. The deceased managed to break the tape. Chabi shot the deceased, following which he and the respondent left the scene with the deceased’s vehicle. They first went to Chabi’s home and spoke to his mother. They then went to the taxi driver to ask for money which was later used to fill petrol into the deceased’s vehicle. They then drove to the respondent’s house where he was dropped off by Chabi. Chabi returned to his house and asked for permission to leave the vehicle in someone else’s yard. He took the keys along with him and the deceased</w:t>
      </w:r>
      <w:r w:rsidR="00A9437D">
        <w:rPr>
          <w:rFonts w:ascii="Arial" w:hAnsi="Arial" w:cs="Arial"/>
          <w:sz w:val="24"/>
          <w:szCs w:val="24"/>
        </w:rPr>
        <w:t>’s</w:t>
      </w:r>
      <w:r w:rsidR="00713DEA" w:rsidRPr="00945F7A">
        <w:rPr>
          <w:rFonts w:ascii="Arial" w:hAnsi="Arial" w:cs="Arial"/>
          <w:sz w:val="24"/>
          <w:szCs w:val="24"/>
        </w:rPr>
        <w:t xml:space="preserve"> bag that contained a laptop and other items. During the evening</w:t>
      </w:r>
      <w:r w:rsidR="000536A1">
        <w:rPr>
          <w:rFonts w:ascii="Arial" w:hAnsi="Arial" w:cs="Arial"/>
          <w:sz w:val="24"/>
          <w:szCs w:val="24"/>
        </w:rPr>
        <w:t>,</w:t>
      </w:r>
      <w:r w:rsidR="00713DEA" w:rsidRPr="00945F7A">
        <w:rPr>
          <w:rFonts w:ascii="Arial" w:hAnsi="Arial" w:cs="Arial"/>
          <w:sz w:val="24"/>
          <w:szCs w:val="24"/>
        </w:rPr>
        <w:t xml:space="preserve"> the respondent’s parents asked him what was wrong and he assured them </w:t>
      </w:r>
      <w:r w:rsidR="00095793">
        <w:rPr>
          <w:rFonts w:ascii="Arial" w:hAnsi="Arial" w:cs="Arial"/>
          <w:sz w:val="24"/>
          <w:szCs w:val="24"/>
        </w:rPr>
        <w:t xml:space="preserve">that </w:t>
      </w:r>
      <w:r w:rsidR="004F0899">
        <w:rPr>
          <w:rFonts w:ascii="Arial" w:hAnsi="Arial" w:cs="Arial"/>
          <w:sz w:val="24"/>
          <w:szCs w:val="24"/>
        </w:rPr>
        <w:t xml:space="preserve">nothing </w:t>
      </w:r>
      <w:r w:rsidR="004F0899" w:rsidRPr="000911F0">
        <w:rPr>
          <w:rFonts w:ascii="Arial" w:hAnsi="Arial" w:cs="Arial"/>
          <w:sz w:val="24"/>
          <w:szCs w:val="24"/>
        </w:rPr>
        <w:t>was wrong</w:t>
      </w:r>
      <w:r w:rsidR="00713DEA" w:rsidRPr="00945F7A">
        <w:rPr>
          <w:rFonts w:ascii="Arial" w:hAnsi="Arial" w:cs="Arial"/>
          <w:sz w:val="24"/>
          <w:szCs w:val="24"/>
        </w:rPr>
        <w:t>. The next day they used the same taxi to school. During the assembly</w:t>
      </w:r>
      <w:r w:rsidR="000536A1">
        <w:rPr>
          <w:rFonts w:ascii="Arial" w:hAnsi="Arial" w:cs="Arial"/>
          <w:sz w:val="24"/>
          <w:szCs w:val="24"/>
        </w:rPr>
        <w:t>,</w:t>
      </w:r>
      <w:r w:rsidR="00713DEA" w:rsidRPr="00945F7A">
        <w:rPr>
          <w:rFonts w:ascii="Arial" w:hAnsi="Arial" w:cs="Arial"/>
          <w:sz w:val="24"/>
          <w:szCs w:val="24"/>
        </w:rPr>
        <w:t xml:space="preserve"> the headmaster of the school asked that any learner who had seen the deceased leaving school was to come to the fore. In response, Tau</w:t>
      </w:r>
      <w:r w:rsidR="000536A1">
        <w:rPr>
          <w:rFonts w:ascii="Arial" w:hAnsi="Arial" w:cs="Arial"/>
          <w:sz w:val="24"/>
          <w:szCs w:val="24"/>
        </w:rPr>
        <w:t>,</w:t>
      </w:r>
      <w:r w:rsidR="00713DEA" w:rsidRPr="00945F7A">
        <w:rPr>
          <w:rFonts w:ascii="Arial" w:hAnsi="Arial" w:cs="Arial"/>
          <w:sz w:val="24"/>
          <w:szCs w:val="24"/>
        </w:rPr>
        <w:t xml:space="preserve"> who had approached the two the previous day</w:t>
      </w:r>
      <w:r w:rsidR="000536A1">
        <w:rPr>
          <w:rFonts w:ascii="Arial" w:hAnsi="Arial" w:cs="Arial"/>
          <w:sz w:val="24"/>
          <w:szCs w:val="24"/>
        </w:rPr>
        <w:t>,</w:t>
      </w:r>
      <w:r w:rsidR="00713DEA" w:rsidRPr="00945F7A">
        <w:rPr>
          <w:rFonts w:ascii="Arial" w:hAnsi="Arial" w:cs="Arial"/>
          <w:sz w:val="24"/>
          <w:szCs w:val="24"/>
        </w:rPr>
        <w:t xml:space="preserve"> told Chabi and the respondent that they needed to reveal that they</w:t>
      </w:r>
      <w:r w:rsidR="00095793">
        <w:rPr>
          <w:rFonts w:ascii="Arial" w:hAnsi="Arial" w:cs="Arial"/>
          <w:sz w:val="24"/>
          <w:szCs w:val="24"/>
        </w:rPr>
        <w:t xml:space="preserve"> had</w:t>
      </w:r>
      <w:r w:rsidR="00713DEA" w:rsidRPr="00945F7A">
        <w:rPr>
          <w:rFonts w:ascii="Arial" w:hAnsi="Arial" w:cs="Arial"/>
          <w:sz w:val="24"/>
          <w:szCs w:val="24"/>
        </w:rPr>
        <w:t xml:space="preserve"> </w:t>
      </w:r>
      <w:r w:rsidR="00095793">
        <w:rPr>
          <w:rFonts w:ascii="Arial" w:hAnsi="Arial" w:cs="Arial"/>
          <w:sz w:val="24"/>
          <w:szCs w:val="24"/>
        </w:rPr>
        <w:t xml:space="preserve">been </w:t>
      </w:r>
      <w:r w:rsidR="00713DEA" w:rsidRPr="00945F7A">
        <w:rPr>
          <w:rFonts w:ascii="Arial" w:hAnsi="Arial" w:cs="Arial"/>
          <w:sz w:val="24"/>
          <w:szCs w:val="24"/>
        </w:rPr>
        <w:t>in the company of the deceased</w:t>
      </w:r>
      <w:r w:rsidR="000536A1">
        <w:rPr>
          <w:rFonts w:ascii="Arial" w:hAnsi="Arial" w:cs="Arial"/>
          <w:sz w:val="24"/>
          <w:szCs w:val="24"/>
        </w:rPr>
        <w:t>.</w:t>
      </w:r>
      <w:r w:rsidR="00713DEA" w:rsidRPr="00945F7A">
        <w:rPr>
          <w:rFonts w:ascii="Arial" w:hAnsi="Arial" w:cs="Arial"/>
          <w:sz w:val="24"/>
          <w:szCs w:val="24"/>
        </w:rPr>
        <w:t xml:space="preserve"> </w:t>
      </w:r>
      <w:r w:rsidR="00095793">
        <w:rPr>
          <w:rFonts w:ascii="Arial" w:hAnsi="Arial" w:cs="Arial"/>
          <w:sz w:val="24"/>
          <w:szCs w:val="24"/>
        </w:rPr>
        <w:t xml:space="preserve">He then </w:t>
      </w:r>
      <w:r w:rsidR="00713DEA" w:rsidRPr="00945F7A">
        <w:rPr>
          <w:rFonts w:ascii="Arial" w:hAnsi="Arial" w:cs="Arial"/>
          <w:sz w:val="24"/>
          <w:szCs w:val="24"/>
        </w:rPr>
        <w:t xml:space="preserve">went forward with them. </w:t>
      </w:r>
    </w:p>
    <w:p w14:paraId="41985DD9" w14:textId="77777777" w:rsidR="00713DEA" w:rsidRPr="00945F7A" w:rsidRDefault="00713DEA" w:rsidP="00713DEA">
      <w:pPr>
        <w:spacing w:after="0" w:line="360" w:lineRule="auto"/>
        <w:contextualSpacing/>
        <w:jc w:val="both"/>
        <w:rPr>
          <w:rFonts w:ascii="Arial" w:hAnsi="Arial" w:cs="Arial"/>
          <w:sz w:val="24"/>
          <w:szCs w:val="24"/>
        </w:rPr>
      </w:pPr>
    </w:p>
    <w:p w14:paraId="0D552893" w14:textId="7C9B98FB" w:rsidR="00713DEA" w:rsidRPr="00945F7A" w:rsidRDefault="00DC1668" w:rsidP="00B005F5">
      <w:pPr>
        <w:spacing w:after="0" w:line="360" w:lineRule="auto"/>
        <w:jc w:val="both"/>
        <w:rPr>
          <w:rFonts w:ascii="Arial" w:hAnsi="Arial" w:cs="Arial"/>
          <w:sz w:val="24"/>
          <w:szCs w:val="24"/>
        </w:rPr>
      </w:pPr>
      <w:r w:rsidRPr="00945F7A">
        <w:rPr>
          <w:rFonts w:ascii="Arial" w:hAnsi="Arial" w:cs="Arial"/>
          <w:sz w:val="24"/>
          <w:szCs w:val="24"/>
        </w:rPr>
        <w:t>[10]</w:t>
      </w:r>
      <w:r w:rsidR="007D2AB5">
        <w:rPr>
          <w:rFonts w:ascii="Arial" w:hAnsi="Arial" w:cs="Arial"/>
          <w:sz w:val="24"/>
          <w:szCs w:val="24"/>
        </w:rPr>
        <w:tab/>
      </w:r>
      <w:r w:rsidR="00713DEA" w:rsidRPr="00945F7A">
        <w:rPr>
          <w:rFonts w:ascii="Arial" w:hAnsi="Arial" w:cs="Arial"/>
          <w:sz w:val="24"/>
          <w:szCs w:val="24"/>
        </w:rPr>
        <w:t xml:space="preserve">The rest of the evidence is disputed. Perhaps to shed some light, it would be useful to briefly outline the defence put forward by the respondent. The respondent testified that Chabi bullied him while in grade 8. He befriended him in order to stop the bullying, which worked as the two became friends at school. </w:t>
      </w:r>
      <w:r w:rsidR="00095793">
        <w:rPr>
          <w:rFonts w:ascii="Arial" w:hAnsi="Arial" w:cs="Arial"/>
          <w:sz w:val="24"/>
          <w:szCs w:val="24"/>
        </w:rPr>
        <w:t>In regard to the day of the incident, he stated that he</w:t>
      </w:r>
      <w:r w:rsidR="00713DEA" w:rsidRPr="00945F7A">
        <w:rPr>
          <w:rFonts w:ascii="Arial" w:hAnsi="Arial" w:cs="Arial"/>
          <w:sz w:val="24"/>
          <w:szCs w:val="24"/>
        </w:rPr>
        <w:t xml:space="preserve"> and Chabi </w:t>
      </w:r>
      <w:r w:rsidR="00095793">
        <w:rPr>
          <w:rFonts w:ascii="Arial" w:hAnsi="Arial" w:cs="Arial"/>
          <w:sz w:val="24"/>
          <w:szCs w:val="24"/>
        </w:rPr>
        <w:t xml:space="preserve">had </w:t>
      </w:r>
      <w:r w:rsidR="00713DEA" w:rsidRPr="00945F7A">
        <w:rPr>
          <w:rFonts w:ascii="Arial" w:hAnsi="Arial" w:cs="Arial"/>
          <w:sz w:val="24"/>
          <w:szCs w:val="24"/>
        </w:rPr>
        <w:t xml:space="preserve">asked for a </w:t>
      </w:r>
      <w:r w:rsidR="00D42069">
        <w:rPr>
          <w:rFonts w:ascii="Arial" w:hAnsi="Arial" w:cs="Arial"/>
          <w:sz w:val="24"/>
          <w:szCs w:val="24"/>
        </w:rPr>
        <w:t>s</w:t>
      </w:r>
      <w:r w:rsidR="00713DEA" w:rsidRPr="00945F7A">
        <w:rPr>
          <w:rFonts w:ascii="Arial" w:hAnsi="Arial" w:cs="Arial"/>
          <w:sz w:val="24"/>
          <w:szCs w:val="24"/>
        </w:rPr>
        <w:t xml:space="preserve">ellotape because Chabi said he wanted to fix his books. He allowed the taxi that he and Chabi </w:t>
      </w:r>
      <w:r w:rsidR="00D42069">
        <w:rPr>
          <w:rFonts w:ascii="Arial" w:hAnsi="Arial" w:cs="Arial"/>
          <w:sz w:val="24"/>
          <w:szCs w:val="24"/>
        </w:rPr>
        <w:t xml:space="preserve">usually </w:t>
      </w:r>
      <w:r w:rsidR="00713DEA" w:rsidRPr="00945F7A">
        <w:rPr>
          <w:rFonts w:ascii="Arial" w:hAnsi="Arial" w:cs="Arial"/>
          <w:sz w:val="24"/>
          <w:szCs w:val="24"/>
        </w:rPr>
        <w:t>used</w:t>
      </w:r>
      <w:r w:rsidR="00D42069">
        <w:rPr>
          <w:rFonts w:ascii="Arial" w:hAnsi="Arial" w:cs="Arial"/>
          <w:sz w:val="24"/>
          <w:szCs w:val="24"/>
        </w:rPr>
        <w:t xml:space="preserve"> as transport</w:t>
      </w:r>
      <w:r w:rsidR="00713DEA" w:rsidRPr="00945F7A">
        <w:rPr>
          <w:rFonts w:ascii="Arial" w:hAnsi="Arial" w:cs="Arial"/>
          <w:sz w:val="24"/>
          <w:szCs w:val="24"/>
        </w:rPr>
        <w:t xml:space="preserve"> to leave </w:t>
      </w:r>
      <w:r w:rsidR="00D42069">
        <w:rPr>
          <w:rFonts w:ascii="Arial" w:hAnsi="Arial" w:cs="Arial"/>
          <w:sz w:val="24"/>
          <w:szCs w:val="24"/>
        </w:rPr>
        <w:t xml:space="preserve">without them </w:t>
      </w:r>
      <w:r w:rsidR="00713DEA" w:rsidRPr="00945F7A">
        <w:rPr>
          <w:rFonts w:ascii="Arial" w:hAnsi="Arial" w:cs="Arial"/>
          <w:sz w:val="24"/>
          <w:szCs w:val="24"/>
        </w:rPr>
        <w:t xml:space="preserve">and remained at school with Chabi for many hours because he wanted to fetch his textbook at Chabi’s home because they were writing exams on the subject the following day. The plan was to first accompany Chabi to the taxi rank to gamble. Chabi told him he was going to use the firearm at the taxi rank for protection when gambling. Chabi suggested they wait for the deceased to give them a lift. He (the respondent) asked the deceased to drop them at the taxi rank to which she agreed. </w:t>
      </w:r>
      <w:r w:rsidR="00713DEA" w:rsidRPr="00945F7A">
        <w:rPr>
          <w:rFonts w:ascii="Arial" w:hAnsi="Arial" w:cs="Arial"/>
          <w:sz w:val="24"/>
          <w:szCs w:val="24"/>
        </w:rPr>
        <w:lastRenderedPageBreak/>
        <w:t>He was scared and confused when he saw Chabi pointing a firearm at the deceased in the vehicle and knew nothing of the plan. Chabi instructed him to search the deceased’s purse. He told Chabi he did not want to be part of what he was doing</w:t>
      </w:r>
      <w:r w:rsidR="00F42C1B">
        <w:rPr>
          <w:rFonts w:ascii="Arial" w:hAnsi="Arial" w:cs="Arial"/>
          <w:sz w:val="24"/>
          <w:szCs w:val="24"/>
        </w:rPr>
        <w:t>,</w:t>
      </w:r>
      <w:r w:rsidR="00713DEA" w:rsidRPr="00945F7A">
        <w:rPr>
          <w:rFonts w:ascii="Arial" w:hAnsi="Arial" w:cs="Arial"/>
          <w:sz w:val="24"/>
          <w:szCs w:val="24"/>
        </w:rPr>
        <w:t xml:space="preserve"> but was scared and did what he was told. Chabi took the tape they </w:t>
      </w:r>
      <w:r w:rsidR="00D42069">
        <w:rPr>
          <w:rFonts w:ascii="Arial" w:hAnsi="Arial" w:cs="Arial"/>
          <w:sz w:val="24"/>
          <w:szCs w:val="24"/>
        </w:rPr>
        <w:t xml:space="preserve">had </w:t>
      </w:r>
      <w:r w:rsidR="00713DEA" w:rsidRPr="00945F7A">
        <w:rPr>
          <w:rFonts w:ascii="Arial" w:hAnsi="Arial" w:cs="Arial"/>
          <w:sz w:val="24"/>
          <w:szCs w:val="24"/>
        </w:rPr>
        <w:t>got</w:t>
      </w:r>
      <w:r w:rsidR="00D42069">
        <w:rPr>
          <w:rFonts w:ascii="Arial" w:hAnsi="Arial" w:cs="Arial"/>
          <w:sz w:val="24"/>
          <w:szCs w:val="24"/>
        </w:rPr>
        <w:t>ten</w:t>
      </w:r>
      <w:r w:rsidR="00713DEA" w:rsidRPr="00945F7A">
        <w:rPr>
          <w:rFonts w:ascii="Arial" w:hAnsi="Arial" w:cs="Arial"/>
          <w:sz w:val="24"/>
          <w:szCs w:val="24"/>
        </w:rPr>
        <w:t xml:space="preserve"> from school to ti</w:t>
      </w:r>
      <w:r w:rsidR="00D42069">
        <w:rPr>
          <w:rFonts w:ascii="Arial" w:hAnsi="Arial" w:cs="Arial"/>
          <w:sz w:val="24"/>
          <w:szCs w:val="24"/>
        </w:rPr>
        <w:t>eup</w:t>
      </w:r>
      <w:r w:rsidR="00713DEA" w:rsidRPr="00945F7A">
        <w:rPr>
          <w:rFonts w:ascii="Arial" w:hAnsi="Arial" w:cs="Arial"/>
          <w:sz w:val="24"/>
          <w:szCs w:val="24"/>
        </w:rPr>
        <w:t xml:space="preserve"> the deceased’s hands. Responding to a leading question by his counsel that Chabi</w:t>
      </w:r>
      <w:r w:rsidR="00D42069">
        <w:rPr>
          <w:rFonts w:ascii="Arial" w:hAnsi="Arial" w:cs="Arial"/>
          <w:sz w:val="24"/>
          <w:szCs w:val="24"/>
        </w:rPr>
        <w:t xml:space="preserve"> had</w:t>
      </w:r>
      <w:r w:rsidR="00713DEA" w:rsidRPr="00945F7A">
        <w:rPr>
          <w:rFonts w:ascii="Arial" w:hAnsi="Arial" w:cs="Arial"/>
          <w:sz w:val="24"/>
          <w:szCs w:val="24"/>
        </w:rPr>
        <w:t xml:space="preserve"> instructed him to tie the deceased’s hands, he mentioned that Chabi’s actual words were ‘Hey man. Tie up Madam</w:t>
      </w:r>
      <w:r w:rsidR="00F42C1B">
        <w:rPr>
          <w:rFonts w:ascii="Arial" w:hAnsi="Arial" w:cs="Arial"/>
          <w:sz w:val="24"/>
          <w:szCs w:val="24"/>
        </w:rPr>
        <w:t>’</w:t>
      </w:r>
      <w:r w:rsidR="00713DEA" w:rsidRPr="00945F7A">
        <w:rPr>
          <w:rFonts w:ascii="Arial" w:hAnsi="Arial" w:cs="Arial"/>
          <w:sz w:val="24"/>
          <w:szCs w:val="24"/>
        </w:rPr>
        <w:t>s hands there’. He did as he was instructed by Chabi. The tape got torn as the deceased managed to twist her hands around. Chabi instructed him in harsh terms to do it again. He (the respondent) rolled the tape four times. He complied</w:t>
      </w:r>
      <w:r w:rsidR="00F42C1B">
        <w:rPr>
          <w:rFonts w:ascii="Arial" w:hAnsi="Arial" w:cs="Arial"/>
          <w:sz w:val="24"/>
          <w:szCs w:val="24"/>
        </w:rPr>
        <w:t>,</w:t>
      </w:r>
      <w:r w:rsidR="00713DEA" w:rsidRPr="00945F7A">
        <w:rPr>
          <w:rFonts w:ascii="Arial" w:hAnsi="Arial" w:cs="Arial"/>
          <w:sz w:val="24"/>
          <w:szCs w:val="24"/>
        </w:rPr>
        <w:t xml:space="preserve"> because </w:t>
      </w:r>
      <w:r w:rsidR="00D42069">
        <w:rPr>
          <w:rFonts w:ascii="Arial" w:hAnsi="Arial" w:cs="Arial"/>
          <w:sz w:val="24"/>
          <w:szCs w:val="24"/>
        </w:rPr>
        <w:t xml:space="preserve">he </w:t>
      </w:r>
      <w:r w:rsidR="00713DEA" w:rsidRPr="00945F7A">
        <w:rPr>
          <w:rFonts w:ascii="Arial" w:hAnsi="Arial" w:cs="Arial"/>
          <w:sz w:val="24"/>
          <w:szCs w:val="24"/>
        </w:rPr>
        <w:t>was scared and Chabi had a firearm. He believed</w:t>
      </w:r>
      <w:r w:rsidR="00D42069">
        <w:rPr>
          <w:rFonts w:ascii="Arial" w:hAnsi="Arial" w:cs="Arial"/>
          <w:sz w:val="24"/>
          <w:szCs w:val="24"/>
        </w:rPr>
        <w:t xml:space="preserve"> that</w:t>
      </w:r>
      <w:r w:rsidR="00713DEA" w:rsidRPr="00945F7A">
        <w:rPr>
          <w:rFonts w:ascii="Arial" w:hAnsi="Arial" w:cs="Arial"/>
          <w:sz w:val="24"/>
          <w:szCs w:val="24"/>
        </w:rPr>
        <w:t xml:space="preserve"> Chabi would kill him. He did not run away because he was scared of being killed by Chabi. Chabi attempted to put the deceased in the boot of the vehicle</w:t>
      </w:r>
      <w:r w:rsidR="00DE3149">
        <w:rPr>
          <w:rFonts w:ascii="Arial" w:hAnsi="Arial" w:cs="Arial"/>
          <w:sz w:val="24"/>
          <w:szCs w:val="24"/>
        </w:rPr>
        <w:t>,</w:t>
      </w:r>
      <w:r w:rsidR="00713DEA" w:rsidRPr="00945F7A">
        <w:rPr>
          <w:rFonts w:ascii="Arial" w:hAnsi="Arial" w:cs="Arial"/>
          <w:sz w:val="24"/>
          <w:szCs w:val="24"/>
        </w:rPr>
        <w:t xml:space="preserve"> but she resisted. He tripped her and she fell down</w:t>
      </w:r>
      <w:r w:rsidR="00DE3149">
        <w:rPr>
          <w:rFonts w:ascii="Arial" w:hAnsi="Arial" w:cs="Arial"/>
          <w:sz w:val="24"/>
          <w:szCs w:val="24"/>
        </w:rPr>
        <w:t>,</w:t>
      </w:r>
      <w:r w:rsidR="00713DEA" w:rsidRPr="00945F7A">
        <w:rPr>
          <w:rFonts w:ascii="Arial" w:hAnsi="Arial" w:cs="Arial"/>
          <w:sz w:val="24"/>
          <w:szCs w:val="24"/>
        </w:rPr>
        <w:t xml:space="preserve"> while he had placed the firearm in his pants. Chabi took the firearm, the respondent turned away and </w:t>
      </w:r>
      <w:r w:rsidR="00D42069">
        <w:rPr>
          <w:rFonts w:ascii="Arial" w:hAnsi="Arial" w:cs="Arial"/>
          <w:sz w:val="24"/>
          <w:szCs w:val="24"/>
        </w:rPr>
        <w:t xml:space="preserve">he </w:t>
      </w:r>
      <w:r w:rsidR="00713DEA" w:rsidRPr="00945F7A">
        <w:rPr>
          <w:rFonts w:ascii="Arial" w:hAnsi="Arial" w:cs="Arial"/>
          <w:sz w:val="24"/>
          <w:szCs w:val="24"/>
        </w:rPr>
        <w:t>heard two gun shots. After the deceased was shot at, Chabi instructed him to take the firearm to his side, which he did. Although in possession of the firearm</w:t>
      </w:r>
      <w:r w:rsidR="00DE3149">
        <w:rPr>
          <w:rFonts w:ascii="Arial" w:hAnsi="Arial" w:cs="Arial"/>
          <w:sz w:val="24"/>
          <w:szCs w:val="24"/>
        </w:rPr>
        <w:t>,</w:t>
      </w:r>
      <w:r w:rsidR="00713DEA" w:rsidRPr="00945F7A">
        <w:rPr>
          <w:rFonts w:ascii="Arial" w:hAnsi="Arial" w:cs="Arial"/>
          <w:sz w:val="24"/>
          <w:szCs w:val="24"/>
        </w:rPr>
        <w:t xml:space="preserve"> he did not know how to use it and was scared. The respondent repeatedly testified in cross-examination that Chabi neither threatened to shoot nor kill him. He also never</w:t>
      </w:r>
      <w:r w:rsidR="00DE3149">
        <w:rPr>
          <w:rFonts w:ascii="Arial" w:hAnsi="Arial" w:cs="Arial"/>
          <w:sz w:val="24"/>
          <w:szCs w:val="24"/>
        </w:rPr>
        <w:t>,</w:t>
      </w:r>
      <w:r w:rsidR="00713DEA" w:rsidRPr="00945F7A">
        <w:rPr>
          <w:rFonts w:ascii="Arial" w:hAnsi="Arial" w:cs="Arial"/>
          <w:sz w:val="24"/>
          <w:szCs w:val="24"/>
        </w:rPr>
        <w:t xml:space="preserve"> at any stage</w:t>
      </w:r>
      <w:r w:rsidR="00DE3149">
        <w:rPr>
          <w:rFonts w:ascii="Arial" w:hAnsi="Arial" w:cs="Arial"/>
          <w:sz w:val="24"/>
          <w:szCs w:val="24"/>
        </w:rPr>
        <w:t>,</w:t>
      </w:r>
      <w:r w:rsidR="00713DEA" w:rsidRPr="00945F7A">
        <w:rPr>
          <w:rFonts w:ascii="Arial" w:hAnsi="Arial" w:cs="Arial"/>
          <w:sz w:val="24"/>
          <w:szCs w:val="24"/>
        </w:rPr>
        <w:t xml:space="preserve"> </w:t>
      </w:r>
      <w:r w:rsidR="00713DEA" w:rsidRPr="000911F0">
        <w:rPr>
          <w:rFonts w:ascii="Arial" w:hAnsi="Arial" w:cs="Arial"/>
          <w:sz w:val="24"/>
          <w:szCs w:val="24"/>
        </w:rPr>
        <w:t>point</w:t>
      </w:r>
      <w:r w:rsidR="004F0899" w:rsidRPr="000911F0">
        <w:rPr>
          <w:rFonts w:ascii="Arial" w:hAnsi="Arial" w:cs="Arial"/>
          <w:sz w:val="24"/>
          <w:szCs w:val="24"/>
        </w:rPr>
        <w:t>ed</w:t>
      </w:r>
      <w:r w:rsidR="00713DEA" w:rsidRPr="000911F0">
        <w:rPr>
          <w:rFonts w:ascii="Arial" w:hAnsi="Arial" w:cs="Arial"/>
          <w:sz w:val="24"/>
          <w:szCs w:val="24"/>
        </w:rPr>
        <w:t xml:space="preserve"> a firearm</w:t>
      </w:r>
      <w:r w:rsidR="004F0899" w:rsidRPr="000911F0">
        <w:rPr>
          <w:rFonts w:ascii="Arial" w:hAnsi="Arial" w:cs="Arial"/>
          <w:sz w:val="24"/>
          <w:szCs w:val="24"/>
        </w:rPr>
        <w:t xml:space="preserve"> at him during the incident.</w:t>
      </w:r>
      <w:r w:rsidR="00713DEA" w:rsidRPr="00945F7A">
        <w:rPr>
          <w:rFonts w:ascii="Arial" w:hAnsi="Arial" w:cs="Arial"/>
          <w:sz w:val="24"/>
          <w:szCs w:val="24"/>
        </w:rPr>
        <w:t xml:space="preserve"> It was after the deceased was shot as they drove off in the vehicle</w:t>
      </w:r>
      <w:r w:rsidR="00DE3149">
        <w:rPr>
          <w:rFonts w:ascii="Arial" w:hAnsi="Arial" w:cs="Arial"/>
          <w:sz w:val="24"/>
          <w:szCs w:val="24"/>
        </w:rPr>
        <w:t>,</w:t>
      </w:r>
      <w:r w:rsidR="00713DEA" w:rsidRPr="00945F7A">
        <w:rPr>
          <w:rFonts w:ascii="Arial" w:hAnsi="Arial" w:cs="Arial"/>
          <w:sz w:val="24"/>
          <w:szCs w:val="24"/>
        </w:rPr>
        <w:t xml:space="preserve"> that Chabi warned him against telling the police. When the respondent got home he decided not to tell his parents</w:t>
      </w:r>
      <w:r w:rsidR="00DE3149">
        <w:rPr>
          <w:rFonts w:ascii="Arial" w:hAnsi="Arial" w:cs="Arial"/>
          <w:sz w:val="24"/>
          <w:szCs w:val="24"/>
        </w:rPr>
        <w:t>,</w:t>
      </w:r>
      <w:r w:rsidR="00713DEA" w:rsidRPr="00945F7A">
        <w:rPr>
          <w:rFonts w:ascii="Arial" w:hAnsi="Arial" w:cs="Arial"/>
          <w:sz w:val="24"/>
          <w:szCs w:val="24"/>
        </w:rPr>
        <w:t xml:space="preserve"> nor anyone. He thought Chabi would kill him if he told the</w:t>
      </w:r>
      <w:r w:rsidR="003D1E39">
        <w:rPr>
          <w:rFonts w:ascii="Arial" w:hAnsi="Arial" w:cs="Arial"/>
          <w:sz w:val="24"/>
          <w:szCs w:val="24"/>
        </w:rPr>
        <w:t xml:space="preserve"> police. His plan was to </w:t>
      </w:r>
      <w:r w:rsidR="003D1E39" w:rsidRPr="000911F0">
        <w:rPr>
          <w:rFonts w:ascii="Arial" w:hAnsi="Arial" w:cs="Arial"/>
          <w:sz w:val="24"/>
          <w:szCs w:val="24"/>
        </w:rPr>
        <w:t xml:space="preserve">disclose </w:t>
      </w:r>
      <w:r w:rsidR="00713DEA" w:rsidRPr="000911F0">
        <w:rPr>
          <w:rFonts w:ascii="Arial" w:hAnsi="Arial" w:cs="Arial"/>
          <w:sz w:val="24"/>
          <w:szCs w:val="24"/>
        </w:rPr>
        <w:t>t</w:t>
      </w:r>
      <w:r w:rsidR="003D1E39" w:rsidRPr="000911F0">
        <w:rPr>
          <w:rFonts w:ascii="Arial" w:hAnsi="Arial" w:cs="Arial"/>
          <w:sz w:val="24"/>
          <w:szCs w:val="24"/>
        </w:rPr>
        <w:t>his incident after moving house</w:t>
      </w:r>
      <w:r w:rsidR="00713DEA" w:rsidRPr="00945F7A">
        <w:rPr>
          <w:rFonts w:ascii="Arial" w:hAnsi="Arial" w:cs="Arial"/>
          <w:sz w:val="24"/>
          <w:szCs w:val="24"/>
        </w:rPr>
        <w:t xml:space="preserve"> from Brits. </w:t>
      </w:r>
    </w:p>
    <w:p w14:paraId="1702419B" w14:textId="77777777" w:rsidR="00713DEA" w:rsidRPr="00945F7A" w:rsidRDefault="00713DEA" w:rsidP="00713DEA">
      <w:pPr>
        <w:spacing w:after="0" w:line="360" w:lineRule="auto"/>
        <w:jc w:val="both"/>
        <w:rPr>
          <w:rFonts w:ascii="Arial" w:hAnsi="Arial" w:cs="Arial"/>
          <w:sz w:val="24"/>
          <w:szCs w:val="24"/>
        </w:rPr>
      </w:pPr>
    </w:p>
    <w:p w14:paraId="4C9BA59C" w14:textId="19D912F2" w:rsidR="00713DEA" w:rsidRPr="00945F7A" w:rsidRDefault="00DC1668" w:rsidP="00B0446D">
      <w:pPr>
        <w:spacing w:after="0" w:line="360" w:lineRule="auto"/>
        <w:contextualSpacing/>
        <w:jc w:val="both"/>
        <w:rPr>
          <w:rFonts w:ascii="Arial" w:hAnsi="Arial" w:cs="Arial"/>
          <w:sz w:val="24"/>
          <w:szCs w:val="24"/>
        </w:rPr>
      </w:pPr>
      <w:r w:rsidRPr="00945F7A">
        <w:rPr>
          <w:rFonts w:ascii="Arial" w:hAnsi="Arial" w:cs="Arial"/>
          <w:sz w:val="24"/>
          <w:szCs w:val="24"/>
        </w:rPr>
        <w:t>[11]</w:t>
      </w:r>
      <w:r w:rsidR="00F44DE4">
        <w:rPr>
          <w:rFonts w:ascii="Arial" w:hAnsi="Arial" w:cs="Arial"/>
          <w:sz w:val="24"/>
          <w:szCs w:val="24"/>
        </w:rPr>
        <w:tab/>
      </w:r>
      <w:r w:rsidR="00713DEA" w:rsidRPr="00945F7A">
        <w:rPr>
          <w:rFonts w:ascii="Arial" w:hAnsi="Arial" w:cs="Arial"/>
          <w:sz w:val="24"/>
          <w:szCs w:val="24"/>
        </w:rPr>
        <w:t>The respondent was called to answer on various charges, namely that of murder, kidnapping and joint possession of an illegal firearm and ammunition</w:t>
      </w:r>
      <w:r w:rsidR="00DE3149">
        <w:rPr>
          <w:rFonts w:ascii="Arial" w:hAnsi="Arial" w:cs="Arial"/>
          <w:sz w:val="24"/>
          <w:szCs w:val="24"/>
        </w:rPr>
        <w:t>,</w:t>
      </w:r>
      <w:r w:rsidR="00713DEA" w:rsidRPr="00945F7A">
        <w:rPr>
          <w:rFonts w:ascii="Arial" w:hAnsi="Arial" w:cs="Arial"/>
          <w:sz w:val="24"/>
          <w:szCs w:val="24"/>
        </w:rPr>
        <w:t xml:space="preserve"> along with his former co-accused Chabi. Chabi pleaded guilty</w:t>
      </w:r>
      <w:r w:rsidR="00DE3149">
        <w:rPr>
          <w:rFonts w:ascii="Arial" w:hAnsi="Arial" w:cs="Arial"/>
          <w:sz w:val="24"/>
          <w:szCs w:val="24"/>
        </w:rPr>
        <w:t xml:space="preserve"> and </w:t>
      </w:r>
      <w:r w:rsidR="00713DEA" w:rsidRPr="00945F7A">
        <w:rPr>
          <w:rFonts w:ascii="Arial" w:hAnsi="Arial" w:cs="Arial"/>
          <w:sz w:val="24"/>
          <w:szCs w:val="24"/>
        </w:rPr>
        <w:t xml:space="preserve">was convicted and sentenced to a period of 25 years’ imprisonment. He testified as a State witness in this case. </w:t>
      </w:r>
    </w:p>
    <w:p w14:paraId="6B2B288B" w14:textId="77777777" w:rsidR="001261E7" w:rsidRPr="00945F7A" w:rsidRDefault="001261E7" w:rsidP="004F3EF6">
      <w:pPr>
        <w:spacing w:after="0" w:line="360" w:lineRule="auto"/>
        <w:contextualSpacing/>
        <w:jc w:val="both"/>
        <w:rPr>
          <w:rFonts w:ascii="Arial" w:hAnsi="Arial" w:cs="Arial"/>
          <w:sz w:val="24"/>
          <w:szCs w:val="24"/>
        </w:rPr>
      </w:pPr>
    </w:p>
    <w:p w14:paraId="1996DA5B" w14:textId="37B88AC2" w:rsidR="00151942" w:rsidRPr="002560F3" w:rsidRDefault="001261E7" w:rsidP="004F3EF6">
      <w:pPr>
        <w:spacing w:after="0" w:line="360" w:lineRule="auto"/>
        <w:contextualSpacing/>
        <w:jc w:val="both"/>
        <w:rPr>
          <w:rFonts w:ascii="Arial" w:hAnsi="Arial" w:cs="Arial"/>
          <w:sz w:val="24"/>
          <w:szCs w:val="24"/>
        </w:rPr>
      </w:pPr>
      <w:r>
        <w:rPr>
          <w:rFonts w:ascii="Arial" w:hAnsi="Arial" w:cs="Arial"/>
          <w:sz w:val="24"/>
          <w:szCs w:val="24"/>
        </w:rPr>
        <w:t>[</w:t>
      </w:r>
      <w:r w:rsidR="00FD3F5C" w:rsidRPr="002560F3">
        <w:rPr>
          <w:rFonts w:ascii="Arial" w:hAnsi="Arial" w:cs="Arial"/>
          <w:sz w:val="24"/>
          <w:szCs w:val="24"/>
        </w:rPr>
        <w:t>12</w:t>
      </w:r>
      <w:r w:rsidR="004D5646" w:rsidRPr="002560F3">
        <w:rPr>
          <w:rFonts w:ascii="Arial" w:hAnsi="Arial" w:cs="Arial"/>
          <w:sz w:val="24"/>
          <w:szCs w:val="24"/>
        </w:rPr>
        <w:t>]</w:t>
      </w:r>
      <w:r w:rsidR="00BE26BF">
        <w:rPr>
          <w:rFonts w:ascii="Arial" w:hAnsi="Arial" w:cs="Arial"/>
          <w:sz w:val="24"/>
          <w:szCs w:val="24"/>
        </w:rPr>
        <w:tab/>
      </w:r>
      <w:r w:rsidR="004D5646" w:rsidRPr="002560F3">
        <w:rPr>
          <w:rFonts w:ascii="Arial" w:hAnsi="Arial" w:cs="Arial"/>
          <w:sz w:val="24"/>
          <w:szCs w:val="24"/>
        </w:rPr>
        <w:t xml:space="preserve">In evaluating the evidence of </w:t>
      </w:r>
      <w:r w:rsidR="00F0030C" w:rsidRPr="002560F3">
        <w:rPr>
          <w:rFonts w:ascii="Arial" w:hAnsi="Arial" w:cs="Arial"/>
          <w:sz w:val="24"/>
          <w:szCs w:val="24"/>
        </w:rPr>
        <w:t>the respondent</w:t>
      </w:r>
      <w:r w:rsidR="004D5646" w:rsidRPr="002560F3">
        <w:rPr>
          <w:rFonts w:ascii="Arial" w:hAnsi="Arial" w:cs="Arial"/>
          <w:sz w:val="24"/>
          <w:szCs w:val="24"/>
        </w:rPr>
        <w:t xml:space="preserve"> and Chabi, the trial court said that</w:t>
      </w:r>
      <w:r w:rsidR="004559A5" w:rsidRPr="002560F3">
        <w:rPr>
          <w:rFonts w:ascii="Arial" w:hAnsi="Arial" w:cs="Arial"/>
          <w:sz w:val="24"/>
          <w:szCs w:val="24"/>
        </w:rPr>
        <w:t xml:space="preserve"> </w:t>
      </w:r>
      <w:r w:rsidR="00F0030C" w:rsidRPr="002560F3">
        <w:rPr>
          <w:rFonts w:ascii="Arial" w:hAnsi="Arial" w:cs="Arial"/>
          <w:sz w:val="24"/>
          <w:szCs w:val="24"/>
        </w:rPr>
        <w:t>the respondent</w:t>
      </w:r>
      <w:r w:rsidR="004559A5" w:rsidRPr="002560F3">
        <w:rPr>
          <w:rFonts w:ascii="Arial" w:hAnsi="Arial" w:cs="Arial"/>
          <w:sz w:val="24"/>
          <w:szCs w:val="24"/>
        </w:rPr>
        <w:t xml:space="preserve"> had maintained throughout his testimony that there existed no </w:t>
      </w:r>
      <w:r w:rsidR="00C8073C" w:rsidRPr="002560F3">
        <w:rPr>
          <w:rFonts w:ascii="Arial" w:hAnsi="Arial" w:cs="Arial"/>
          <w:sz w:val="24"/>
          <w:szCs w:val="24"/>
        </w:rPr>
        <w:t xml:space="preserve">prior </w:t>
      </w:r>
      <w:r w:rsidR="004559A5" w:rsidRPr="002560F3">
        <w:rPr>
          <w:rFonts w:ascii="Arial" w:hAnsi="Arial" w:cs="Arial"/>
          <w:sz w:val="24"/>
          <w:szCs w:val="24"/>
        </w:rPr>
        <w:t xml:space="preserve">agreement between himself </w:t>
      </w:r>
      <w:r w:rsidR="004921EE" w:rsidRPr="002560F3">
        <w:rPr>
          <w:rFonts w:ascii="Arial" w:hAnsi="Arial" w:cs="Arial"/>
          <w:sz w:val="24"/>
          <w:szCs w:val="24"/>
        </w:rPr>
        <w:t xml:space="preserve">and Chabi </w:t>
      </w:r>
      <w:r w:rsidR="004559A5" w:rsidRPr="002560F3">
        <w:rPr>
          <w:rFonts w:ascii="Arial" w:hAnsi="Arial" w:cs="Arial"/>
          <w:sz w:val="24"/>
          <w:szCs w:val="24"/>
        </w:rPr>
        <w:t xml:space="preserve">in relation to </w:t>
      </w:r>
      <w:r w:rsidR="00EE3F93" w:rsidRPr="002560F3">
        <w:rPr>
          <w:rFonts w:ascii="Arial" w:hAnsi="Arial" w:cs="Arial"/>
          <w:sz w:val="24"/>
          <w:szCs w:val="24"/>
        </w:rPr>
        <w:t>the hijacking</w:t>
      </w:r>
      <w:r w:rsidR="004921EE" w:rsidRPr="002560F3">
        <w:rPr>
          <w:rFonts w:ascii="Arial" w:hAnsi="Arial" w:cs="Arial"/>
          <w:sz w:val="24"/>
          <w:szCs w:val="24"/>
        </w:rPr>
        <w:t xml:space="preserve"> of the deceased’s vehicle. </w:t>
      </w:r>
      <w:r w:rsidR="004D5646" w:rsidRPr="002560F3">
        <w:rPr>
          <w:rFonts w:ascii="Arial" w:hAnsi="Arial" w:cs="Arial"/>
          <w:sz w:val="24"/>
          <w:szCs w:val="24"/>
        </w:rPr>
        <w:t xml:space="preserve">Chabi testified that it was </w:t>
      </w:r>
      <w:r w:rsidR="00F0030C" w:rsidRPr="002560F3">
        <w:rPr>
          <w:rFonts w:ascii="Arial" w:hAnsi="Arial" w:cs="Arial"/>
          <w:sz w:val="24"/>
          <w:szCs w:val="24"/>
        </w:rPr>
        <w:t>the respondent</w:t>
      </w:r>
      <w:r w:rsidR="004D5646" w:rsidRPr="002560F3">
        <w:rPr>
          <w:rFonts w:ascii="Arial" w:hAnsi="Arial" w:cs="Arial"/>
          <w:sz w:val="24"/>
          <w:szCs w:val="24"/>
        </w:rPr>
        <w:t xml:space="preserve"> who had come up with the plan that the deceased</w:t>
      </w:r>
      <w:r w:rsidR="00EE3F93" w:rsidRPr="002560F3">
        <w:rPr>
          <w:rFonts w:ascii="Arial" w:hAnsi="Arial" w:cs="Arial"/>
          <w:sz w:val="24"/>
          <w:szCs w:val="24"/>
        </w:rPr>
        <w:t>’s</w:t>
      </w:r>
      <w:r w:rsidR="004D5646" w:rsidRPr="002560F3">
        <w:rPr>
          <w:rFonts w:ascii="Arial" w:hAnsi="Arial" w:cs="Arial"/>
          <w:sz w:val="24"/>
          <w:szCs w:val="24"/>
        </w:rPr>
        <w:t xml:space="preserve"> motor vehicle must be taken to utilise its parts to repair a similar vehicle </w:t>
      </w:r>
      <w:r w:rsidR="004D5646" w:rsidRPr="002560F3">
        <w:rPr>
          <w:rFonts w:ascii="Arial" w:hAnsi="Arial" w:cs="Arial"/>
          <w:sz w:val="24"/>
          <w:szCs w:val="24"/>
        </w:rPr>
        <w:lastRenderedPageBreak/>
        <w:t>at his house.</w:t>
      </w:r>
      <w:r w:rsidR="004921EE" w:rsidRPr="002560F3">
        <w:rPr>
          <w:rFonts w:ascii="Arial" w:hAnsi="Arial" w:cs="Arial"/>
          <w:sz w:val="24"/>
          <w:szCs w:val="24"/>
        </w:rPr>
        <w:t xml:space="preserve"> However, this testimo</w:t>
      </w:r>
      <w:r w:rsidR="00B7766B" w:rsidRPr="002560F3">
        <w:rPr>
          <w:rFonts w:ascii="Arial" w:hAnsi="Arial" w:cs="Arial"/>
          <w:sz w:val="24"/>
          <w:szCs w:val="24"/>
        </w:rPr>
        <w:t xml:space="preserve">ny stood in contradiction to Chabi’s guilty plea, </w:t>
      </w:r>
      <w:r w:rsidR="004921EE" w:rsidRPr="002560F3">
        <w:rPr>
          <w:rFonts w:ascii="Arial" w:hAnsi="Arial" w:cs="Arial"/>
          <w:sz w:val="24"/>
          <w:szCs w:val="24"/>
        </w:rPr>
        <w:t xml:space="preserve">where he had </w:t>
      </w:r>
      <w:r w:rsidR="00EE3F93" w:rsidRPr="002560F3">
        <w:rPr>
          <w:rFonts w:ascii="Arial" w:hAnsi="Arial" w:cs="Arial"/>
          <w:sz w:val="24"/>
          <w:szCs w:val="24"/>
        </w:rPr>
        <w:t>stated that</w:t>
      </w:r>
      <w:r w:rsidR="006A08A9" w:rsidRPr="002560F3">
        <w:rPr>
          <w:rFonts w:ascii="Arial" w:hAnsi="Arial" w:cs="Arial"/>
          <w:sz w:val="24"/>
          <w:szCs w:val="24"/>
        </w:rPr>
        <w:t xml:space="preserve"> </w:t>
      </w:r>
      <w:r w:rsidR="004921EE" w:rsidRPr="002560F3">
        <w:rPr>
          <w:rFonts w:ascii="Arial" w:hAnsi="Arial" w:cs="Arial"/>
          <w:sz w:val="24"/>
          <w:szCs w:val="24"/>
        </w:rPr>
        <w:t xml:space="preserve">they had agreed on the </w:t>
      </w:r>
      <w:r w:rsidR="006A08A9" w:rsidRPr="002560F3">
        <w:rPr>
          <w:rFonts w:ascii="Arial" w:hAnsi="Arial" w:cs="Arial"/>
          <w:sz w:val="24"/>
          <w:szCs w:val="24"/>
        </w:rPr>
        <w:t xml:space="preserve">day </w:t>
      </w:r>
      <w:r w:rsidR="004921EE" w:rsidRPr="002560F3">
        <w:rPr>
          <w:rFonts w:ascii="Arial" w:hAnsi="Arial" w:cs="Arial"/>
          <w:sz w:val="24"/>
          <w:szCs w:val="24"/>
        </w:rPr>
        <w:t xml:space="preserve">before the incident </w:t>
      </w:r>
      <w:r w:rsidR="006A08A9" w:rsidRPr="002560F3">
        <w:rPr>
          <w:rFonts w:ascii="Arial" w:hAnsi="Arial" w:cs="Arial"/>
          <w:sz w:val="24"/>
          <w:szCs w:val="24"/>
        </w:rPr>
        <w:t>that they needed a motor v</w:t>
      </w:r>
      <w:r w:rsidR="004921EE" w:rsidRPr="002560F3">
        <w:rPr>
          <w:rFonts w:ascii="Arial" w:hAnsi="Arial" w:cs="Arial"/>
          <w:sz w:val="24"/>
          <w:szCs w:val="24"/>
        </w:rPr>
        <w:t xml:space="preserve">ehicle </w:t>
      </w:r>
      <w:r w:rsidR="00EE3F93" w:rsidRPr="002560F3">
        <w:rPr>
          <w:rFonts w:ascii="Arial" w:hAnsi="Arial" w:cs="Arial"/>
          <w:sz w:val="24"/>
          <w:szCs w:val="24"/>
        </w:rPr>
        <w:t>‘</w:t>
      </w:r>
      <w:r w:rsidR="004921EE" w:rsidRPr="002560F3">
        <w:rPr>
          <w:rFonts w:ascii="Arial" w:hAnsi="Arial" w:cs="Arial"/>
          <w:sz w:val="24"/>
          <w:szCs w:val="24"/>
        </w:rPr>
        <w:t>to drive around with</w:t>
      </w:r>
      <w:r w:rsidR="00EE3F93" w:rsidRPr="002560F3">
        <w:rPr>
          <w:rFonts w:ascii="Arial" w:hAnsi="Arial" w:cs="Arial"/>
          <w:sz w:val="24"/>
          <w:szCs w:val="24"/>
        </w:rPr>
        <w:t>’</w:t>
      </w:r>
      <w:r w:rsidR="00873C17">
        <w:rPr>
          <w:rFonts w:ascii="Arial" w:hAnsi="Arial" w:cs="Arial"/>
          <w:sz w:val="24"/>
          <w:szCs w:val="24"/>
        </w:rPr>
        <w:t xml:space="preserve">. </w:t>
      </w:r>
      <w:r w:rsidR="00EE3F93" w:rsidRPr="002560F3">
        <w:rPr>
          <w:rFonts w:ascii="Arial" w:hAnsi="Arial" w:cs="Arial"/>
          <w:sz w:val="24"/>
          <w:szCs w:val="24"/>
        </w:rPr>
        <w:t>The trial</w:t>
      </w:r>
      <w:r w:rsidR="004D5646" w:rsidRPr="002560F3">
        <w:rPr>
          <w:rFonts w:ascii="Arial" w:hAnsi="Arial" w:cs="Arial"/>
          <w:sz w:val="24"/>
          <w:szCs w:val="24"/>
        </w:rPr>
        <w:t xml:space="preserve"> court said </w:t>
      </w:r>
      <w:r w:rsidR="001151CD" w:rsidRPr="002560F3">
        <w:rPr>
          <w:rFonts w:ascii="Arial" w:hAnsi="Arial" w:cs="Arial"/>
          <w:sz w:val="24"/>
          <w:szCs w:val="24"/>
        </w:rPr>
        <w:t xml:space="preserve">further </w:t>
      </w:r>
      <w:r w:rsidR="00767DEB" w:rsidRPr="002560F3">
        <w:rPr>
          <w:rFonts w:ascii="Arial" w:hAnsi="Arial" w:cs="Arial"/>
          <w:sz w:val="24"/>
          <w:szCs w:val="24"/>
        </w:rPr>
        <w:t xml:space="preserve">that </w:t>
      </w:r>
      <w:r w:rsidR="00EE3F93" w:rsidRPr="002560F3">
        <w:rPr>
          <w:rFonts w:ascii="Arial" w:hAnsi="Arial" w:cs="Arial"/>
          <w:sz w:val="24"/>
          <w:szCs w:val="24"/>
        </w:rPr>
        <w:t>if the</w:t>
      </w:r>
      <w:r w:rsidR="00767DEB" w:rsidRPr="002560F3">
        <w:rPr>
          <w:rFonts w:ascii="Arial" w:hAnsi="Arial" w:cs="Arial"/>
          <w:sz w:val="24"/>
          <w:szCs w:val="24"/>
        </w:rPr>
        <w:t xml:space="preserve"> intention was </w:t>
      </w:r>
      <w:r w:rsidR="004D5646" w:rsidRPr="002560F3">
        <w:rPr>
          <w:rFonts w:ascii="Arial" w:hAnsi="Arial" w:cs="Arial"/>
          <w:sz w:val="24"/>
          <w:szCs w:val="24"/>
        </w:rPr>
        <w:t>to take the motor vehicle</w:t>
      </w:r>
      <w:r w:rsidR="00767DEB" w:rsidRPr="002560F3">
        <w:rPr>
          <w:rFonts w:ascii="Arial" w:hAnsi="Arial" w:cs="Arial"/>
          <w:sz w:val="24"/>
          <w:szCs w:val="24"/>
        </w:rPr>
        <w:t>,</w:t>
      </w:r>
      <w:r w:rsidR="004D5646" w:rsidRPr="002560F3">
        <w:rPr>
          <w:rFonts w:ascii="Arial" w:hAnsi="Arial" w:cs="Arial"/>
          <w:sz w:val="24"/>
          <w:szCs w:val="24"/>
        </w:rPr>
        <w:t xml:space="preserve"> and strip it for parts to repair a similar vehicle at the respondent’s house, </w:t>
      </w:r>
      <w:r w:rsidR="001151CD" w:rsidRPr="002560F3">
        <w:rPr>
          <w:rFonts w:ascii="Arial" w:hAnsi="Arial" w:cs="Arial"/>
          <w:sz w:val="24"/>
          <w:szCs w:val="24"/>
        </w:rPr>
        <w:t>then why would</w:t>
      </w:r>
      <w:r w:rsidR="004D5646" w:rsidRPr="002560F3">
        <w:rPr>
          <w:rFonts w:ascii="Arial" w:hAnsi="Arial" w:cs="Arial"/>
          <w:sz w:val="24"/>
          <w:szCs w:val="24"/>
        </w:rPr>
        <w:t xml:space="preserve"> Chabi </w:t>
      </w:r>
      <w:r w:rsidR="001151CD" w:rsidRPr="002560F3">
        <w:rPr>
          <w:rFonts w:ascii="Arial" w:hAnsi="Arial" w:cs="Arial"/>
          <w:sz w:val="24"/>
          <w:szCs w:val="24"/>
        </w:rPr>
        <w:t>retain</w:t>
      </w:r>
      <w:r w:rsidR="004D5646" w:rsidRPr="002560F3">
        <w:rPr>
          <w:rFonts w:ascii="Arial" w:hAnsi="Arial" w:cs="Arial"/>
          <w:sz w:val="24"/>
          <w:szCs w:val="24"/>
        </w:rPr>
        <w:t xml:space="preserve"> the </w:t>
      </w:r>
      <w:r w:rsidR="006A08A9" w:rsidRPr="002560F3">
        <w:rPr>
          <w:rFonts w:ascii="Arial" w:hAnsi="Arial" w:cs="Arial"/>
          <w:sz w:val="24"/>
          <w:szCs w:val="24"/>
        </w:rPr>
        <w:t xml:space="preserve">deceased’s </w:t>
      </w:r>
      <w:r w:rsidR="004D5646" w:rsidRPr="002560F3">
        <w:rPr>
          <w:rFonts w:ascii="Arial" w:hAnsi="Arial" w:cs="Arial"/>
          <w:sz w:val="24"/>
          <w:szCs w:val="24"/>
        </w:rPr>
        <w:t>vehicle, the keys and other movable asset</w:t>
      </w:r>
      <w:r w:rsidR="00B7766B" w:rsidRPr="002560F3">
        <w:rPr>
          <w:rFonts w:ascii="Arial" w:hAnsi="Arial" w:cs="Arial"/>
          <w:sz w:val="24"/>
          <w:szCs w:val="24"/>
        </w:rPr>
        <w:t xml:space="preserve">s </w:t>
      </w:r>
      <w:r w:rsidR="001151CD" w:rsidRPr="002560F3">
        <w:rPr>
          <w:rFonts w:ascii="Arial" w:hAnsi="Arial" w:cs="Arial"/>
          <w:sz w:val="24"/>
          <w:szCs w:val="24"/>
        </w:rPr>
        <w:t>belonging to the</w:t>
      </w:r>
      <w:r w:rsidR="00B7766B" w:rsidRPr="002560F3">
        <w:rPr>
          <w:rFonts w:ascii="Arial" w:hAnsi="Arial" w:cs="Arial"/>
          <w:sz w:val="24"/>
          <w:szCs w:val="24"/>
        </w:rPr>
        <w:t xml:space="preserve"> deceased.</w:t>
      </w:r>
      <w:r w:rsidR="004D5646" w:rsidRPr="002560F3">
        <w:rPr>
          <w:rFonts w:ascii="Arial" w:hAnsi="Arial" w:cs="Arial"/>
          <w:sz w:val="24"/>
          <w:szCs w:val="24"/>
        </w:rPr>
        <w:t xml:space="preserve"> </w:t>
      </w:r>
      <w:r w:rsidR="00767DEB" w:rsidRPr="002560F3">
        <w:rPr>
          <w:rFonts w:ascii="Arial" w:hAnsi="Arial" w:cs="Arial"/>
          <w:sz w:val="24"/>
          <w:szCs w:val="24"/>
        </w:rPr>
        <w:t xml:space="preserve">The trial court </w:t>
      </w:r>
      <w:r w:rsidR="00E7074C" w:rsidRPr="002560F3">
        <w:rPr>
          <w:rFonts w:ascii="Arial" w:hAnsi="Arial" w:cs="Arial"/>
          <w:sz w:val="24"/>
          <w:szCs w:val="24"/>
        </w:rPr>
        <w:t xml:space="preserve">thus </w:t>
      </w:r>
      <w:r w:rsidR="00767DEB" w:rsidRPr="002560F3">
        <w:rPr>
          <w:rFonts w:ascii="Arial" w:hAnsi="Arial" w:cs="Arial"/>
          <w:sz w:val="24"/>
          <w:szCs w:val="24"/>
        </w:rPr>
        <w:t>rejected Chabi’</w:t>
      </w:r>
      <w:r w:rsidR="001151CD" w:rsidRPr="002560F3">
        <w:rPr>
          <w:rFonts w:ascii="Arial" w:hAnsi="Arial" w:cs="Arial"/>
          <w:sz w:val="24"/>
          <w:szCs w:val="24"/>
        </w:rPr>
        <w:t>s version</w:t>
      </w:r>
      <w:r w:rsidR="0001217E" w:rsidRPr="002560F3">
        <w:rPr>
          <w:rFonts w:ascii="Arial" w:hAnsi="Arial" w:cs="Arial"/>
          <w:sz w:val="24"/>
          <w:szCs w:val="24"/>
        </w:rPr>
        <w:t xml:space="preserve"> that there was an agreement between </w:t>
      </w:r>
      <w:r w:rsidR="00767DEB" w:rsidRPr="002560F3">
        <w:rPr>
          <w:rFonts w:ascii="Arial" w:hAnsi="Arial" w:cs="Arial"/>
          <w:sz w:val="24"/>
          <w:szCs w:val="24"/>
        </w:rPr>
        <w:t>him and</w:t>
      </w:r>
      <w:r w:rsidR="00F0030C" w:rsidRPr="002560F3">
        <w:rPr>
          <w:rFonts w:ascii="Arial" w:hAnsi="Arial" w:cs="Arial"/>
          <w:sz w:val="24"/>
          <w:szCs w:val="24"/>
        </w:rPr>
        <w:t xml:space="preserve"> the</w:t>
      </w:r>
      <w:r w:rsidR="00767DEB" w:rsidRPr="002560F3">
        <w:rPr>
          <w:rFonts w:ascii="Arial" w:hAnsi="Arial" w:cs="Arial"/>
          <w:sz w:val="24"/>
          <w:szCs w:val="24"/>
        </w:rPr>
        <w:t xml:space="preserve"> </w:t>
      </w:r>
      <w:r w:rsidR="00DE7D2A" w:rsidRPr="002560F3">
        <w:rPr>
          <w:rFonts w:ascii="Arial" w:hAnsi="Arial" w:cs="Arial"/>
          <w:sz w:val="24"/>
          <w:szCs w:val="24"/>
        </w:rPr>
        <w:t xml:space="preserve">respondent </w:t>
      </w:r>
      <w:r w:rsidR="00767DEB" w:rsidRPr="002560F3">
        <w:rPr>
          <w:rFonts w:ascii="Arial" w:hAnsi="Arial" w:cs="Arial"/>
          <w:sz w:val="24"/>
          <w:szCs w:val="24"/>
        </w:rPr>
        <w:t xml:space="preserve">concerning </w:t>
      </w:r>
      <w:r w:rsidR="0001217E" w:rsidRPr="002560F3">
        <w:rPr>
          <w:rFonts w:ascii="Arial" w:hAnsi="Arial" w:cs="Arial"/>
          <w:sz w:val="24"/>
          <w:szCs w:val="24"/>
        </w:rPr>
        <w:t xml:space="preserve">the </w:t>
      </w:r>
      <w:r w:rsidR="00767DEB" w:rsidRPr="002560F3">
        <w:rPr>
          <w:rFonts w:ascii="Arial" w:hAnsi="Arial" w:cs="Arial"/>
          <w:sz w:val="24"/>
          <w:szCs w:val="24"/>
        </w:rPr>
        <w:t xml:space="preserve">taking of the </w:t>
      </w:r>
      <w:r w:rsidR="00D229A9" w:rsidRPr="002560F3">
        <w:rPr>
          <w:rFonts w:ascii="Arial" w:hAnsi="Arial" w:cs="Arial"/>
          <w:sz w:val="24"/>
          <w:szCs w:val="24"/>
        </w:rPr>
        <w:t>deceased’s vehicle</w:t>
      </w:r>
      <w:r w:rsidR="0030371B" w:rsidRPr="002560F3">
        <w:rPr>
          <w:rFonts w:ascii="Arial" w:hAnsi="Arial" w:cs="Arial"/>
          <w:sz w:val="24"/>
          <w:szCs w:val="24"/>
        </w:rPr>
        <w:t xml:space="preserve">. </w:t>
      </w:r>
    </w:p>
    <w:p w14:paraId="1411FB81" w14:textId="77777777" w:rsidR="00D925D0" w:rsidRDefault="00D925D0" w:rsidP="0049217D">
      <w:pPr>
        <w:spacing w:after="0" w:line="360" w:lineRule="auto"/>
        <w:jc w:val="both"/>
        <w:rPr>
          <w:rFonts w:ascii="Arial" w:hAnsi="Arial" w:cs="Arial"/>
          <w:sz w:val="24"/>
          <w:szCs w:val="24"/>
        </w:rPr>
      </w:pPr>
    </w:p>
    <w:p w14:paraId="4B4386F6" w14:textId="7AD8CBD9" w:rsidR="0030371B" w:rsidRPr="002560F3" w:rsidRDefault="00FD3F5C" w:rsidP="004F3EF6">
      <w:pPr>
        <w:spacing w:after="0" w:line="360" w:lineRule="auto"/>
        <w:contextualSpacing/>
        <w:jc w:val="both"/>
        <w:rPr>
          <w:rFonts w:ascii="Arial" w:hAnsi="Arial" w:cs="Arial"/>
          <w:sz w:val="24"/>
          <w:szCs w:val="24"/>
        </w:rPr>
      </w:pPr>
      <w:r w:rsidRPr="002560F3">
        <w:rPr>
          <w:rFonts w:ascii="Arial" w:hAnsi="Arial" w:cs="Arial"/>
          <w:sz w:val="24"/>
          <w:szCs w:val="24"/>
        </w:rPr>
        <w:t>[13</w:t>
      </w:r>
      <w:r w:rsidR="00C23FA6" w:rsidRPr="002560F3">
        <w:rPr>
          <w:rFonts w:ascii="Arial" w:hAnsi="Arial" w:cs="Arial"/>
          <w:sz w:val="24"/>
          <w:szCs w:val="24"/>
        </w:rPr>
        <w:t>]</w:t>
      </w:r>
      <w:r w:rsidR="00DE7D2A" w:rsidRPr="002560F3">
        <w:rPr>
          <w:rFonts w:ascii="Arial" w:hAnsi="Arial" w:cs="Arial"/>
          <w:sz w:val="24"/>
          <w:szCs w:val="24"/>
        </w:rPr>
        <w:tab/>
      </w:r>
      <w:r w:rsidR="0030371B" w:rsidRPr="002560F3">
        <w:rPr>
          <w:rFonts w:ascii="Arial" w:hAnsi="Arial" w:cs="Arial"/>
          <w:sz w:val="24"/>
          <w:szCs w:val="24"/>
        </w:rPr>
        <w:t xml:space="preserve">In assessing </w:t>
      </w:r>
      <w:r w:rsidR="00723CAD" w:rsidRPr="002560F3">
        <w:rPr>
          <w:rFonts w:ascii="Arial" w:hAnsi="Arial" w:cs="Arial"/>
          <w:sz w:val="24"/>
          <w:szCs w:val="24"/>
        </w:rPr>
        <w:t xml:space="preserve">the respondent’s case, </w:t>
      </w:r>
      <w:r w:rsidR="00E7074C" w:rsidRPr="002560F3">
        <w:rPr>
          <w:rFonts w:ascii="Arial" w:hAnsi="Arial" w:cs="Arial"/>
          <w:sz w:val="24"/>
          <w:szCs w:val="24"/>
        </w:rPr>
        <w:t xml:space="preserve">the trial court </w:t>
      </w:r>
      <w:r w:rsidR="00723CAD" w:rsidRPr="002560F3">
        <w:rPr>
          <w:rFonts w:ascii="Arial" w:hAnsi="Arial" w:cs="Arial"/>
          <w:sz w:val="24"/>
          <w:szCs w:val="24"/>
        </w:rPr>
        <w:t xml:space="preserve">did however note </w:t>
      </w:r>
      <w:r w:rsidR="00E7074C" w:rsidRPr="002560F3">
        <w:rPr>
          <w:rFonts w:ascii="Arial" w:hAnsi="Arial" w:cs="Arial"/>
          <w:sz w:val="24"/>
          <w:szCs w:val="24"/>
        </w:rPr>
        <w:t xml:space="preserve">that there were inconsistencies and </w:t>
      </w:r>
      <w:r w:rsidR="003D1E39">
        <w:rPr>
          <w:rFonts w:ascii="Arial" w:hAnsi="Arial" w:cs="Arial"/>
          <w:sz w:val="24"/>
          <w:szCs w:val="24"/>
        </w:rPr>
        <w:t xml:space="preserve">contradictions </w:t>
      </w:r>
      <w:r w:rsidR="003D1E39" w:rsidRPr="000911F0">
        <w:rPr>
          <w:rFonts w:ascii="Arial" w:hAnsi="Arial" w:cs="Arial"/>
          <w:sz w:val="24"/>
          <w:szCs w:val="24"/>
        </w:rPr>
        <w:t>in his testimony</w:t>
      </w:r>
      <w:r w:rsidR="003D1E39">
        <w:rPr>
          <w:rFonts w:ascii="Arial" w:hAnsi="Arial" w:cs="Arial"/>
          <w:sz w:val="24"/>
          <w:szCs w:val="24"/>
        </w:rPr>
        <w:t>.</w:t>
      </w:r>
      <w:r w:rsidR="00E7074C" w:rsidRPr="002560F3">
        <w:rPr>
          <w:rFonts w:ascii="Arial" w:hAnsi="Arial" w:cs="Arial"/>
          <w:sz w:val="24"/>
          <w:szCs w:val="24"/>
        </w:rPr>
        <w:t xml:space="preserve"> Most importantly</w:t>
      </w:r>
      <w:r w:rsidR="00DC116F">
        <w:rPr>
          <w:rFonts w:ascii="Arial" w:hAnsi="Arial" w:cs="Arial"/>
          <w:sz w:val="24"/>
          <w:szCs w:val="24"/>
        </w:rPr>
        <w:t>,</w:t>
      </w:r>
      <w:r w:rsidR="00E7074C" w:rsidRPr="002560F3">
        <w:rPr>
          <w:rFonts w:ascii="Arial" w:hAnsi="Arial" w:cs="Arial"/>
          <w:sz w:val="24"/>
          <w:szCs w:val="24"/>
        </w:rPr>
        <w:t xml:space="preserve"> </w:t>
      </w:r>
      <w:r w:rsidR="004956BC">
        <w:rPr>
          <w:rFonts w:ascii="Arial" w:hAnsi="Arial" w:cs="Arial"/>
          <w:sz w:val="24"/>
          <w:szCs w:val="24"/>
        </w:rPr>
        <w:t>these</w:t>
      </w:r>
      <w:r w:rsidR="00E7074C" w:rsidRPr="002560F3">
        <w:rPr>
          <w:rFonts w:ascii="Arial" w:hAnsi="Arial" w:cs="Arial"/>
          <w:sz w:val="24"/>
          <w:szCs w:val="24"/>
        </w:rPr>
        <w:t xml:space="preserve"> related to the respondent not trying to disassociate himself from the commission of the crime. The trial </w:t>
      </w:r>
      <w:r w:rsidR="00C2139A" w:rsidRPr="002560F3">
        <w:rPr>
          <w:rFonts w:ascii="Arial" w:hAnsi="Arial" w:cs="Arial"/>
          <w:sz w:val="24"/>
          <w:szCs w:val="24"/>
        </w:rPr>
        <w:t xml:space="preserve">court said that it </w:t>
      </w:r>
      <w:r w:rsidR="00B62C66" w:rsidRPr="002560F3">
        <w:rPr>
          <w:rFonts w:ascii="Arial" w:hAnsi="Arial" w:cs="Arial"/>
          <w:sz w:val="24"/>
          <w:szCs w:val="24"/>
        </w:rPr>
        <w:t xml:space="preserve">had </w:t>
      </w:r>
      <w:r w:rsidR="00C2139A" w:rsidRPr="002560F3">
        <w:rPr>
          <w:rFonts w:ascii="Arial" w:hAnsi="Arial" w:cs="Arial"/>
          <w:sz w:val="24"/>
          <w:szCs w:val="24"/>
        </w:rPr>
        <w:t>taken into cognisance the defence of ne</w:t>
      </w:r>
      <w:r w:rsidR="00C23FA6" w:rsidRPr="002560F3">
        <w:rPr>
          <w:rFonts w:ascii="Arial" w:hAnsi="Arial" w:cs="Arial"/>
          <w:sz w:val="24"/>
          <w:szCs w:val="24"/>
        </w:rPr>
        <w:t xml:space="preserve">cessity </w:t>
      </w:r>
      <w:r w:rsidR="00601952" w:rsidRPr="002560F3">
        <w:rPr>
          <w:rFonts w:ascii="Arial" w:hAnsi="Arial" w:cs="Arial"/>
          <w:sz w:val="24"/>
          <w:szCs w:val="24"/>
        </w:rPr>
        <w:t xml:space="preserve">in the form of compulsion and/or coercion </w:t>
      </w:r>
      <w:r w:rsidR="00C23FA6" w:rsidRPr="002560F3">
        <w:rPr>
          <w:rFonts w:ascii="Arial" w:hAnsi="Arial" w:cs="Arial"/>
          <w:sz w:val="24"/>
          <w:szCs w:val="24"/>
        </w:rPr>
        <w:t xml:space="preserve">raised by </w:t>
      </w:r>
      <w:r w:rsidR="00F0030C" w:rsidRPr="002560F3">
        <w:rPr>
          <w:rFonts w:ascii="Arial" w:hAnsi="Arial" w:cs="Arial"/>
          <w:sz w:val="24"/>
          <w:szCs w:val="24"/>
        </w:rPr>
        <w:t>the respondent</w:t>
      </w:r>
      <w:r w:rsidR="00601952" w:rsidRPr="002560F3">
        <w:rPr>
          <w:rFonts w:ascii="Arial" w:hAnsi="Arial" w:cs="Arial"/>
          <w:sz w:val="24"/>
          <w:szCs w:val="24"/>
        </w:rPr>
        <w:t xml:space="preserve">. He had given some explanation as to why he did not disassociate from Chabi, that he was </w:t>
      </w:r>
      <w:r w:rsidR="00B62C66" w:rsidRPr="002560F3">
        <w:rPr>
          <w:rFonts w:ascii="Arial" w:hAnsi="Arial" w:cs="Arial"/>
          <w:sz w:val="24"/>
          <w:szCs w:val="24"/>
        </w:rPr>
        <w:t>scared of Chabi and feared for his life and that of his family.</w:t>
      </w:r>
      <w:r w:rsidR="00601952" w:rsidRPr="002560F3">
        <w:rPr>
          <w:rFonts w:ascii="Arial" w:hAnsi="Arial" w:cs="Arial"/>
          <w:sz w:val="24"/>
          <w:szCs w:val="24"/>
        </w:rPr>
        <w:t xml:space="preserve"> </w:t>
      </w:r>
      <w:r w:rsidR="009152E3" w:rsidRPr="002560F3">
        <w:rPr>
          <w:rFonts w:ascii="Arial" w:hAnsi="Arial" w:cs="Arial"/>
          <w:sz w:val="24"/>
          <w:szCs w:val="24"/>
        </w:rPr>
        <w:t xml:space="preserve">Moreover, </w:t>
      </w:r>
      <w:r w:rsidR="00F0030C" w:rsidRPr="002560F3">
        <w:rPr>
          <w:rFonts w:ascii="Arial" w:hAnsi="Arial" w:cs="Arial"/>
          <w:sz w:val="24"/>
          <w:szCs w:val="24"/>
        </w:rPr>
        <w:t>the trial</w:t>
      </w:r>
      <w:r w:rsidR="00C23FA6" w:rsidRPr="002560F3">
        <w:rPr>
          <w:rFonts w:ascii="Arial" w:hAnsi="Arial" w:cs="Arial"/>
          <w:sz w:val="24"/>
          <w:szCs w:val="24"/>
        </w:rPr>
        <w:t xml:space="preserve"> </w:t>
      </w:r>
      <w:r w:rsidR="00B62C66" w:rsidRPr="002560F3">
        <w:rPr>
          <w:rFonts w:ascii="Arial" w:hAnsi="Arial" w:cs="Arial"/>
          <w:sz w:val="24"/>
          <w:szCs w:val="24"/>
        </w:rPr>
        <w:t xml:space="preserve">court </w:t>
      </w:r>
      <w:r w:rsidR="00F0030C" w:rsidRPr="002560F3">
        <w:rPr>
          <w:rFonts w:ascii="Arial" w:hAnsi="Arial" w:cs="Arial"/>
          <w:sz w:val="24"/>
          <w:szCs w:val="24"/>
        </w:rPr>
        <w:t>held that</w:t>
      </w:r>
      <w:r w:rsidR="00C23FA6" w:rsidRPr="002560F3">
        <w:rPr>
          <w:rFonts w:ascii="Arial" w:hAnsi="Arial" w:cs="Arial"/>
          <w:sz w:val="24"/>
          <w:szCs w:val="24"/>
        </w:rPr>
        <w:t xml:space="preserve"> the respondent had, in any event, been of little assistance to Chabi in the commission of the offences</w:t>
      </w:r>
      <w:r w:rsidR="004956BC">
        <w:rPr>
          <w:rFonts w:ascii="Arial" w:hAnsi="Arial" w:cs="Arial"/>
          <w:sz w:val="24"/>
          <w:szCs w:val="24"/>
        </w:rPr>
        <w:t>,</w:t>
      </w:r>
      <w:r w:rsidR="00C23FA6" w:rsidRPr="002560F3">
        <w:rPr>
          <w:rFonts w:ascii="Arial" w:hAnsi="Arial" w:cs="Arial"/>
          <w:sz w:val="24"/>
          <w:szCs w:val="24"/>
        </w:rPr>
        <w:t xml:space="preserve"> as the deceased managed </w:t>
      </w:r>
      <w:r w:rsidR="00601952" w:rsidRPr="002560F3">
        <w:rPr>
          <w:rFonts w:ascii="Arial" w:hAnsi="Arial" w:cs="Arial"/>
          <w:sz w:val="24"/>
          <w:szCs w:val="24"/>
        </w:rPr>
        <w:t>to break free</w:t>
      </w:r>
      <w:r w:rsidR="00C23FA6" w:rsidRPr="002560F3">
        <w:rPr>
          <w:rFonts w:ascii="Arial" w:hAnsi="Arial" w:cs="Arial"/>
          <w:sz w:val="24"/>
          <w:szCs w:val="24"/>
        </w:rPr>
        <w:t xml:space="preserve"> from th</w:t>
      </w:r>
      <w:r w:rsidR="00B62C66" w:rsidRPr="002560F3">
        <w:rPr>
          <w:rFonts w:ascii="Arial" w:hAnsi="Arial" w:cs="Arial"/>
          <w:sz w:val="24"/>
          <w:szCs w:val="24"/>
        </w:rPr>
        <w:t xml:space="preserve">e </w:t>
      </w:r>
      <w:r w:rsidR="00C23FA6" w:rsidRPr="002560F3">
        <w:rPr>
          <w:rFonts w:ascii="Arial" w:hAnsi="Arial" w:cs="Arial"/>
          <w:sz w:val="24"/>
          <w:szCs w:val="24"/>
        </w:rPr>
        <w:t xml:space="preserve">tape around her wrists. </w:t>
      </w:r>
      <w:r w:rsidR="00E7074C" w:rsidRPr="002560F3">
        <w:rPr>
          <w:rFonts w:ascii="Arial" w:hAnsi="Arial" w:cs="Arial"/>
          <w:sz w:val="24"/>
          <w:szCs w:val="24"/>
        </w:rPr>
        <w:t xml:space="preserve">The </w:t>
      </w:r>
      <w:r w:rsidR="00723CAD" w:rsidRPr="002560F3">
        <w:rPr>
          <w:rFonts w:ascii="Arial" w:hAnsi="Arial" w:cs="Arial"/>
          <w:sz w:val="24"/>
          <w:szCs w:val="24"/>
        </w:rPr>
        <w:t>trial</w:t>
      </w:r>
      <w:r w:rsidR="009152E3" w:rsidRPr="002560F3">
        <w:rPr>
          <w:rFonts w:ascii="Arial" w:hAnsi="Arial" w:cs="Arial"/>
          <w:sz w:val="24"/>
          <w:szCs w:val="24"/>
        </w:rPr>
        <w:t xml:space="preserve"> court said</w:t>
      </w:r>
      <w:r w:rsidR="00E7074C" w:rsidRPr="002560F3">
        <w:rPr>
          <w:rFonts w:ascii="Arial" w:hAnsi="Arial" w:cs="Arial"/>
          <w:sz w:val="24"/>
          <w:szCs w:val="24"/>
        </w:rPr>
        <w:t xml:space="preserve"> that </w:t>
      </w:r>
      <w:r w:rsidRPr="002560F3">
        <w:rPr>
          <w:rFonts w:ascii="Arial" w:hAnsi="Arial" w:cs="Arial"/>
          <w:sz w:val="24"/>
          <w:szCs w:val="24"/>
        </w:rPr>
        <w:t xml:space="preserve">it was </w:t>
      </w:r>
      <w:r w:rsidR="00E7074C" w:rsidRPr="002560F3">
        <w:rPr>
          <w:rFonts w:ascii="Arial" w:hAnsi="Arial" w:cs="Arial"/>
          <w:sz w:val="24"/>
          <w:szCs w:val="24"/>
        </w:rPr>
        <w:t xml:space="preserve">Chabi </w:t>
      </w:r>
      <w:r w:rsidRPr="002560F3">
        <w:rPr>
          <w:rFonts w:ascii="Arial" w:hAnsi="Arial" w:cs="Arial"/>
          <w:sz w:val="24"/>
          <w:szCs w:val="24"/>
        </w:rPr>
        <w:t xml:space="preserve">who </w:t>
      </w:r>
      <w:r w:rsidR="00E7074C" w:rsidRPr="002560F3">
        <w:rPr>
          <w:rFonts w:ascii="Arial" w:hAnsi="Arial" w:cs="Arial"/>
          <w:sz w:val="24"/>
          <w:szCs w:val="24"/>
        </w:rPr>
        <w:t>had shot the deceased, took control of her vehicle, took possession of her personal effects and r</w:t>
      </w:r>
      <w:r w:rsidR="00723CAD" w:rsidRPr="002560F3">
        <w:rPr>
          <w:rFonts w:ascii="Arial" w:hAnsi="Arial" w:cs="Arial"/>
          <w:sz w:val="24"/>
          <w:szCs w:val="24"/>
        </w:rPr>
        <w:t>etained everything</w:t>
      </w:r>
      <w:r w:rsidRPr="002560F3">
        <w:rPr>
          <w:rFonts w:ascii="Arial" w:hAnsi="Arial" w:cs="Arial"/>
          <w:sz w:val="24"/>
          <w:szCs w:val="24"/>
        </w:rPr>
        <w:t>,</w:t>
      </w:r>
      <w:r w:rsidR="00723CAD" w:rsidRPr="002560F3">
        <w:rPr>
          <w:rFonts w:ascii="Arial" w:hAnsi="Arial" w:cs="Arial"/>
          <w:sz w:val="24"/>
          <w:szCs w:val="24"/>
        </w:rPr>
        <w:t xml:space="preserve"> with the respondent</w:t>
      </w:r>
      <w:r w:rsidR="00BB2404" w:rsidRPr="002560F3">
        <w:rPr>
          <w:rFonts w:ascii="Arial" w:hAnsi="Arial" w:cs="Arial"/>
          <w:sz w:val="24"/>
          <w:szCs w:val="24"/>
        </w:rPr>
        <w:t xml:space="preserve"> not sharing </w:t>
      </w:r>
      <w:r w:rsidR="005A7BB2" w:rsidRPr="002560F3">
        <w:rPr>
          <w:rFonts w:ascii="Arial" w:hAnsi="Arial" w:cs="Arial"/>
          <w:sz w:val="24"/>
          <w:szCs w:val="24"/>
        </w:rPr>
        <w:t>in the spoils of the crime</w:t>
      </w:r>
      <w:r w:rsidR="00E7074C" w:rsidRPr="002560F3">
        <w:rPr>
          <w:rFonts w:ascii="Arial" w:hAnsi="Arial" w:cs="Arial"/>
          <w:sz w:val="24"/>
          <w:szCs w:val="24"/>
        </w:rPr>
        <w:t>.</w:t>
      </w:r>
      <w:r w:rsidR="00C23FA6" w:rsidRPr="002560F3">
        <w:rPr>
          <w:rFonts w:ascii="Arial" w:hAnsi="Arial" w:cs="Arial"/>
          <w:sz w:val="24"/>
          <w:szCs w:val="24"/>
        </w:rPr>
        <w:t xml:space="preserve"> </w:t>
      </w:r>
    </w:p>
    <w:p w14:paraId="04EC6FB0" w14:textId="77777777" w:rsidR="00D925D0" w:rsidRDefault="00D925D0" w:rsidP="004F3EF6">
      <w:pPr>
        <w:spacing w:after="0" w:line="360" w:lineRule="auto"/>
        <w:contextualSpacing/>
        <w:jc w:val="both"/>
        <w:rPr>
          <w:rFonts w:ascii="Arial" w:hAnsi="Arial" w:cs="Arial"/>
          <w:sz w:val="24"/>
          <w:szCs w:val="24"/>
        </w:rPr>
      </w:pPr>
    </w:p>
    <w:p w14:paraId="306A85F7" w14:textId="271D3541" w:rsidR="0049217D" w:rsidRPr="002560F3" w:rsidRDefault="00FD3F5C" w:rsidP="0049217D">
      <w:pPr>
        <w:spacing w:after="0" w:line="360" w:lineRule="auto"/>
        <w:contextualSpacing/>
        <w:jc w:val="both"/>
        <w:rPr>
          <w:rFonts w:ascii="Arial" w:hAnsi="Arial" w:cs="Arial"/>
          <w:sz w:val="24"/>
          <w:szCs w:val="24"/>
        </w:rPr>
      </w:pPr>
      <w:r w:rsidRPr="002560F3">
        <w:rPr>
          <w:rFonts w:ascii="Arial" w:hAnsi="Arial" w:cs="Arial"/>
          <w:sz w:val="24"/>
          <w:szCs w:val="24"/>
        </w:rPr>
        <w:t>[14</w:t>
      </w:r>
      <w:r w:rsidR="0030371B" w:rsidRPr="002560F3">
        <w:rPr>
          <w:rFonts w:ascii="Arial" w:hAnsi="Arial" w:cs="Arial"/>
          <w:sz w:val="24"/>
          <w:szCs w:val="24"/>
        </w:rPr>
        <w:t>]</w:t>
      </w:r>
      <w:r w:rsidR="00F0030C" w:rsidRPr="002560F3">
        <w:rPr>
          <w:rFonts w:ascii="Arial" w:hAnsi="Arial" w:cs="Arial"/>
          <w:sz w:val="24"/>
          <w:szCs w:val="24"/>
        </w:rPr>
        <w:tab/>
      </w:r>
      <w:r w:rsidR="00767DEB" w:rsidRPr="002560F3">
        <w:rPr>
          <w:rFonts w:ascii="Arial" w:hAnsi="Arial" w:cs="Arial"/>
          <w:sz w:val="24"/>
          <w:szCs w:val="24"/>
        </w:rPr>
        <w:t>Accor</w:t>
      </w:r>
      <w:r w:rsidR="00723CAD" w:rsidRPr="002560F3">
        <w:rPr>
          <w:rFonts w:ascii="Arial" w:hAnsi="Arial" w:cs="Arial"/>
          <w:sz w:val="24"/>
          <w:szCs w:val="24"/>
        </w:rPr>
        <w:t xml:space="preserve">dingly, </w:t>
      </w:r>
      <w:r w:rsidR="00767DEB" w:rsidRPr="002560F3">
        <w:rPr>
          <w:rFonts w:ascii="Arial" w:hAnsi="Arial" w:cs="Arial"/>
          <w:sz w:val="24"/>
          <w:szCs w:val="24"/>
        </w:rPr>
        <w:t xml:space="preserve">on a conspectus of the evidence, the </w:t>
      </w:r>
      <w:r w:rsidR="00723CAD" w:rsidRPr="002560F3">
        <w:rPr>
          <w:rFonts w:ascii="Arial" w:hAnsi="Arial" w:cs="Arial"/>
          <w:sz w:val="24"/>
          <w:szCs w:val="24"/>
        </w:rPr>
        <w:t xml:space="preserve">trial court held that the </w:t>
      </w:r>
      <w:r w:rsidR="00767DEB" w:rsidRPr="002560F3">
        <w:rPr>
          <w:rFonts w:ascii="Arial" w:hAnsi="Arial" w:cs="Arial"/>
          <w:sz w:val="24"/>
          <w:szCs w:val="24"/>
        </w:rPr>
        <w:t>State had failed to prove its case beyond reasonable doubt</w:t>
      </w:r>
      <w:r w:rsidR="005A7BB2" w:rsidRPr="002560F3">
        <w:rPr>
          <w:rFonts w:ascii="Arial" w:hAnsi="Arial" w:cs="Arial"/>
          <w:sz w:val="24"/>
          <w:szCs w:val="24"/>
        </w:rPr>
        <w:t xml:space="preserve"> against the respondent, concluding</w:t>
      </w:r>
      <w:r w:rsidR="004956BC">
        <w:rPr>
          <w:rFonts w:ascii="Arial" w:hAnsi="Arial" w:cs="Arial"/>
          <w:sz w:val="24"/>
          <w:szCs w:val="24"/>
        </w:rPr>
        <w:t>,</w:t>
      </w:r>
      <w:r w:rsidR="00767DEB" w:rsidRPr="002560F3">
        <w:rPr>
          <w:rFonts w:ascii="Arial" w:hAnsi="Arial" w:cs="Arial"/>
          <w:sz w:val="24"/>
          <w:szCs w:val="24"/>
        </w:rPr>
        <w:t xml:space="preserve"> </w:t>
      </w:r>
      <w:r w:rsidR="00C742FF" w:rsidRPr="002560F3">
        <w:rPr>
          <w:rFonts w:ascii="Arial" w:hAnsi="Arial" w:cs="Arial"/>
          <w:sz w:val="24"/>
          <w:szCs w:val="24"/>
        </w:rPr>
        <w:t xml:space="preserve">inter alia, </w:t>
      </w:r>
      <w:r w:rsidR="00767DEB" w:rsidRPr="002560F3">
        <w:rPr>
          <w:rFonts w:ascii="Arial" w:hAnsi="Arial" w:cs="Arial"/>
          <w:sz w:val="24"/>
          <w:szCs w:val="24"/>
        </w:rPr>
        <w:t xml:space="preserve">as follows: </w:t>
      </w:r>
      <w:r w:rsidR="0091103C" w:rsidRPr="002560F3">
        <w:rPr>
          <w:rFonts w:ascii="Arial" w:hAnsi="Arial" w:cs="Arial"/>
          <w:sz w:val="24"/>
          <w:szCs w:val="24"/>
        </w:rPr>
        <w:t>‘</w:t>
      </w:r>
      <w:r w:rsidR="00767DEB" w:rsidRPr="002560F3">
        <w:rPr>
          <w:rFonts w:ascii="Arial" w:hAnsi="Arial" w:cs="Arial"/>
          <w:sz w:val="24"/>
          <w:szCs w:val="24"/>
        </w:rPr>
        <w:t xml:space="preserve">In the end I find </w:t>
      </w:r>
      <w:r w:rsidR="005A7BB2" w:rsidRPr="002560F3">
        <w:rPr>
          <w:rFonts w:ascii="Arial" w:hAnsi="Arial" w:cs="Arial"/>
          <w:sz w:val="24"/>
          <w:szCs w:val="24"/>
        </w:rPr>
        <w:t xml:space="preserve">that </w:t>
      </w:r>
      <w:r w:rsidR="00767DEB" w:rsidRPr="002560F3">
        <w:rPr>
          <w:rFonts w:ascii="Arial" w:hAnsi="Arial" w:cs="Arial"/>
          <w:sz w:val="24"/>
          <w:szCs w:val="24"/>
        </w:rPr>
        <w:t>the State did not prove its case beyond reasonable doub</w:t>
      </w:r>
      <w:r w:rsidR="005A7BB2" w:rsidRPr="002560F3">
        <w:rPr>
          <w:rFonts w:ascii="Arial" w:hAnsi="Arial" w:cs="Arial"/>
          <w:sz w:val="24"/>
          <w:szCs w:val="24"/>
        </w:rPr>
        <w:t xml:space="preserve">t. I reject the version of the State </w:t>
      </w:r>
      <w:r w:rsidR="00665C0F">
        <w:rPr>
          <w:rFonts w:ascii="Arial" w:hAnsi="Arial" w:cs="Arial"/>
          <w:sz w:val="24"/>
          <w:szCs w:val="24"/>
        </w:rPr>
        <w:t>w</w:t>
      </w:r>
      <w:r w:rsidR="00767DEB" w:rsidRPr="002560F3">
        <w:rPr>
          <w:rFonts w:ascii="Arial" w:hAnsi="Arial" w:cs="Arial"/>
          <w:sz w:val="24"/>
          <w:szCs w:val="24"/>
        </w:rPr>
        <w:t>itness, Keorapetse Shabalala</w:t>
      </w:r>
      <w:r w:rsidR="006215EF" w:rsidRPr="002560F3">
        <w:rPr>
          <w:rFonts w:ascii="Arial" w:hAnsi="Arial" w:cs="Arial"/>
          <w:sz w:val="24"/>
          <w:szCs w:val="24"/>
        </w:rPr>
        <w:t xml:space="preserve"> </w:t>
      </w:r>
      <w:r w:rsidR="00723CAD" w:rsidRPr="002560F3">
        <w:rPr>
          <w:rFonts w:ascii="Arial" w:hAnsi="Arial" w:cs="Arial"/>
          <w:sz w:val="24"/>
          <w:szCs w:val="24"/>
        </w:rPr>
        <w:t>[Chabi]</w:t>
      </w:r>
      <w:r w:rsidR="004956BC">
        <w:rPr>
          <w:rFonts w:ascii="Arial" w:hAnsi="Arial" w:cs="Arial"/>
          <w:sz w:val="24"/>
          <w:szCs w:val="24"/>
        </w:rPr>
        <w:t>,</w:t>
      </w:r>
      <w:r w:rsidR="00767DEB" w:rsidRPr="002560F3">
        <w:rPr>
          <w:rFonts w:ascii="Arial" w:hAnsi="Arial" w:cs="Arial"/>
          <w:sz w:val="24"/>
          <w:szCs w:val="24"/>
        </w:rPr>
        <w:t xml:space="preserve"> insofar as he testified about the existence of an agreement between himself and the accused</w:t>
      </w:r>
      <w:r w:rsidR="00F0030C" w:rsidRPr="002560F3">
        <w:rPr>
          <w:rFonts w:ascii="Arial" w:hAnsi="Arial" w:cs="Arial"/>
          <w:sz w:val="24"/>
          <w:szCs w:val="24"/>
        </w:rPr>
        <w:t xml:space="preserve"> </w:t>
      </w:r>
      <w:r w:rsidR="006C6C85" w:rsidRPr="002560F3">
        <w:rPr>
          <w:rFonts w:ascii="Arial" w:hAnsi="Arial" w:cs="Arial"/>
          <w:sz w:val="24"/>
          <w:szCs w:val="24"/>
        </w:rPr>
        <w:t>[the respondent</w:t>
      </w:r>
      <w:r w:rsidR="00767DEB" w:rsidRPr="002560F3">
        <w:rPr>
          <w:rFonts w:ascii="Arial" w:hAnsi="Arial" w:cs="Arial"/>
          <w:sz w:val="24"/>
          <w:szCs w:val="24"/>
        </w:rPr>
        <w:t>] to take the motor vehicle of the deceased.</w:t>
      </w:r>
      <w:r w:rsidR="007C7AD1" w:rsidRPr="002560F3">
        <w:rPr>
          <w:rFonts w:ascii="Arial" w:hAnsi="Arial" w:cs="Arial"/>
          <w:sz w:val="24"/>
          <w:szCs w:val="24"/>
        </w:rPr>
        <w:t xml:space="preserve"> </w:t>
      </w:r>
      <w:r w:rsidR="00601952" w:rsidRPr="002560F3">
        <w:rPr>
          <w:rFonts w:ascii="Arial" w:hAnsi="Arial" w:cs="Arial"/>
          <w:sz w:val="24"/>
          <w:szCs w:val="24"/>
        </w:rPr>
        <w:t xml:space="preserve">His testimony was riddled with inconsistencies and contradictions in terms of the </w:t>
      </w:r>
      <w:r w:rsidR="008A13E0" w:rsidRPr="002560F3">
        <w:rPr>
          <w:rFonts w:ascii="Arial" w:hAnsi="Arial" w:cs="Arial"/>
          <w:sz w:val="24"/>
          <w:szCs w:val="24"/>
        </w:rPr>
        <w:t xml:space="preserve">alleged agreement between himself and the </w:t>
      </w:r>
      <w:r w:rsidR="005A7BB2" w:rsidRPr="002560F3">
        <w:rPr>
          <w:rFonts w:ascii="Arial" w:hAnsi="Arial" w:cs="Arial"/>
          <w:sz w:val="24"/>
          <w:szCs w:val="24"/>
        </w:rPr>
        <w:t>accused [</w:t>
      </w:r>
      <w:r w:rsidR="004956BC">
        <w:rPr>
          <w:rFonts w:ascii="Arial" w:hAnsi="Arial" w:cs="Arial"/>
          <w:sz w:val="24"/>
          <w:szCs w:val="24"/>
        </w:rPr>
        <w:t xml:space="preserve">the </w:t>
      </w:r>
      <w:r w:rsidR="008A13E0" w:rsidRPr="002560F3">
        <w:rPr>
          <w:rFonts w:ascii="Arial" w:hAnsi="Arial" w:cs="Arial"/>
          <w:sz w:val="24"/>
          <w:szCs w:val="24"/>
        </w:rPr>
        <w:t>respondent</w:t>
      </w:r>
      <w:r w:rsidR="005A7BB2" w:rsidRPr="002560F3">
        <w:rPr>
          <w:rFonts w:ascii="Arial" w:hAnsi="Arial" w:cs="Arial"/>
          <w:sz w:val="24"/>
          <w:szCs w:val="24"/>
        </w:rPr>
        <w:t>]</w:t>
      </w:r>
      <w:r w:rsidR="008A13E0" w:rsidRPr="002560F3">
        <w:rPr>
          <w:rFonts w:ascii="Arial" w:hAnsi="Arial" w:cs="Arial"/>
          <w:sz w:val="24"/>
          <w:szCs w:val="24"/>
        </w:rPr>
        <w:t xml:space="preserve"> on material </w:t>
      </w:r>
      <w:r w:rsidR="00665C0F">
        <w:rPr>
          <w:rFonts w:ascii="Arial" w:hAnsi="Arial" w:cs="Arial"/>
          <w:sz w:val="24"/>
          <w:szCs w:val="24"/>
        </w:rPr>
        <w:t>aspects</w:t>
      </w:r>
      <w:r w:rsidR="00F0030C" w:rsidRPr="002560F3">
        <w:rPr>
          <w:rFonts w:ascii="Arial" w:hAnsi="Arial" w:cs="Arial"/>
          <w:sz w:val="24"/>
          <w:szCs w:val="24"/>
        </w:rPr>
        <w:t xml:space="preserve">. </w:t>
      </w:r>
      <w:r w:rsidR="00C742FF" w:rsidRPr="002560F3">
        <w:rPr>
          <w:rFonts w:ascii="Arial" w:hAnsi="Arial" w:cs="Arial"/>
          <w:sz w:val="24"/>
          <w:szCs w:val="24"/>
        </w:rPr>
        <w:t xml:space="preserve">The above coupled with the fact that Keorapetse Shabalala was a single </w:t>
      </w:r>
      <w:r w:rsidR="00F0030C" w:rsidRPr="002560F3">
        <w:rPr>
          <w:rFonts w:ascii="Arial" w:hAnsi="Arial" w:cs="Arial"/>
          <w:sz w:val="24"/>
          <w:szCs w:val="24"/>
        </w:rPr>
        <w:t>witness,</w:t>
      </w:r>
      <w:r w:rsidR="00C742FF" w:rsidRPr="002560F3">
        <w:rPr>
          <w:rFonts w:ascii="Arial" w:hAnsi="Arial" w:cs="Arial"/>
          <w:sz w:val="24"/>
          <w:szCs w:val="24"/>
        </w:rPr>
        <w:t xml:space="preserve"> that presuppose</w:t>
      </w:r>
      <w:r w:rsidR="00665C0F">
        <w:rPr>
          <w:rFonts w:ascii="Arial" w:hAnsi="Arial" w:cs="Arial"/>
          <w:sz w:val="24"/>
          <w:szCs w:val="24"/>
        </w:rPr>
        <w:t>[</w:t>
      </w:r>
      <w:r w:rsidR="00F0030C" w:rsidRPr="002560F3">
        <w:rPr>
          <w:rFonts w:ascii="Arial" w:hAnsi="Arial" w:cs="Arial"/>
          <w:sz w:val="24"/>
          <w:szCs w:val="24"/>
        </w:rPr>
        <w:t>s</w:t>
      </w:r>
      <w:r w:rsidR="00665C0F">
        <w:rPr>
          <w:rFonts w:ascii="Arial" w:hAnsi="Arial" w:cs="Arial"/>
          <w:sz w:val="24"/>
          <w:szCs w:val="24"/>
        </w:rPr>
        <w:t>]</w:t>
      </w:r>
      <w:r w:rsidR="00C742FF" w:rsidRPr="002560F3">
        <w:rPr>
          <w:rFonts w:ascii="Arial" w:hAnsi="Arial" w:cs="Arial"/>
          <w:sz w:val="24"/>
          <w:szCs w:val="24"/>
        </w:rPr>
        <w:t xml:space="preserve"> a cautionary rule </w:t>
      </w:r>
      <w:r w:rsidR="005A7BB2" w:rsidRPr="002560F3">
        <w:rPr>
          <w:rFonts w:ascii="Arial" w:hAnsi="Arial" w:cs="Arial"/>
          <w:sz w:val="24"/>
          <w:szCs w:val="24"/>
        </w:rPr>
        <w:t>o</w:t>
      </w:r>
      <w:r w:rsidR="00C742FF" w:rsidRPr="002560F3">
        <w:rPr>
          <w:rFonts w:ascii="Arial" w:hAnsi="Arial" w:cs="Arial"/>
          <w:sz w:val="24"/>
          <w:szCs w:val="24"/>
        </w:rPr>
        <w:t xml:space="preserve">n this </w:t>
      </w:r>
      <w:r w:rsidR="005A7BB2" w:rsidRPr="002560F3">
        <w:rPr>
          <w:rFonts w:ascii="Arial" w:hAnsi="Arial" w:cs="Arial"/>
          <w:sz w:val="24"/>
          <w:szCs w:val="24"/>
        </w:rPr>
        <w:t>c</w:t>
      </w:r>
      <w:r w:rsidR="00C742FF" w:rsidRPr="002560F3">
        <w:rPr>
          <w:rFonts w:ascii="Arial" w:hAnsi="Arial" w:cs="Arial"/>
          <w:sz w:val="24"/>
          <w:szCs w:val="24"/>
        </w:rPr>
        <w:t>ourt, the</w:t>
      </w:r>
      <w:r w:rsidR="005A7BB2" w:rsidRPr="002560F3">
        <w:rPr>
          <w:rFonts w:ascii="Arial" w:hAnsi="Arial" w:cs="Arial"/>
          <w:sz w:val="24"/>
          <w:szCs w:val="24"/>
        </w:rPr>
        <w:t xml:space="preserve"> </w:t>
      </w:r>
      <w:r w:rsidR="00C742FF" w:rsidRPr="002560F3">
        <w:rPr>
          <w:rFonts w:ascii="Arial" w:hAnsi="Arial" w:cs="Arial"/>
          <w:sz w:val="24"/>
          <w:szCs w:val="24"/>
        </w:rPr>
        <w:t xml:space="preserve">court, on the totality of the evidence, </w:t>
      </w:r>
      <w:r w:rsidR="005A7BB2" w:rsidRPr="002560F3">
        <w:rPr>
          <w:rFonts w:ascii="Arial" w:hAnsi="Arial" w:cs="Arial"/>
          <w:sz w:val="24"/>
          <w:szCs w:val="24"/>
        </w:rPr>
        <w:t xml:space="preserve">finds </w:t>
      </w:r>
      <w:r w:rsidR="00C742FF" w:rsidRPr="002560F3">
        <w:rPr>
          <w:rFonts w:ascii="Arial" w:hAnsi="Arial" w:cs="Arial"/>
          <w:sz w:val="24"/>
          <w:szCs w:val="24"/>
        </w:rPr>
        <w:t>that the accused</w:t>
      </w:r>
      <w:r w:rsidR="005A7BB2" w:rsidRPr="002560F3">
        <w:rPr>
          <w:rFonts w:ascii="Arial" w:hAnsi="Arial" w:cs="Arial"/>
          <w:sz w:val="24"/>
          <w:szCs w:val="24"/>
        </w:rPr>
        <w:t xml:space="preserve"> [</w:t>
      </w:r>
      <w:r w:rsidR="004956BC">
        <w:rPr>
          <w:rFonts w:ascii="Arial" w:hAnsi="Arial" w:cs="Arial"/>
          <w:sz w:val="24"/>
          <w:szCs w:val="24"/>
        </w:rPr>
        <w:t xml:space="preserve">the </w:t>
      </w:r>
      <w:r w:rsidR="005A7BB2" w:rsidRPr="002560F3">
        <w:rPr>
          <w:rFonts w:ascii="Arial" w:hAnsi="Arial" w:cs="Arial"/>
          <w:sz w:val="24"/>
          <w:szCs w:val="24"/>
        </w:rPr>
        <w:t>respondent]</w:t>
      </w:r>
      <w:r w:rsidR="00C742FF" w:rsidRPr="002560F3">
        <w:rPr>
          <w:rFonts w:ascii="Arial" w:hAnsi="Arial" w:cs="Arial"/>
          <w:sz w:val="24"/>
          <w:szCs w:val="24"/>
        </w:rPr>
        <w:t xml:space="preserve"> </w:t>
      </w:r>
      <w:r w:rsidR="005A7BB2" w:rsidRPr="002560F3">
        <w:rPr>
          <w:rFonts w:ascii="Arial" w:hAnsi="Arial" w:cs="Arial"/>
          <w:sz w:val="24"/>
          <w:szCs w:val="24"/>
        </w:rPr>
        <w:t>is</w:t>
      </w:r>
      <w:r w:rsidR="00C742FF" w:rsidRPr="002560F3">
        <w:rPr>
          <w:rFonts w:ascii="Arial" w:hAnsi="Arial" w:cs="Arial"/>
          <w:sz w:val="24"/>
          <w:szCs w:val="24"/>
        </w:rPr>
        <w:t xml:space="preserve"> not guilty, on all the charges against him</w:t>
      </w:r>
      <w:r w:rsidR="005A7BB2" w:rsidRPr="002560F3">
        <w:rPr>
          <w:rFonts w:ascii="Arial" w:hAnsi="Arial" w:cs="Arial"/>
          <w:sz w:val="24"/>
          <w:szCs w:val="24"/>
        </w:rPr>
        <w:t>’.</w:t>
      </w:r>
    </w:p>
    <w:p w14:paraId="491835BC" w14:textId="680861FB" w:rsidR="00CE2287" w:rsidRPr="002560F3" w:rsidRDefault="00FD3F5C" w:rsidP="00D44002">
      <w:pPr>
        <w:spacing w:after="0" w:line="360" w:lineRule="auto"/>
        <w:contextualSpacing/>
        <w:jc w:val="both"/>
        <w:rPr>
          <w:rFonts w:ascii="Arial" w:hAnsi="Arial" w:cs="Arial"/>
        </w:rPr>
      </w:pPr>
      <w:r w:rsidRPr="002560F3">
        <w:rPr>
          <w:rFonts w:ascii="Arial" w:hAnsi="Arial" w:cs="Arial"/>
          <w:sz w:val="24"/>
          <w:szCs w:val="24"/>
        </w:rPr>
        <w:lastRenderedPageBreak/>
        <w:t>[15</w:t>
      </w:r>
      <w:r w:rsidR="004000B2" w:rsidRPr="002560F3">
        <w:rPr>
          <w:rFonts w:ascii="Arial" w:hAnsi="Arial" w:cs="Arial"/>
          <w:sz w:val="24"/>
          <w:szCs w:val="24"/>
        </w:rPr>
        <w:t>]</w:t>
      </w:r>
      <w:r w:rsidR="006627EE" w:rsidRPr="002560F3">
        <w:rPr>
          <w:rFonts w:ascii="Arial" w:hAnsi="Arial" w:cs="Arial"/>
          <w:sz w:val="24"/>
          <w:szCs w:val="24"/>
        </w:rPr>
        <w:tab/>
      </w:r>
      <w:r w:rsidR="004000B2" w:rsidRPr="002560F3">
        <w:rPr>
          <w:rFonts w:ascii="Arial" w:hAnsi="Arial" w:cs="Arial"/>
          <w:sz w:val="24"/>
          <w:szCs w:val="24"/>
        </w:rPr>
        <w:t xml:space="preserve">The </w:t>
      </w:r>
      <w:r w:rsidR="0057510B" w:rsidRPr="002560F3">
        <w:rPr>
          <w:rFonts w:ascii="Arial" w:hAnsi="Arial" w:cs="Arial"/>
          <w:sz w:val="24"/>
          <w:szCs w:val="24"/>
        </w:rPr>
        <w:t>fact that</w:t>
      </w:r>
      <w:r w:rsidR="0030371B" w:rsidRPr="002560F3">
        <w:rPr>
          <w:rFonts w:ascii="Arial" w:hAnsi="Arial" w:cs="Arial"/>
          <w:sz w:val="24"/>
          <w:szCs w:val="24"/>
        </w:rPr>
        <w:t xml:space="preserve"> the trial court acquitted the respondent lies at the heart of the State</w:t>
      </w:r>
      <w:r w:rsidR="006C6C85" w:rsidRPr="002560F3">
        <w:rPr>
          <w:rFonts w:ascii="Arial" w:hAnsi="Arial" w:cs="Arial"/>
          <w:sz w:val="24"/>
          <w:szCs w:val="24"/>
        </w:rPr>
        <w:t>’</w:t>
      </w:r>
      <w:r w:rsidR="0030371B" w:rsidRPr="002560F3">
        <w:rPr>
          <w:rFonts w:ascii="Arial" w:hAnsi="Arial" w:cs="Arial"/>
          <w:sz w:val="24"/>
          <w:szCs w:val="24"/>
        </w:rPr>
        <w:t xml:space="preserve">s </w:t>
      </w:r>
      <w:r w:rsidR="004000B2" w:rsidRPr="002560F3">
        <w:rPr>
          <w:rFonts w:ascii="Arial" w:hAnsi="Arial" w:cs="Arial"/>
          <w:sz w:val="24"/>
          <w:szCs w:val="24"/>
        </w:rPr>
        <w:t xml:space="preserve">complaint. </w:t>
      </w:r>
      <w:r w:rsidR="00B9273B" w:rsidRPr="002560F3">
        <w:rPr>
          <w:rFonts w:ascii="Arial" w:hAnsi="Arial" w:cs="Arial"/>
          <w:sz w:val="24"/>
          <w:szCs w:val="24"/>
        </w:rPr>
        <w:t>In its application</w:t>
      </w:r>
      <w:r w:rsidR="00665C0F">
        <w:rPr>
          <w:rFonts w:ascii="Arial" w:hAnsi="Arial" w:cs="Arial"/>
          <w:sz w:val="24"/>
          <w:szCs w:val="24"/>
        </w:rPr>
        <w:t>,</w:t>
      </w:r>
      <w:r w:rsidR="00B9273B" w:rsidRPr="002560F3">
        <w:rPr>
          <w:rFonts w:ascii="Arial" w:hAnsi="Arial" w:cs="Arial"/>
          <w:sz w:val="24"/>
          <w:szCs w:val="24"/>
        </w:rPr>
        <w:t xml:space="preserve"> in terms of s</w:t>
      </w:r>
      <w:r w:rsidRPr="002560F3">
        <w:rPr>
          <w:rFonts w:ascii="Arial" w:hAnsi="Arial" w:cs="Arial"/>
          <w:sz w:val="24"/>
          <w:szCs w:val="24"/>
        </w:rPr>
        <w:t xml:space="preserve"> </w:t>
      </w:r>
      <w:r w:rsidR="00B9273B" w:rsidRPr="002560F3">
        <w:rPr>
          <w:rFonts w:ascii="Arial" w:hAnsi="Arial" w:cs="Arial"/>
          <w:sz w:val="24"/>
          <w:szCs w:val="24"/>
        </w:rPr>
        <w:t xml:space="preserve">319 </w:t>
      </w:r>
      <w:r w:rsidR="00723CAD" w:rsidRPr="002560F3">
        <w:rPr>
          <w:rFonts w:ascii="Arial" w:hAnsi="Arial" w:cs="Arial"/>
          <w:sz w:val="24"/>
          <w:szCs w:val="24"/>
        </w:rPr>
        <w:t>of the CPA</w:t>
      </w:r>
      <w:r w:rsidR="00B9273B" w:rsidRPr="002560F3">
        <w:rPr>
          <w:rFonts w:ascii="Arial" w:hAnsi="Arial" w:cs="Arial"/>
          <w:sz w:val="24"/>
          <w:szCs w:val="24"/>
        </w:rPr>
        <w:t xml:space="preserve">, </w:t>
      </w:r>
      <w:r w:rsidR="004000B2" w:rsidRPr="002560F3">
        <w:rPr>
          <w:rFonts w:ascii="Arial" w:hAnsi="Arial" w:cs="Arial"/>
          <w:sz w:val="24"/>
          <w:szCs w:val="24"/>
        </w:rPr>
        <w:t>the State sought to reserve</w:t>
      </w:r>
      <w:r w:rsidR="00B9273B" w:rsidRPr="002560F3">
        <w:rPr>
          <w:rFonts w:ascii="Arial" w:hAnsi="Arial" w:cs="Arial"/>
          <w:sz w:val="24"/>
          <w:szCs w:val="24"/>
        </w:rPr>
        <w:t xml:space="preserve"> four questions</w:t>
      </w:r>
      <w:r w:rsidR="004000B2" w:rsidRPr="002560F3">
        <w:rPr>
          <w:rFonts w:ascii="Arial" w:hAnsi="Arial" w:cs="Arial"/>
          <w:sz w:val="24"/>
          <w:szCs w:val="24"/>
        </w:rPr>
        <w:t xml:space="preserve"> before Hattingh AJ</w:t>
      </w:r>
      <w:r w:rsidR="00B9273B" w:rsidRPr="002560F3">
        <w:rPr>
          <w:rFonts w:ascii="Arial" w:hAnsi="Arial" w:cs="Arial"/>
          <w:sz w:val="24"/>
          <w:szCs w:val="24"/>
        </w:rPr>
        <w:t xml:space="preserve">. </w:t>
      </w:r>
      <w:r w:rsidR="0057510B" w:rsidRPr="002560F3">
        <w:rPr>
          <w:rFonts w:ascii="Arial" w:hAnsi="Arial" w:cs="Arial"/>
          <w:sz w:val="24"/>
          <w:szCs w:val="24"/>
        </w:rPr>
        <w:t>These were</w:t>
      </w:r>
      <w:r w:rsidR="00724189" w:rsidRPr="002560F3">
        <w:rPr>
          <w:rFonts w:ascii="Arial" w:hAnsi="Arial" w:cs="Arial"/>
          <w:sz w:val="24"/>
          <w:szCs w:val="24"/>
        </w:rPr>
        <w:t xml:space="preserve"> </w:t>
      </w:r>
      <w:r w:rsidR="00B9273B" w:rsidRPr="002560F3">
        <w:rPr>
          <w:rFonts w:ascii="Arial" w:hAnsi="Arial" w:cs="Arial"/>
          <w:sz w:val="24"/>
          <w:szCs w:val="24"/>
        </w:rPr>
        <w:t xml:space="preserve">formulated </w:t>
      </w:r>
      <w:r w:rsidR="00724189" w:rsidRPr="002560F3">
        <w:rPr>
          <w:rFonts w:ascii="Arial" w:hAnsi="Arial" w:cs="Arial"/>
          <w:sz w:val="24"/>
          <w:szCs w:val="24"/>
        </w:rPr>
        <w:t>as follows</w:t>
      </w:r>
      <w:r w:rsidR="00724189" w:rsidRPr="002560F3">
        <w:rPr>
          <w:rFonts w:ascii="Arial" w:hAnsi="Arial" w:cs="Arial"/>
        </w:rPr>
        <w:t>:</w:t>
      </w:r>
    </w:p>
    <w:p w14:paraId="60D43ACB" w14:textId="38A815FF" w:rsidR="00CE2287" w:rsidRPr="002560F3" w:rsidRDefault="002D56A4" w:rsidP="00D44002">
      <w:pPr>
        <w:autoSpaceDE w:val="0"/>
        <w:autoSpaceDN w:val="0"/>
        <w:adjustRightInd w:val="0"/>
        <w:spacing w:after="0" w:line="360" w:lineRule="auto"/>
        <w:contextualSpacing/>
        <w:jc w:val="both"/>
        <w:rPr>
          <w:rFonts w:ascii="Arial" w:hAnsi="Arial" w:cs="Arial"/>
        </w:rPr>
      </w:pPr>
      <w:r w:rsidRPr="002560F3">
        <w:rPr>
          <w:rFonts w:ascii="Arial" w:hAnsi="Arial" w:cs="Arial"/>
        </w:rPr>
        <w:t>‘</w:t>
      </w:r>
      <w:r w:rsidR="003828D0" w:rsidRPr="002560F3">
        <w:rPr>
          <w:rFonts w:ascii="Arial" w:hAnsi="Arial" w:cs="Arial"/>
        </w:rPr>
        <w:t>(i) W</w:t>
      </w:r>
      <w:r w:rsidR="00CE2287" w:rsidRPr="002560F3">
        <w:rPr>
          <w:rFonts w:ascii="Arial" w:hAnsi="Arial" w:cs="Arial"/>
        </w:rPr>
        <w:t>hether the trial court failed to evaluate the evidence</w:t>
      </w:r>
      <w:r w:rsidR="004000B2" w:rsidRPr="002560F3">
        <w:rPr>
          <w:rFonts w:ascii="Arial" w:hAnsi="Arial" w:cs="Arial"/>
        </w:rPr>
        <w:t xml:space="preserve"> in accordance with accepted le</w:t>
      </w:r>
      <w:r w:rsidR="00CE2287" w:rsidRPr="002560F3">
        <w:rPr>
          <w:rFonts w:ascii="Arial" w:hAnsi="Arial" w:cs="Arial"/>
        </w:rPr>
        <w:t>g</w:t>
      </w:r>
      <w:r w:rsidR="004000B2" w:rsidRPr="002560F3">
        <w:rPr>
          <w:rFonts w:ascii="Arial" w:hAnsi="Arial" w:cs="Arial"/>
        </w:rPr>
        <w:t>al</w:t>
      </w:r>
      <w:r w:rsidR="00CE2287" w:rsidRPr="002560F3">
        <w:rPr>
          <w:rFonts w:ascii="Arial" w:hAnsi="Arial" w:cs="Arial"/>
        </w:rPr>
        <w:t xml:space="preserve"> principles, ie </w:t>
      </w:r>
      <w:r w:rsidR="00966FC5">
        <w:rPr>
          <w:rFonts w:ascii="Arial" w:hAnsi="Arial" w:cs="Arial"/>
        </w:rPr>
        <w:t>i</w:t>
      </w:r>
      <w:r w:rsidR="00CE2287" w:rsidRPr="002560F3">
        <w:rPr>
          <w:rFonts w:ascii="Arial" w:hAnsi="Arial" w:cs="Arial"/>
        </w:rPr>
        <w:t>n totality and taking into account the probability and improbability of the respective versions</w:t>
      </w:r>
      <w:r w:rsidR="005E2AFB" w:rsidRPr="002560F3">
        <w:rPr>
          <w:rFonts w:ascii="Arial" w:hAnsi="Arial" w:cs="Arial"/>
        </w:rPr>
        <w:t>.</w:t>
      </w:r>
    </w:p>
    <w:p w14:paraId="66D3EA61" w14:textId="2360B90C" w:rsidR="00CE2287" w:rsidRPr="002560F3" w:rsidRDefault="003828D0" w:rsidP="00D44002">
      <w:pPr>
        <w:autoSpaceDE w:val="0"/>
        <w:autoSpaceDN w:val="0"/>
        <w:adjustRightInd w:val="0"/>
        <w:spacing w:after="0" w:line="360" w:lineRule="auto"/>
        <w:contextualSpacing/>
        <w:jc w:val="both"/>
        <w:rPr>
          <w:rFonts w:ascii="Arial" w:hAnsi="Arial" w:cs="Arial"/>
        </w:rPr>
      </w:pPr>
      <w:r w:rsidRPr="002560F3">
        <w:rPr>
          <w:rFonts w:ascii="Arial" w:hAnsi="Arial" w:cs="Arial"/>
        </w:rPr>
        <w:t>(ii) W</w:t>
      </w:r>
      <w:r w:rsidR="00CE2287" w:rsidRPr="002560F3">
        <w:rPr>
          <w:rFonts w:ascii="Arial" w:hAnsi="Arial" w:cs="Arial"/>
        </w:rPr>
        <w:t>hether the trial court erred in acquitting the accused without evaluating his version of alleged duress in light of applicable case law and the evidence before court and without finding that his ve</w:t>
      </w:r>
      <w:r w:rsidR="00E31B77" w:rsidRPr="002560F3">
        <w:rPr>
          <w:rFonts w:ascii="Arial" w:hAnsi="Arial" w:cs="Arial"/>
        </w:rPr>
        <w:t>rsion</w:t>
      </w:r>
      <w:r w:rsidR="00CE2287" w:rsidRPr="002560F3">
        <w:rPr>
          <w:rFonts w:ascii="Arial" w:hAnsi="Arial" w:cs="Arial"/>
        </w:rPr>
        <w:t xml:space="preserve"> may be reasonably possibly true.</w:t>
      </w:r>
    </w:p>
    <w:p w14:paraId="4DB960D4" w14:textId="4995450A" w:rsidR="00CE2287" w:rsidRPr="002560F3" w:rsidRDefault="003828D0" w:rsidP="00D44002">
      <w:pPr>
        <w:autoSpaceDE w:val="0"/>
        <w:autoSpaceDN w:val="0"/>
        <w:adjustRightInd w:val="0"/>
        <w:spacing w:after="0" w:line="360" w:lineRule="auto"/>
        <w:contextualSpacing/>
        <w:jc w:val="both"/>
        <w:rPr>
          <w:rFonts w:ascii="Arial" w:hAnsi="Arial" w:cs="Arial"/>
        </w:rPr>
      </w:pPr>
      <w:r w:rsidRPr="002560F3">
        <w:rPr>
          <w:rFonts w:ascii="Arial" w:hAnsi="Arial" w:cs="Arial"/>
        </w:rPr>
        <w:t>(iii) W</w:t>
      </w:r>
      <w:r w:rsidR="00CE2287" w:rsidRPr="002560F3">
        <w:rPr>
          <w:rFonts w:ascii="Arial" w:hAnsi="Arial" w:cs="Arial"/>
        </w:rPr>
        <w:t xml:space="preserve">hether the trial court </w:t>
      </w:r>
      <w:r w:rsidR="00E31B77" w:rsidRPr="002560F3">
        <w:rPr>
          <w:rFonts w:ascii="Arial" w:hAnsi="Arial" w:cs="Arial"/>
        </w:rPr>
        <w:t xml:space="preserve">erred </w:t>
      </w:r>
      <w:r w:rsidR="00CE2287" w:rsidRPr="002560F3">
        <w:rPr>
          <w:rFonts w:ascii="Arial" w:hAnsi="Arial" w:cs="Arial"/>
        </w:rPr>
        <w:t>in effectively disregarding the corroboration that the objective evidence and probabilities provided for the version of the second state witness</w:t>
      </w:r>
      <w:r w:rsidR="00966FC5">
        <w:rPr>
          <w:rFonts w:ascii="Arial" w:hAnsi="Arial" w:cs="Arial"/>
        </w:rPr>
        <w:t xml:space="preserve"> [Chabi]</w:t>
      </w:r>
      <w:r w:rsidR="00CE2287" w:rsidRPr="002560F3">
        <w:rPr>
          <w:rFonts w:ascii="Arial" w:hAnsi="Arial" w:cs="Arial"/>
        </w:rPr>
        <w:t>.</w:t>
      </w:r>
    </w:p>
    <w:p w14:paraId="1F17C8A5" w14:textId="6476D3F6" w:rsidR="00CE2287" w:rsidRPr="002560F3" w:rsidRDefault="003828D0" w:rsidP="00110AD9">
      <w:pPr>
        <w:autoSpaceDE w:val="0"/>
        <w:autoSpaceDN w:val="0"/>
        <w:adjustRightInd w:val="0"/>
        <w:spacing w:line="360" w:lineRule="auto"/>
        <w:contextualSpacing/>
        <w:jc w:val="both"/>
        <w:rPr>
          <w:rFonts w:ascii="Arial" w:hAnsi="Arial" w:cs="Arial"/>
          <w:sz w:val="24"/>
          <w:szCs w:val="24"/>
        </w:rPr>
      </w:pPr>
      <w:r w:rsidRPr="002560F3">
        <w:rPr>
          <w:rFonts w:ascii="Arial" w:hAnsi="Arial" w:cs="Arial"/>
        </w:rPr>
        <w:t>(iv) W</w:t>
      </w:r>
      <w:r w:rsidR="00CE2287" w:rsidRPr="002560F3">
        <w:rPr>
          <w:rFonts w:ascii="Arial" w:hAnsi="Arial" w:cs="Arial"/>
        </w:rPr>
        <w:t>hether the court erred in focussing solely on the question</w:t>
      </w:r>
      <w:r w:rsidR="00E31B77" w:rsidRPr="002560F3">
        <w:rPr>
          <w:rFonts w:ascii="Arial" w:hAnsi="Arial" w:cs="Arial"/>
        </w:rPr>
        <w:t xml:space="preserve"> of the </w:t>
      </w:r>
      <w:r w:rsidR="005E2AFB" w:rsidRPr="002560F3">
        <w:rPr>
          <w:rFonts w:ascii="Arial" w:hAnsi="Arial" w:cs="Arial"/>
        </w:rPr>
        <w:t>existence or</w:t>
      </w:r>
      <w:r w:rsidR="00CE2287" w:rsidRPr="002560F3">
        <w:rPr>
          <w:rFonts w:ascii="Arial" w:hAnsi="Arial" w:cs="Arial"/>
        </w:rPr>
        <w:t xml:space="preserve"> not of a prior agreement, failing to consider that the accused may be guilty on the proven facts without there</w:t>
      </w:r>
      <w:r w:rsidRPr="002560F3">
        <w:rPr>
          <w:rFonts w:ascii="Arial" w:hAnsi="Arial" w:cs="Arial"/>
        </w:rPr>
        <w:t xml:space="preserve"> having been a prior agreement.</w:t>
      </w:r>
      <w:r w:rsidR="002D56A4" w:rsidRPr="002560F3">
        <w:rPr>
          <w:rFonts w:ascii="Arial" w:hAnsi="Arial" w:cs="Arial"/>
        </w:rPr>
        <w:t>’</w:t>
      </w:r>
    </w:p>
    <w:p w14:paraId="4367FF6A" w14:textId="77777777" w:rsidR="0020313A" w:rsidRPr="002560F3" w:rsidRDefault="0020313A" w:rsidP="00626F19">
      <w:pPr>
        <w:autoSpaceDE w:val="0"/>
        <w:autoSpaceDN w:val="0"/>
        <w:adjustRightInd w:val="0"/>
        <w:spacing w:line="360" w:lineRule="auto"/>
        <w:contextualSpacing/>
        <w:jc w:val="both"/>
        <w:rPr>
          <w:rFonts w:ascii="Arial" w:hAnsi="Arial" w:cs="Arial"/>
          <w:sz w:val="24"/>
          <w:szCs w:val="24"/>
        </w:rPr>
      </w:pPr>
    </w:p>
    <w:p w14:paraId="35BEC0FA" w14:textId="7A8204BA" w:rsidR="00947EFF" w:rsidRPr="002560F3" w:rsidRDefault="00FD3F5C" w:rsidP="00947EFF">
      <w:pPr>
        <w:autoSpaceDE w:val="0"/>
        <w:autoSpaceDN w:val="0"/>
        <w:adjustRightInd w:val="0"/>
        <w:spacing w:after="0" w:line="360" w:lineRule="auto"/>
        <w:jc w:val="both"/>
        <w:rPr>
          <w:rFonts w:ascii="Arial" w:hAnsi="Arial" w:cs="Arial"/>
          <w:sz w:val="24"/>
          <w:szCs w:val="24"/>
        </w:rPr>
      </w:pPr>
      <w:r w:rsidRPr="002560F3">
        <w:rPr>
          <w:rFonts w:ascii="Arial" w:hAnsi="Arial" w:cs="Arial"/>
          <w:sz w:val="24"/>
          <w:szCs w:val="24"/>
        </w:rPr>
        <w:t>[16</w:t>
      </w:r>
      <w:r w:rsidR="00947EFF" w:rsidRPr="002560F3">
        <w:rPr>
          <w:rFonts w:ascii="Arial" w:hAnsi="Arial" w:cs="Arial"/>
          <w:sz w:val="24"/>
          <w:szCs w:val="24"/>
        </w:rPr>
        <w:t>]</w:t>
      </w:r>
      <w:r w:rsidR="00624502" w:rsidRPr="002560F3">
        <w:rPr>
          <w:rFonts w:ascii="Arial" w:hAnsi="Arial" w:cs="Arial"/>
          <w:sz w:val="24"/>
          <w:szCs w:val="24"/>
        </w:rPr>
        <w:tab/>
      </w:r>
      <w:r w:rsidR="00947EFF" w:rsidRPr="002560F3">
        <w:rPr>
          <w:rFonts w:ascii="Arial" w:hAnsi="Arial" w:cs="Arial"/>
          <w:sz w:val="24"/>
          <w:szCs w:val="24"/>
        </w:rPr>
        <w:t>Before the hearing of the matter</w:t>
      </w:r>
      <w:r w:rsidR="005E2AFB" w:rsidRPr="002560F3">
        <w:rPr>
          <w:rFonts w:ascii="Arial" w:hAnsi="Arial" w:cs="Arial"/>
          <w:sz w:val="24"/>
          <w:szCs w:val="24"/>
        </w:rPr>
        <w:t>,</w:t>
      </w:r>
      <w:r w:rsidR="00947EFF" w:rsidRPr="002560F3">
        <w:rPr>
          <w:rFonts w:ascii="Arial" w:hAnsi="Arial" w:cs="Arial"/>
          <w:sz w:val="24"/>
          <w:szCs w:val="24"/>
        </w:rPr>
        <w:t xml:space="preserve"> </w:t>
      </w:r>
      <w:r w:rsidR="003828D0" w:rsidRPr="002560F3">
        <w:rPr>
          <w:rFonts w:ascii="Arial" w:hAnsi="Arial" w:cs="Arial"/>
          <w:sz w:val="24"/>
          <w:szCs w:val="24"/>
        </w:rPr>
        <w:t xml:space="preserve">the </w:t>
      </w:r>
      <w:r w:rsidR="00BC4761">
        <w:rPr>
          <w:rFonts w:ascii="Arial" w:hAnsi="Arial" w:cs="Arial"/>
          <w:sz w:val="24"/>
          <w:szCs w:val="24"/>
        </w:rPr>
        <w:t>r</w:t>
      </w:r>
      <w:r w:rsidR="00947EFF" w:rsidRPr="002560F3">
        <w:rPr>
          <w:rFonts w:ascii="Arial" w:hAnsi="Arial" w:cs="Arial"/>
          <w:sz w:val="24"/>
          <w:szCs w:val="24"/>
        </w:rPr>
        <w:t xml:space="preserve">egistrar of this </w:t>
      </w:r>
      <w:r w:rsidR="005E2AFB" w:rsidRPr="002560F3">
        <w:rPr>
          <w:rFonts w:ascii="Arial" w:hAnsi="Arial" w:cs="Arial"/>
          <w:sz w:val="24"/>
          <w:szCs w:val="24"/>
        </w:rPr>
        <w:t>C</w:t>
      </w:r>
      <w:r w:rsidR="00947EFF" w:rsidRPr="002560F3">
        <w:rPr>
          <w:rFonts w:ascii="Arial" w:hAnsi="Arial" w:cs="Arial"/>
          <w:sz w:val="24"/>
          <w:szCs w:val="24"/>
        </w:rPr>
        <w:t>ou</w:t>
      </w:r>
      <w:r w:rsidR="003828D0" w:rsidRPr="002560F3">
        <w:rPr>
          <w:rFonts w:ascii="Arial" w:hAnsi="Arial" w:cs="Arial"/>
          <w:sz w:val="24"/>
          <w:szCs w:val="24"/>
        </w:rPr>
        <w:t xml:space="preserve">rt, on the instructions of the </w:t>
      </w:r>
      <w:r w:rsidR="00BC4761">
        <w:rPr>
          <w:rFonts w:ascii="Arial" w:hAnsi="Arial" w:cs="Arial"/>
          <w:sz w:val="24"/>
          <w:szCs w:val="24"/>
        </w:rPr>
        <w:t>p</w:t>
      </w:r>
      <w:r w:rsidR="003828D0" w:rsidRPr="002560F3">
        <w:rPr>
          <w:rFonts w:ascii="Arial" w:hAnsi="Arial" w:cs="Arial"/>
          <w:sz w:val="24"/>
          <w:szCs w:val="24"/>
        </w:rPr>
        <w:t xml:space="preserve">residing </w:t>
      </w:r>
      <w:r w:rsidR="00BC4761">
        <w:rPr>
          <w:rFonts w:ascii="Arial" w:hAnsi="Arial" w:cs="Arial"/>
          <w:sz w:val="24"/>
          <w:szCs w:val="24"/>
        </w:rPr>
        <w:t>j</w:t>
      </w:r>
      <w:r w:rsidR="00947EFF" w:rsidRPr="002560F3">
        <w:rPr>
          <w:rFonts w:ascii="Arial" w:hAnsi="Arial" w:cs="Arial"/>
          <w:sz w:val="24"/>
          <w:szCs w:val="24"/>
        </w:rPr>
        <w:t>udge addressed a letter to the parties, the contents of which read as follows:</w:t>
      </w:r>
    </w:p>
    <w:p w14:paraId="573476F0" w14:textId="2690CF63" w:rsidR="005E2AFB" w:rsidRPr="002560F3" w:rsidRDefault="005E2AFB" w:rsidP="00947EFF">
      <w:pPr>
        <w:autoSpaceDE w:val="0"/>
        <w:autoSpaceDN w:val="0"/>
        <w:adjustRightInd w:val="0"/>
        <w:spacing w:after="0" w:line="360" w:lineRule="auto"/>
        <w:jc w:val="both"/>
        <w:rPr>
          <w:rFonts w:ascii="Arial" w:hAnsi="Arial" w:cs="Arial"/>
        </w:rPr>
      </w:pPr>
      <w:r w:rsidRPr="002560F3">
        <w:rPr>
          <w:rFonts w:ascii="Arial" w:hAnsi="Arial" w:cs="Arial"/>
        </w:rPr>
        <w:t>‘</w:t>
      </w:r>
      <w:r w:rsidR="00947EFF" w:rsidRPr="002560F3">
        <w:rPr>
          <w:rFonts w:ascii="Arial" w:hAnsi="Arial" w:cs="Arial"/>
        </w:rPr>
        <w:t>The Presiding Judge has directed that the parties</w:t>
      </w:r>
      <w:r w:rsidR="002D56A4" w:rsidRPr="002560F3">
        <w:rPr>
          <w:rFonts w:ascii="Arial" w:hAnsi="Arial" w:cs="Arial"/>
        </w:rPr>
        <w:t>’</w:t>
      </w:r>
      <w:r w:rsidR="00947EFF" w:rsidRPr="002560F3">
        <w:rPr>
          <w:rFonts w:ascii="Arial" w:hAnsi="Arial" w:cs="Arial"/>
        </w:rPr>
        <w:t xml:space="preserve"> attention be drawn to this court</w:t>
      </w:r>
      <w:r w:rsidR="00FD3F5C" w:rsidRPr="002560F3">
        <w:rPr>
          <w:rFonts w:ascii="Arial" w:hAnsi="Arial" w:cs="Arial"/>
        </w:rPr>
        <w:t>’</w:t>
      </w:r>
      <w:r w:rsidR="00947EFF" w:rsidRPr="002560F3">
        <w:rPr>
          <w:rFonts w:ascii="Arial" w:hAnsi="Arial" w:cs="Arial"/>
        </w:rPr>
        <w:t xml:space="preserve">s recent judgments in </w:t>
      </w:r>
      <w:r w:rsidR="00723CAD" w:rsidRPr="002560F3">
        <w:rPr>
          <w:rFonts w:ascii="Arial" w:hAnsi="Arial" w:cs="Arial"/>
          <w:i/>
        </w:rPr>
        <w:t>DPP</w:t>
      </w:r>
      <w:r w:rsidR="00947EFF" w:rsidRPr="002560F3">
        <w:rPr>
          <w:rFonts w:ascii="Arial" w:hAnsi="Arial" w:cs="Arial"/>
          <w:i/>
        </w:rPr>
        <w:t xml:space="preserve"> Limpopo v Molope</w:t>
      </w:r>
      <w:r w:rsidR="00947EFF" w:rsidRPr="002560F3">
        <w:rPr>
          <w:rFonts w:ascii="Arial" w:hAnsi="Arial" w:cs="Arial"/>
        </w:rPr>
        <w:t xml:space="preserve"> and another (</w:t>
      </w:r>
      <w:r w:rsidR="00723CAD" w:rsidRPr="002560F3">
        <w:rPr>
          <w:rFonts w:ascii="Arial" w:hAnsi="Arial" w:cs="Arial"/>
        </w:rPr>
        <w:t>Case no 1109/19</w:t>
      </w:r>
      <w:r w:rsidR="00B406A5" w:rsidRPr="002560F3">
        <w:rPr>
          <w:rFonts w:ascii="Arial" w:hAnsi="Arial" w:cs="Arial"/>
        </w:rPr>
        <w:t xml:space="preserve"> </w:t>
      </w:r>
      <w:r w:rsidR="00723CAD" w:rsidRPr="002560F3">
        <w:rPr>
          <w:rFonts w:ascii="Arial" w:hAnsi="Arial" w:cs="Arial"/>
        </w:rPr>
        <w:t xml:space="preserve">[2022] ZASCA 69 </w:t>
      </w:r>
      <w:r w:rsidR="00B35453">
        <w:rPr>
          <w:rFonts w:ascii="Arial" w:hAnsi="Arial" w:cs="Arial"/>
        </w:rPr>
        <w:t>(</w:t>
      </w:r>
      <w:r w:rsidR="00947EFF" w:rsidRPr="002560F3">
        <w:rPr>
          <w:rFonts w:ascii="Arial" w:hAnsi="Arial" w:cs="Arial"/>
        </w:rPr>
        <w:t>18</w:t>
      </w:r>
      <w:r w:rsidR="00143E90">
        <w:rPr>
          <w:rFonts w:ascii="Arial" w:hAnsi="Arial" w:cs="Arial"/>
        </w:rPr>
        <w:t> </w:t>
      </w:r>
      <w:r w:rsidR="00947EFF" w:rsidRPr="002560F3">
        <w:rPr>
          <w:rFonts w:ascii="Arial" w:hAnsi="Arial" w:cs="Arial"/>
        </w:rPr>
        <w:t>June 2020</w:t>
      </w:r>
      <w:r w:rsidR="00B406A5" w:rsidRPr="002560F3">
        <w:rPr>
          <w:rFonts w:ascii="Arial" w:hAnsi="Arial" w:cs="Arial"/>
        </w:rPr>
        <w:t>)</w:t>
      </w:r>
      <w:r w:rsidR="00947EFF" w:rsidRPr="002560F3">
        <w:rPr>
          <w:rFonts w:ascii="Arial" w:hAnsi="Arial" w:cs="Arial"/>
        </w:rPr>
        <w:t xml:space="preserve">. And </w:t>
      </w:r>
      <w:r w:rsidR="00947EFF" w:rsidRPr="002560F3">
        <w:rPr>
          <w:rFonts w:ascii="Arial" w:hAnsi="Arial" w:cs="Arial"/>
          <w:i/>
        </w:rPr>
        <w:t xml:space="preserve">DPP Western Cape v </w:t>
      </w:r>
      <w:r w:rsidR="00947EFF" w:rsidRPr="00B35453">
        <w:rPr>
          <w:rFonts w:ascii="Arial" w:hAnsi="Arial" w:cs="Arial"/>
          <w:i/>
        </w:rPr>
        <w:t>Schoeman</w:t>
      </w:r>
      <w:r w:rsidR="00947EFF" w:rsidRPr="002560F3">
        <w:rPr>
          <w:rFonts w:ascii="Arial" w:hAnsi="Arial" w:cs="Arial"/>
        </w:rPr>
        <w:t xml:space="preserve"> [2019] ZASCA 158. The parties are required to deal comprehensively with these judgments and make written submissions on or before 31</w:t>
      </w:r>
      <w:r w:rsidR="00144DD8">
        <w:rPr>
          <w:rFonts w:ascii="Arial" w:hAnsi="Arial" w:cs="Arial"/>
        </w:rPr>
        <w:t> </w:t>
      </w:r>
      <w:r w:rsidR="00947EFF" w:rsidRPr="002560F3">
        <w:rPr>
          <w:rFonts w:ascii="Arial" w:hAnsi="Arial" w:cs="Arial"/>
        </w:rPr>
        <w:t>October 2020</w:t>
      </w:r>
      <w:r w:rsidRPr="002560F3">
        <w:rPr>
          <w:rFonts w:ascii="Arial" w:hAnsi="Arial" w:cs="Arial"/>
        </w:rPr>
        <w:t>.</w:t>
      </w:r>
      <w:r w:rsidR="00947EFF" w:rsidRPr="002560F3">
        <w:rPr>
          <w:rFonts w:ascii="Arial" w:hAnsi="Arial" w:cs="Arial"/>
        </w:rPr>
        <w:t xml:space="preserve">’ </w:t>
      </w:r>
    </w:p>
    <w:p w14:paraId="71FDFD7A" w14:textId="25AB72E8" w:rsidR="00947EFF" w:rsidRPr="002560F3" w:rsidRDefault="00947EFF" w:rsidP="004F3EF6">
      <w:pPr>
        <w:autoSpaceDE w:val="0"/>
        <w:autoSpaceDN w:val="0"/>
        <w:adjustRightInd w:val="0"/>
        <w:spacing w:after="0" w:line="360" w:lineRule="auto"/>
        <w:contextualSpacing/>
        <w:jc w:val="both"/>
        <w:rPr>
          <w:rFonts w:ascii="Arial" w:hAnsi="Arial" w:cs="Arial"/>
          <w:sz w:val="24"/>
          <w:szCs w:val="24"/>
        </w:rPr>
      </w:pPr>
      <w:r w:rsidRPr="002560F3">
        <w:rPr>
          <w:rFonts w:ascii="Arial" w:hAnsi="Arial" w:cs="Arial"/>
          <w:sz w:val="24"/>
          <w:szCs w:val="24"/>
        </w:rPr>
        <w:t xml:space="preserve">Both parties submitted further heads of argument, and this </w:t>
      </w:r>
      <w:r w:rsidR="005E2AFB" w:rsidRPr="002560F3">
        <w:rPr>
          <w:rFonts w:ascii="Arial" w:hAnsi="Arial" w:cs="Arial"/>
          <w:sz w:val="24"/>
          <w:szCs w:val="24"/>
        </w:rPr>
        <w:t>C</w:t>
      </w:r>
      <w:r w:rsidRPr="002560F3">
        <w:rPr>
          <w:rFonts w:ascii="Arial" w:hAnsi="Arial" w:cs="Arial"/>
          <w:sz w:val="24"/>
          <w:szCs w:val="24"/>
        </w:rPr>
        <w:t xml:space="preserve">ourt is grateful for their assistance. </w:t>
      </w:r>
    </w:p>
    <w:p w14:paraId="25EB69CF" w14:textId="77777777" w:rsidR="005E2AFB" w:rsidRPr="002560F3" w:rsidRDefault="005E2AFB" w:rsidP="004F3EF6">
      <w:pPr>
        <w:autoSpaceDE w:val="0"/>
        <w:autoSpaceDN w:val="0"/>
        <w:adjustRightInd w:val="0"/>
        <w:spacing w:after="0" w:line="360" w:lineRule="auto"/>
        <w:contextualSpacing/>
        <w:jc w:val="both"/>
        <w:rPr>
          <w:rFonts w:ascii="Arial" w:hAnsi="Arial" w:cs="Arial"/>
          <w:b/>
          <w:bCs/>
          <w:sz w:val="24"/>
          <w:szCs w:val="24"/>
        </w:rPr>
      </w:pPr>
    </w:p>
    <w:p w14:paraId="37F2162D" w14:textId="3F8776BB" w:rsidR="00947EFF" w:rsidRPr="002560F3" w:rsidRDefault="005E2AFB" w:rsidP="004F3EF6">
      <w:pPr>
        <w:spacing w:after="0" w:line="360" w:lineRule="auto"/>
        <w:contextualSpacing/>
        <w:jc w:val="both"/>
        <w:rPr>
          <w:rFonts w:ascii="Arial" w:hAnsi="Arial" w:cs="Arial"/>
          <w:b/>
          <w:bCs/>
          <w:sz w:val="24"/>
          <w:szCs w:val="24"/>
        </w:rPr>
      </w:pPr>
      <w:r w:rsidRPr="002560F3">
        <w:rPr>
          <w:rFonts w:ascii="Arial" w:hAnsi="Arial" w:cs="Arial"/>
          <w:b/>
          <w:bCs/>
          <w:sz w:val="24"/>
          <w:szCs w:val="24"/>
        </w:rPr>
        <w:t>Legal Principles</w:t>
      </w:r>
    </w:p>
    <w:p w14:paraId="682822BB" w14:textId="5E61A776" w:rsidR="00947EFF" w:rsidRPr="002560F3" w:rsidRDefault="00FD3F5C" w:rsidP="004F3EF6">
      <w:pPr>
        <w:spacing w:after="0" w:line="360" w:lineRule="auto"/>
        <w:contextualSpacing/>
        <w:jc w:val="both"/>
        <w:rPr>
          <w:rFonts w:ascii="Arial" w:hAnsi="Arial" w:cs="Arial"/>
        </w:rPr>
      </w:pPr>
      <w:r w:rsidRPr="002560F3">
        <w:rPr>
          <w:rFonts w:ascii="Arial" w:hAnsi="Arial" w:cs="Arial"/>
          <w:sz w:val="24"/>
          <w:szCs w:val="24"/>
        </w:rPr>
        <w:t>[17</w:t>
      </w:r>
      <w:r w:rsidR="00947EFF" w:rsidRPr="002560F3">
        <w:rPr>
          <w:rFonts w:ascii="Arial" w:hAnsi="Arial" w:cs="Arial"/>
          <w:sz w:val="24"/>
          <w:szCs w:val="24"/>
        </w:rPr>
        <w:t>]</w:t>
      </w:r>
      <w:r w:rsidR="005E2AFB" w:rsidRPr="002560F3">
        <w:rPr>
          <w:rFonts w:ascii="Arial" w:hAnsi="Arial" w:cs="Arial"/>
          <w:sz w:val="24"/>
          <w:szCs w:val="24"/>
        </w:rPr>
        <w:tab/>
      </w:r>
      <w:r w:rsidR="00947EFF" w:rsidRPr="002560F3">
        <w:rPr>
          <w:rFonts w:ascii="Arial" w:hAnsi="Arial" w:cs="Arial"/>
          <w:sz w:val="24"/>
          <w:szCs w:val="24"/>
        </w:rPr>
        <w:t>Section 319 of the CPA provides as follows:</w:t>
      </w:r>
    </w:p>
    <w:p w14:paraId="66C95CFD" w14:textId="0F5597C7" w:rsidR="00947EFF" w:rsidRPr="002560F3" w:rsidRDefault="00E14262" w:rsidP="004F3EF6">
      <w:pPr>
        <w:pStyle w:val="ListParagraph"/>
        <w:autoSpaceDE w:val="0"/>
        <w:autoSpaceDN w:val="0"/>
        <w:adjustRightInd w:val="0"/>
        <w:spacing w:after="0" w:line="360" w:lineRule="auto"/>
        <w:ind w:left="0"/>
        <w:jc w:val="both"/>
        <w:rPr>
          <w:rFonts w:ascii="Arial" w:hAnsi="Arial" w:cs="Arial"/>
        </w:rPr>
      </w:pPr>
      <w:r>
        <w:rPr>
          <w:rFonts w:ascii="Arial" w:hAnsi="Arial" w:cs="Arial"/>
        </w:rPr>
        <w:t xml:space="preserve">‘(1) </w:t>
      </w:r>
      <w:r w:rsidR="00947EFF" w:rsidRPr="002560F3">
        <w:rPr>
          <w:rFonts w:ascii="Arial" w:hAnsi="Arial" w:cs="Arial"/>
        </w:rPr>
        <w:t>If any question of law arises on the trial in a superior court of any person for any offence, that court may of its own motion or at the request either of the prosecutor or the accused reserve that question for the consideration of the Appellate Division, and thereupon the first-mentioned court shall state the question reserved and shall direct that it be specially entered in the record and that a copy thereof be transmitted to the registrar of the Appellate Division.</w:t>
      </w:r>
    </w:p>
    <w:p w14:paraId="560135D1" w14:textId="797F8943" w:rsidR="00947EFF" w:rsidRPr="002560F3" w:rsidRDefault="00CE0799" w:rsidP="004F3EF6">
      <w:pPr>
        <w:pStyle w:val="ListParagraph"/>
        <w:autoSpaceDE w:val="0"/>
        <w:autoSpaceDN w:val="0"/>
        <w:adjustRightInd w:val="0"/>
        <w:spacing w:after="0" w:line="360" w:lineRule="auto"/>
        <w:ind w:left="0"/>
        <w:jc w:val="both"/>
        <w:rPr>
          <w:rFonts w:ascii="Arial" w:hAnsi="Arial" w:cs="Arial"/>
        </w:rPr>
      </w:pPr>
      <w:r>
        <w:rPr>
          <w:rFonts w:ascii="Arial" w:hAnsi="Arial" w:cs="Arial"/>
        </w:rPr>
        <w:t xml:space="preserve">(2) </w:t>
      </w:r>
      <w:r w:rsidR="00947EFF" w:rsidRPr="002560F3">
        <w:rPr>
          <w:rFonts w:ascii="Arial" w:hAnsi="Arial" w:cs="Arial"/>
        </w:rPr>
        <w:t>The grounds upon which any objection to an indictment is taken shall, for the purposes of this section, be deemed to be questions of law.</w:t>
      </w:r>
    </w:p>
    <w:p w14:paraId="077A7FF3" w14:textId="4B7A4080" w:rsidR="00947EFF" w:rsidRPr="002560F3" w:rsidRDefault="00CE0799" w:rsidP="004F3EF6">
      <w:pPr>
        <w:pStyle w:val="ListParagraph"/>
        <w:autoSpaceDE w:val="0"/>
        <w:autoSpaceDN w:val="0"/>
        <w:adjustRightInd w:val="0"/>
        <w:spacing w:after="0" w:line="360" w:lineRule="auto"/>
        <w:ind w:left="0"/>
        <w:jc w:val="both"/>
        <w:rPr>
          <w:rFonts w:ascii="Arial" w:hAnsi="Arial" w:cs="Arial"/>
        </w:rPr>
      </w:pPr>
      <w:r>
        <w:rPr>
          <w:rFonts w:ascii="Arial" w:hAnsi="Arial" w:cs="Arial"/>
        </w:rPr>
        <w:lastRenderedPageBreak/>
        <w:t xml:space="preserve">(3) </w:t>
      </w:r>
      <w:r w:rsidR="00947EFF" w:rsidRPr="002560F3">
        <w:rPr>
          <w:rFonts w:ascii="Arial" w:hAnsi="Arial" w:cs="Arial"/>
        </w:rPr>
        <w:t xml:space="preserve">The provisions of sections 317(2), (4) and (5) and 318(2) shall apply </w:t>
      </w:r>
      <w:r w:rsidR="00947EFF" w:rsidRPr="00B85098">
        <w:rPr>
          <w:rFonts w:ascii="Arial" w:hAnsi="Arial" w:cs="Arial"/>
          <w:i/>
          <w:iCs/>
        </w:rPr>
        <w:t>mutatis mutandis</w:t>
      </w:r>
      <w:r w:rsidR="00947EFF" w:rsidRPr="002560F3">
        <w:rPr>
          <w:rFonts w:ascii="Arial" w:hAnsi="Arial" w:cs="Arial"/>
        </w:rPr>
        <w:t xml:space="preserve"> with reference to all proceedings under this section.’</w:t>
      </w:r>
    </w:p>
    <w:p w14:paraId="1D2F4920" w14:textId="77777777" w:rsidR="0020313A" w:rsidRPr="002560F3" w:rsidRDefault="0020313A" w:rsidP="004F3EF6">
      <w:pPr>
        <w:autoSpaceDE w:val="0"/>
        <w:autoSpaceDN w:val="0"/>
        <w:adjustRightInd w:val="0"/>
        <w:spacing w:after="0" w:line="360" w:lineRule="auto"/>
        <w:contextualSpacing/>
        <w:jc w:val="both"/>
        <w:rPr>
          <w:rFonts w:ascii="Arial" w:hAnsi="Arial" w:cs="Arial"/>
          <w:sz w:val="24"/>
          <w:szCs w:val="24"/>
        </w:rPr>
      </w:pPr>
    </w:p>
    <w:p w14:paraId="1BF05B8B" w14:textId="0753419E" w:rsidR="0020313A" w:rsidRPr="002560F3" w:rsidRDefault="0087346D" w:rsidP="00E14262">
      <w:pPr>
        <w:autoSpaceDE w:val="0"/>
        <w:autoSpaceDN w:val="0"/>
        <w:adjustRightInd w:val="0"/>
        <w:spacing w:after="0" w:line="360" w:lineRule="auto"/>
        <w:contextualSpacing/>
        <w:jc w:val="both"/>
        <w:rPr>
          <w:rFonts w:ascii="Arial" w:hAnsi="Arial" w:cs="Arial"/>
          <w:sz w:val="24"/>
          <w:szCs w:val="24"/>
        </w:rPr>
      </w:pPr>
      <w:r w:rsidRPr="002560F3">
        <w:rPr>
          <w:rFonts w:ascii="Arial" w:hAnsi="Arial" w:cs="Arial"/>
          <w:sz w:val="24"/>
          <w:szCs w:val="24"/>
        </w:rPr>
        <w:t>[18</w:t>
      </w:r>
      <w:r w:rsidR="0020313A" w:rsidRPr="002560F3">
        <w:rPr>
          <w:rFonts w:ascii="Arial" w:hAnsi="Arial" w:cs="Arial"/>
          <w:sz w:val="24"/>
          <w:szCs w:val="24"/>
        </w:rPr>
        <w:t>]</w:t>
      </w:r>
      <w:r w:rsidR="00624502" w:rsidRPr="002560F3">
        <w:rPr>
          <w:rFonts w:ascii="Arial" w:hAnsi="Arial" w:cs="Arial"/>
          <w:sz w:val="24"/>
          <w:szCs w:val="24"/>
        </w:rPr>
        <w:tab/>
      </w:r>
      <w:r w:rsidR="0020313A" w:rsidRPr="002560F3">
        <w:rPr>
          <w:rFonts w:ascii="Arial" w:hAnsi="Arial" w:cs="Arial"/>
          <w:sz w:val="24"/>
          <w:szCs w:val="24"/>
        </w:rPr>
        <w:t xml:space="preserve">This </w:t>
      </w:r>
      <w:r w:rsidR="004D276B">
        <w:rPr>
          <w:rFonts w:ascii="Arial" w:hAnsi="Arial" w:cs="Arial"/>
          <w:sz w:val="24"/>
          <w:szCs w:val="24"/>
        </w:rPr>
        <w:t>C</w:t>
      </w:r>
      <w:r w:rsidR="0020313A" w:rsidRPr="002560F3">
        <w:rPr>
          <w:rFonts w:ascii="Arial" w:hAnsi="Arial" w:cs="Arial"/>
          <w:sz w:val="24"/>
          <w:szCs w:val="24"/>
        </w:rPr>
        <w:t xml:space="preserve">ourt in a recent judgment, </w:t>
      </w:r>
      <w:r w:rsidR="0020313A" w:rsidRPr="002560F3">
        <w:rPr>
          <w:rFonts w:ascii="Arial" w:hAnsi="Arial" w:cs="Arial"/>
          <w:i/>
          <w:sz w:val="24"/>
          <w:szCs w:val="24"/>
        </w:rPr>
        <w:t>Director of Public Prosecutions: Limpopo v Molope and Another</w:t>
      </w:r>
      <w:r w:rsidR="0020313A" w:rsidRPr="002560F3">
        <w:rPr>
          <w:rFonts w:ascii="Arial" w:hAnsi="Arial" w:cs="Arial"/>
          <w:sz w:val="24"/>
          <w:szCs w:val="24"/>
        </w:rPr>
        <w:t xml:space="preserve"> [2020] ZASCA 69</w:t>
      </w:r>
      <w:r w:rsidR="00BB2404" w:rsidRPr="002560F3">
        <w:rPr>
          <w:rFonts w:ascii="Arial" w:hAnsi="Arial" w:cs="Arial"/>
          <w:sz w:val="24"/>
          <w:szCs w:val="24"/>
        </w:rPr>
        <w:t>; 2020 (2) SACR 343 (SCA)</w:t>
      </w:r>
      <w:r w:rsidR="004722F9" w:rsidRPr="002560F3">
        <w:rPr>
          <w:rFonts w:ascii="Arial" w:hAnsi="Arial" w:cs="Arial"/>
          <w:sz w:val="24"/>
          <w:szCs w:val="24"/>
        </w:rPr>
        <w:t>; [2020] 3 All SA 633 (SCA),</w:t>
      </w:r>
      <w:r w:rsidR="0020313A" w:rsidRPr="002560F3">
        <w:rPr>
          <w:rFonts w:ascii="Arial" w:hAnsi="Arial" w:cs="Arial"/>
          <w:sz w:val="24"/>
          <w:szCs w:val="24"/>
        </w:rPr>
        <w:t xml:space="preserve"> said at paras 39-41:</w:t>
      </w:r>
    </w:p>
    <w:p w14:paraId="6EF49698" w14:textId="2C094CC3" w:rsidR="0020313A" w:rsidRPr="00B85098" w:rsidRDefault="0020313A" w:rsidP="0020313A">
      <w:pPr>
        <w:pStyle w:val="NormalWeb"/>
        <w:shd w:val="clear" w:color="auto" w:fill="FFFFFF"/>
        <w:spacing w:before="0" w:after="0" w:line="360" w:lineRule="auto"/>
        <w:contextualSpacing/>
        <w:jc w:val="both"/>
        <w:rPr>
          <w:rFonts w:ascii="Arial" w:hAnsi="Arial" w:cs="Arial"/>
          <w:sz w:val="22"/>
          <w:szCs w:val="22"/>
        </w:rPr>
      </w:pPr>
      <w:r w:rsidRPr="00B85098">
        <w:rPr>
          <w:rFonts w:ascii="Arial" w:hAnsi="Arial" w:cs="Arial"/>
          <w:sz w:val="22"/>
          <w:szCs w:val="22"/>
        </w:rPr>
        <w:t>‘The provisions of s 319 of the CPA are peremptory and require strict compliance, as its purpose is to limit appeals by the State. It should be mentioned that s 319 has been subjected to a detailed analysis in a number of judgments, both by this Court and the Constitutional Court.</w:t>
      </w:r>
      <w:bookmarkStart w:id="1" w:name="_ftnref13"/>
      <w:r w:rsidRPr="00B85098">
        <w:rPr>
          <w:rFonts w:ascii="Arial" w:hAnsi="Arial" w:cs="Arial"/>
          <w:sz w:val="22"/>
          <w:szCs w:val="22"/>
        </w:rPr>
        <w:t xml:space="preserve"> </w:t>
      </w:r>
      <w:bookmarkEnd w:id="1"/>
      <w:r w:rsidRPr="00B85098">
        <w:rPr>
          <w:rFonts w:ascii="Arial" w:hAnsi="Arial" w:cs="Arial"/>
          <w:sz w:val="22"/>
          <w:szCs w:val="22"/>
        </w:rPr>
        <w:t>Its principles have accordingly been firmly established in our law.</w:t>
      </w:r>
    </w:p>
    <w:p w14:paraId="384240C7" w14:textId="54AC5549" w:rsidR="0020313A" w:rsidRPr="00B85098" w:rsidRDefault="0020313A" w:rsidP="0020313A">
      <w:pPr>
        <w:pStyle w:val="NormalWeb"/>
        <w:shd w:val="clear" w:color="auto" w:fill="FFFFFF"/>
        <w:spacing w:before="0" w:after="0" w:line="360" w:lineRule="auto"/>
        <w:contextualSpacing/>
        <w:jc w:val="both"/>
        <w:rPr>
          <w:rFonts w:ascii="Arial" w:hAnsi="Arial" w:cs="Arial"/>
          <w:sz w:val="22"/>
          <w:szCs w:val="22"/>
        </w:rPr>
      </w:pPr>
      <w:r w:rsidRPr="00B85098">
        <w:rPr>
          <w:rFonts w:ascii="Arial" w:hAnsi="Arial" w:cs="Arial"/>
          <w:sz w:val="22"/>
          <w:szCs w:val="22"/>
        </w:rPr>
        <w:t>Two decades ago, in </w:t>
      </w:r>
      <w:r w:rsidRPr="00B85098">
        <w:rPr>
          <w:rFonts w:ascii="Arial" w:hAnsi="Arial" w:cs="Arial"/>
          <w:i/>
          <w:iCs/>
          <w:sz w:val="22"/>
          <w:szCs w:val="22"/>
        </w:rPr>
        <w:t>Director of Public Prosecutions, Natal v Magidela and</w:t>
      </w:r>
      <w:r w:rsidRPr="00B85098">
        <w:rPr>
          <w:rFonts w:ascii="Arial" w:hAnsi="Arial" w:cs="Arial"/>
          <w:sz w:val="22"/>
          <w:szCs w:val="22"/>
        </w:rPr>
        <w:t> </w:t>
      </w:r>
      <w:r w:rsidRPr="00B85098">
        <w:rPr>
          <w:rFonts w:ascii="Arial" w:hAnsi="Arial" w:cs="Arial"/>
          <w:i/>
          <w:iCs/>
          <w:sz w:val="22"/>
          <w:szCs w:val="22"/>
        </w:rPr>
        <w:t>Other</w:t>
      </w:r>
      <w:r w:rsidR="009403A1">
        <w:rPr>
          <w:rFonts w:ascii="Arial" w:hAnsi="Arial" w:cs="Arial"/>
          <w:i/>
          <w:iCs/>
          <w:sz w:val="22"/>
          <w:szCs w:val="22"/>
        </w:rPr>
        <w:t>s</w:t>
      </w:r>
      <w:r w:rsidRPr="00B85098">
        <w:rPr>
          <w:rFonts w:ascii="Arial" w:hAnsi="Arial" w:cs="Arial"/>
          <w:sz w:val="22"/>
          <w:szCs w:val="22"/>
        </w:rPr>
        <w:t xml:space="preserve"> this Court eloquently and commendably set out the position of the relevant law stating that:</w:t>
      </w:r>
    </w:p>
    <w:p w14:paraId="1F3657F8" w14:textId="3B22D002" w:rsidR="00FE4AF3" w:rsidRPr="00B85098" w:rsidRDefault="00FE4AF3" w:rsidP="00FE4AF3">
      <w:pPr>
        <w:pStyle w:val="NormalWeb"/>
        <w:shd w:val="clear" w:color="auto" w:fill="FFFFFF"/>
        <w:spacing w:before="0" w:after="0" w:line="360" w:lineRule="auto"/>
        <w:contextualSpacing/>
        <w:jc w:val="both"/>
        <w:rPr>
          <w:rFonts w:ascii="Arial" w:hAnsi="Arial" w:cs="Arial"/>
          <w:sz w:val="22"/>
          <w:szCs w:val="22"/>
        </w:rPr>
      </w:pPr>
      <w:r w:rsidRPr="00B85098">
        <w:rPr>
          <w:rFonts w:ascii="Arial" w:hAnsi="Arial" w:cs="Arial"/>
          <w:sz w:val="22"/>
          <w:szCs w:val="22"/>
        </w:rPr>
        <w:t>“</w:t>
      </w:r>
      <w:r w:rsidRPr="00B85098">
        <w:rPr>
          <w:rFonts w:ascii="Arial" w:hAnsi="Arial" w:cs="Arial"/>
          <w:sz w:val="22"/>
          <w:szCs w:val="22"/>
          <w:shd w:val="clear" w:color="auto" w:fill="FFFFFF"/>
        </w:rPr>
        <w:t>The provisions of section 319 and its predecessors have been the subject of judicial interpretation over the years and in order to see whether the requirements of the section were complied with in this case it is important to consider how the section has been construed. </w:t>
      </w:r>
      <w:r w:rsidRPr="00B85098">
        <w:rPr>
          <w:rFonts w:ascii="Arial" w:hAnsi="Arial" w:cs="Arial"/>
          <w:i/>
          <w:iCs/>
          <w:sz w:val="22"/>
          <w:szCs w:val="22"/>
          <w:shd w:val="clear" w:color="auto" w:fill="FFFFFF"/>
        </w:rPr>
        <w:t xml:space="preserve">The first requirement is not complied with simply by stating a question of law. At least two other requisites must be met. The first is that the question must be framed by the Judge </w:t>
      </w:r>
      <w:r w:rsidR="009403A1">
        <w:rPr>
          <w:rFonts w:ascii="Arial" w:hAnsi="Arial" w:cs="Arial"/>
          <w:i/>
          <w:iCs/>
          <w:sz w:val="22"/>
          <w:szCs w:val="22"/>
          <w:shd w:val="clear" w:color="auto" w:fill="FFFFFF"/>
        </w:rPr>
        <w:t>“</w:t>
      </w:r>
      <w:r w:rsidRPr="00B85098">
        <w:rPr>
          <w:rFonts w:ascii="Arial" w:hAnsi="Arial" w:cs="Arial"/>
          <w:i/>
          <w:iCs/>
          <w:sz w:val="22"/>
          <w:szCs w:val="22"/>
          <w:shd w:val="clear" w:color="auto" w:fill="FFFFFF"/>
        </w:rPr>
        <w:t>so as accurately to express the legal point which he had in mind</w:t>
      </w:r>
      <w:r w:rsidR="009403A1">
        <w:rPr>
          <w:rFonts w:ascii="Arial" w:hAnsi="Arial" w:cs="Arial"/>
          <w:i/>
          <w:iCs/>
          <w:sz w:val="22"/>
          <w:szCs w:val="22"/>
          <w:shd w:val="clear" w:color="auto" w:fill="FFFFFF"/>
        </w:rPr>
        <w:t>”</w:t>
      </w:r>
      <w:r w:rsidRPr="00B85098">
        <w:rPr>
          <w:rFonts w:ascii="Arial" w:hAnsi="Arial" w:cs="Arial"/>
          <w:i/>
          <w:iCs/>
          <w:sz w:val="22"/>
          <w:szCs w:val="22"/>
          <w:shd w:val="clear" w:color="auto" w:fill="FFFFFF"/>
        </w:rPr>
        <w:t xml:space="preserve"> (R v Kewelram </w:t>
      </w:r>
      <w:r w:rsidRPr="009403A1">
        <w:rPr>
          <w:rStyle w:val="Hyperlink"/>
          <w:rFonts w:ascii="Arial" w:hAnsi="Arial" w:cs="Arial"/>
          <w:color w:val="auto"/>
          <w:sz w:val="22"/>
          <w:szCs w:val="22"/>
          <w:u w:val="none"/>
          <w:shd w:val="clear" w:color="auto" w:fill="FFFFFF"/>
        </w:rPr>
        <w:t>1922 AD 1</w:t>
      </w:r>
      <w:r w:rsidRPr="00114305">
        <w:rPr>
          <w:rFonts w:ascii="Arial" w:hAnsi="Arial" w:cs="Arial"/>
          <w:iCs/>
          <w:sz w:val="22"/>
          <w:szCs w:val="22"/>
          <w:shd w:val="clear" w:color="auto" w:fill="FFFFFF"/>
        </w:rPr>
        <w:t xml:space="preserve"> at 3). </w:t>
      </w:r>
      <w:r w:rsidRPr="00B85098">
        <w:rPr>
          <w:rFonts w:ascii="Arial" w:hAnsi="Arial" w:cs="Arial"/>
          <w:i/>
          <w:iCs/>
          <w:sz w:val="22"/>
          <w:szCs w:val="22"/>
          <w:shd w:val="clear" w:color="auto" w:fill="FFFFFF"/>
        </w:rPr>
        <w:t>Secondly, there must be certainty concerning the facts on which the legal point is intended to hinge. This requires the court to record the factual findings on which the point of law is dependent (S v Nkwenja en ‘n Ander </w:t>
      </w:r>
      <w:r w:rsidRPr="009403A1">
        <w:rPr>
          <w:rStyle w:val="Hyperlink"/>
          <w:rFonts w:ascii="Arial" w:hAnsi="Arial" w:cs="Arial"/>
          <w:color w:val="auto"/>
          <w:sz w:val="22"/>
          <w:szCs w:val="22"/>
          <w:u w:val="none"/>
          <w:shd w:val="clear" w:color="auto" w:fill="FFFFFF"/>
        </w:rPr>
        <w:t>1985 (2) SA 560</w:t>
      </w:r>
      <w:r w:rsidRPr="00114305">
        <w:rPr>
          <w:rFonts w:ascii="Arial" w:hAnsi="Arial" w:cs="Arial"/>
          <w:sz w:val="22"/>
          <w:szCs w:val="22"/>
          <w:shd w:val="clear" w:color="auto" w:fill="FFFFFF"/>
        </w:rPr>
        <w:t> </w:t>
      </w:r>
      <w:r w:rsidRPr="00114305">
        <w:rPr>
          <w:rFonts w:ascii="Arial" w:hAnsi="Arial" w:cs="Arial"/>
          <w:iCs/>
          <w:sz w:val="22"/>
          <w:szCs w:val="22"/>
          <w:shd w:val="clear" w:color="auto" w:fill="FFFFFF"/>
        </w:rPr>
        <w:t xml:space="preserve">(A) at 567B-G). </w:t>
      </w:r>
      <w:r w:rsidRPr="00B85098">
        <w:rPr>
          <w:rFonts w:ascii="Arial" w:hAnsi="Arial" w:cs="Arial"/>
          <w:i/>
          <w:iCs/>
          <w:sz w:val="22"/>
          <w:szCs w:val="22"/>
          <w:shd w:val="clear" w:color="auto" w:fill="FFFFFF"/>
        </w:rPr>
        <w:t>What is more, the relevant facts should be set out fully in the record as part of the question of law (S v Goliath </w:t>
      </w:r>
      <w:r w:rsidRPr="009403A1">
        <w:rPr>
          <w:rStyle w:val="Hyperlink"/>
          <w:rFonts w:ascii="Arial" w:hAnsi="Arial" w:cs="Arial"/>
          <w:color w:val="auto"/>
          <w:sz w:val="22"/>
          <w:szCs w:val="22"/>
          <w:u w:val="none"/>
          <w:shd w:val="clear" w:color="auto" w:fill="FFFFFF"/>
        </w:rPr>
        <w:t>1972 (3) SA 1</w:t>
      </w:r>
      <w:r w:rsidRPr="00114305">
        <w:rPr>
          <w:rFonts w:ascii="Arial" w:hAnsi="Arial" w:cs="Arial"/>
          <w:sz w:val="22"/>
          <w:szCs w:val="22"/>
          <w:shd w:val="clear" w:color="auto" w:fill="FFFFFF"/>
        </w:rPr>
        <w:t> </w:t>
      </w:r>
      <w:r w:rsidRPr="00114305">
        <w:rPr>
          <w:rFonts w:ascii="Arial" w:hAnsi="Arial" w:cs="Arial"/>
          <w:iCs/>
          <w:sz w:val="22"/>
          <w:szCs w:val="22"/>
          <w:shd w:val="clear" w:color="auto" w:fill="FFFFFF"/>
        </w:rPr>
        <w:t xml:space="preserve">(A) at 9H-10A). </w:t>
      </w:r>
      <w:r w:rsidRPr="00B85098">
        <w:rPr>
          <w:rFonts w:ascii="Arial" w:hAnsi="Arial" w:cs="Arial"/>
          <w:i/>
          <w:iCs/>
          <w:sz w:val="22"/>
          <w:szCs w:val="22"/>
          <w:shd w:val="clear" w:color="auto" w:fill="FFFFFF"/>
        </w:rPr>
        <w:t>These requirements have been repeatedly emphasised in this Court and are firmly established (see, for example, S v Khoza en Andere </w:t>
      </w:r>
      <w:r w:rsidRPr="009403A1">
        <w:rPr>
          <w:rStyle w:val="Hyperlink"/>
          <w:rFonts w:ascii="Arial" w:hAnsi="Arial" w:cs="Arial"/>
          <w:color w:val="auto"/>
          <w:sz w:val="22"/>
          <w:szCs w:val="22"/>
          <w:u w:val="none"/>
          <w:shd w:val="clear" w:color="auto" w:fill="FFFFFF"/>
        </w:rPr>
        <w:t>1991 (1) SA 793</w:t>
      </w:r>
      <w:r w:rsidRPr="00114305">
        <w:rPr>
          <w:rFonts w:ascii="Arial" w:hAnsi="Arial" w:cs="Arial"/>
          <w:sz w:val="22"/>
          <w:szCs w:val="22"/>
          <w:shd w:val="clear" w:color="auto" w:fill="FFFFFF"/>
        </w:rPr>
        <w:t> </w:t>
      </w:r>
      <w:r w:rsidRPr="00114305">
        <w:rPr>
          <w:rFonts w:ascii="Arial" w:hAnsi="Arial" w:cs="Arial"/>
          <w:iCs/>
          <w:sz w:val="22"/>
          <w:szCs w:val="22"/>
          <w:shd w:val="clear" w:color="auto" w:fill="FFFFFF"/>
        </w:rPr>
        <w:t xml:space="preserve">(A) at 796E-I). </w:t>
      </w:r>
      <w:r w:rsidRPr="00B85098">
        <w:rPr>
          <w:rFonts w:ascii="Arial" w:hAnsi="Arial" w:cs="Arial"/>
          <w:i/>
          <w:iCs/>
          <w:sz w:val="22"/>
          <w:szCs w:val="22"/>
          <w:shd w:val="clear" w:color="auto" w:fill="FFFFFF"/>
        </w:rPr>
        <w:t>The point of law, moreover, should be readily apparent from the record for</w:t>
      </w:r>
      <w:r w:rsidRPr="00B85098">
        <w:rPr>
          <w:rFonts w:ascii="Arial" w:hAnsi="Arial" w:cs="Arial"/>
          <w:sz w:val="22"/>
          <w:szCs w:val="22"/>
          <w:shd w:val="clear" w:color="auto" w:fill="FFFFFF"/>
        </w:rPr>
        <w:t> </w:t>
      </w:r>
      <w:r w:rsidRPr="00B85098">
        <w:rPr>
          <w:rFonts w:ascii="Arial" w:hAnsi="Arial" w:cs="Arial"/>
          <w:i/>
          <w:iCs/>
          <w:sz w:val="22"/>
          <w:szCs w:val="22"/>
          <w:shd w:val="clear" w:color="auto" w:fill="FFFFFF"/>
        </w:rPr>
        <w:t xml:space="preserve">if it is not, the question cannot be said to arise </w:t>
      </w:r>
      <w:r w:rsidR="002547A3">
        <w:rPr>
          <w:rFonts w:ascii="Arial" w:hAnsi="Arial" w:cs="Arial"/>
          <w:i/>
          <w:iCs/>
          <w:sz w:val="22"/>
          <w:szCs w:val="22"/>
          <w:shd w:val="clear" w:color="auto" w:fill="FFFFFF"/>
        </w:rPr>
        <w:t>‘</w:t>
      </w:r>
      <w:r w:rsidRPr="00B85098">
        <w:rPr>
          <w:rFonts w:ascii="Arial" w:hAnsi="Arial" w:cs="Arial"/>
          <w:i/>
          <w:iCs/>
          <w:sz w:val="22"/>
          <w:szCs w:val="22"/>
          <w:shd w:val="clear" w:color="auto" w:fill="FFFFFF"/>
        </w:rPr>
        <w:t>on the trial</w:t>
      </w:r>
      <w:r w:rsidR="002547A3">
        <w:rPr>
          <w:rFonts w:ascii="Arial" w:hAnsi="Arial" w:cs="Arial"/>
          <w:i/>
          <w:iCs/>
          <w:sz w:val="22"/>
          <w:szCs w:val="22"/>
          <w:shd w:val="clear" w:color="auto" w:fill="FFFFFF"/>
        </w:rPr>
        <w:t>’</w:t>
      </w:r>
      <w:r w:rsidRPr="00B85098">
        <w:rPr>
          <w:rFonts w:ascii="Arial" w:hAnsi="Arial" w:cs="Arial"/>
          <w:i/>
          <w:iCs/>
          <w:sz w:val="22"/>
          <w:szCs w:val="22"/>
          <w:shd w:val="clear" w:color="auto" w:fill="FFFFFF"/>
        </w:rPr>
        <w:t xml:space="preserve"> of a person</w:t>
      </w:r>
      <w:r w:rsidRPr="00B85098">
        <w:rPr>
          <w:rFonts w:ascii="Arial" w:hAnsi="Arial" w:cs="Arial"/>
          <w:sz w:val="22"/>
          <w:szCs w:val="22"/>
          <w:shd w:val="clear" w:color="auto" w:fill="FFFFFF"/>
        </w:rPr>
        <w:t> (</w:t>
      </w:r>
      <w:r w:rsidRPr="00B85098">
        <w:rPr>
          <w:rFonts w:ascii="Arial" w:hAnsi="Arial" w:cs="Arial"/>
          <w:i/>
          <w:iCs/>
          <w:sz w:val="22"/>
          <w:szCs w:val="22"/>
          <w:shd w:val="clear" w:color="auto" w:fill="FFFFFF"/>
        </w:rPr>
        <w:t>S v Mulayo</w:t>
      </w:r>
      <w:r w:rsidRPr="00B85098">
        <w:rPr>
          <w:rFonts w:ascii="Arial" w:hAnsi="Arial" w:cs="Arial"/>
          <w:sz w:val="22"/>
          <w:szCs w:val="22"/>
          <w:shd w:val="clear" w:color="auto" w:fill="FFFFFF"/>
        </w:rPr>
        <w:t> </w:t>
      </w:r>
      <w:r w:rsidRPr="009403A1">
        <w:rPr>
          <w:rStyle w:val="Hyperlink"/>
          <w:rFonts w:ascii="Arial" w:hAnsi="Arial" w:cs="Arial"/>
          <w:color w:val="auto"/>
          <w:sz w:val="22"/>
          <w:szCs w:val="22"/>
          <w:u w:val="none"/>
          <w:shd w:val="clear" w:color="auto" w:fill="FFFFFF"/>
        </w:rPr>
        <w:t>1962 (2) SA 522</w:t>
      </w:r>
      <w:r w:rsidRPr="00B85098">
        <w:rPr>
          <w:rFonts w:ascii="Arial" w:hAnsi="Arial" w:cs="Arial"/>
          <w:sz w:val="22"/>
          <w:szCs w:val="22"/>
          <w:shd w:val="clear" w:color="auto" w:fill="FFFFFF"/>
        </w:rPr>
        <w:t> (A) at 526-527). </w:t>
      </w:r>
      <w:r w:rsidRPr="00B85098">
        <w:rPr>
          <w:rFonts w:ascii="Arial" w:hAnsi="Arial" w:cs="Arial"/>
          <w:i/>
          <w:iCs/>
          <w:sz w:val="22"/>
          <w:szCs w:val="22"/>
          <w:shd w:val="clear" w:color="auto" w:fill="FFFFFF"/>
        </w:rPr>
        <w:t>Non constat</w:t>
      </w:r>
      <w:r w:rsidRPr="00B85098">
        <w:rPr>
          <w:rFonts w:ascii="Arial" w:hAnsi="Arial" w:cs="Arial"/>
          <w:sz w:val="22"/>
          <w:szCs w:val="22"/>
          <w:shd w:val="clear" w:color="auto" w:fill="FFFFFF"/>
        </w:rPr>
        <w:t xml:space="preserve"> that the point should be formally raised at the trial: it is sufficient if it </w:t>
      </w:r>
      <w:r w:rsidR="00F4053B">
        <w:rPr>
          <w:rFonts w:ascii="Arial" w:hAnsi="Arial" w:cs="Arial"/>
          <w:sz w:val="22"/>
          <w:szCs w:val="22"/>
          <w:shd w:val="clear" w:color="auto" w:fill="FFFFFF"/>
        </w:rPr>
        <w:t>“</w:t>
      </w:r>
      <w:r w:rsidRPr="00B85098">
        <w:rPr>
          <w:rFonts w:ascii="Arial" w:hAnsi="Arial" w:cs="Arial"/>
          <w:sz w:val="22"/>
          <w:szCs w:val="22"/>
          <w:shd w:val="clear" w:color="auto" w:fill="FFFFFF"/>
        </w:rPr>
        <w:t>comes into existence</w:t>
      </w:r>
      <w:r w:rsidR="00F4053B">
        <w:rPr>
          <w:rFonts w:ascii="Arial" w:hAnsi="Arial" w:cs="Arial"/>
          <w:sz w:val="22"/>
          <w:szCs w:val="22"/>
          <w:shd w:val="clear" w:color="auto" w:fill="FFFFFF"/>
        </w:rPr>
        <w:t>”</w:t>
      </w:r>
      <w:r w:rsidRPr="00B85098">
        <w:rPr>
          <w:rFonts w:ascii="Arial" w:hAnsi="Arial" w:cs="Arial"/>
          <w:sz w:val="22"/>
          <w:szCs w:val="22"/>
          <w:shd w:val="clear" w:color="auto" w:fill="FFFFFF"/>
        </w:rPr>
        <w:t xml:space="preserve"> during the hearing (</w:t>
      </w:r>
      <w:r w:rsidRPr="00B85098">
        <w:rPr>
          <w:rFonts w:ascii="Arial" w:hAnsi="Arial" w:cs="Arial"/>
          <w:i/>
          <w:iCs/>
          <w:sz w:val="22"/>
          <w:szCs w:val="22"/>
          <w:shd w:val="clear" w:color="auto" w:fill="FFFFFF"/>
        </w:rPr>
        <w:t>R v Laubscher</w:t>
      </w:r>
      <w:r w:rsidRPr="00B85098">
        <w:rPr>
          <w:rFonts w:ascii="Arial" w:hAnsi="Arial" w:cs="Arial"/>
          <w:sz w:val="22"/>
          <w:szCs w:val="22"/>
          <w:shd w:val="clear" w:color="auto" w:fill="FFFFFF"/>
        </w:rPr>
        <w:t> </w:t>
      </w:r>
      <w:r w:rsidRPr="009403A1">
        <w:rPr>
          <w:rStyle w:val="Hyperlink"/>
          <w:rFonts w:ascii="Arial" w:hAnsi="Arial" w:cs="Arial"/>
          <w:color w:val="auto"/>
          <w:sz w:val="22"/>
          <w:szCs w:val="22"/>
          <w:u w:val="none"/>
          <w:shd w:val="clear" w:color="auto" w:fill="FFFFFF"/>
        </w:rPr>
        <w:t>1926 AD 276</w:t>
      </w:r>
      <w:r w:rsidRPr="00B85098">
        <w:rPr>
          <w:rFonts w:ascii="Arial" w:hAnsi="Arial" w:cs="Arial"/>
          <w:sz w:val="22"/>
          <w:szCs w:val="22"/>
          <w:shd w:val="clear" w:color="auto" w:fill="FFFFFF"/>
        </w:rPr>
        <w:t> at 280; </w:t>
      </w:r>
      <w:r w:rsidRPr="00B85098">
        <w:rPr>
          <w:rFonts w:ascii="Arial" w:hAnsi="Arial" w:cs="Arial"/>
          <w:i/>
          <w:iCs/>
          <w:sz w:val="22"/>
          <w:szCs w:val="22"/>
          <w:shd w:val="clear" w:color="auto" w:fill="FFFFFF"/>
        </w:rPr>
        <w:t>R v Tucker</w:t>
      </w:r>
      <w:r w:rsidRPr="00B85098">
        <w:rPr>
          <w:rFonts w:ascii="Arial" w:hAnsi="Arial" w:cs="Arial"/>
          <w:sz w:val="22"/>
          <w:szCs w:val="22"/>
          <w:shd w:val="clear" w:color="auto" w:fill="FFFFFF"/>
        </w:rPr>
        <w:t> </w:t>
      </w:r>
      <w:r w:rsidRPr="009403A1">
        <w:rPr>
          <w:rStyle w:val="Hyperlink"/>
          <w:rFonts w:ascii="Arial" w:hAnsi="Arial" w:cs="Arial"/>
          <w:color w:val="auto"/>
          <w:sz w:val="22"/>
          <w:szCs w:val="22"/>
          <w:u w:val="none"/>
          <w:shd w:val="clear" w:color="auto" w:fill="FFFFFF"/>
        </w:rPr>
        <w:t>1953 (3) SA 150</w:t>
      </w:r>
      <w:r w:rsidRPr="00B85098">
        <w:rPr>
          <w:rFonts w:ascii="Arial" w:hAnsi="Arial" w:cs="Arial"/>
          <w:sz w:val="22"/>
          <w:szCs w:val="22"/>
          <w:shd w:val="clear" w:color="auto" w:fill="FFFFFF"/>
        </w:rPr>
        <w:t xml:space="preserve"> (A) at 158H-159H). It follows from these requirements that there should be certainty not only on the factual issues on which the point of law is based but also regarding the law point that was in issue at the trial.” </w:t>
      </w:r>
      <w:r w:rsidR="003F2C02">
        <w:rPr>
          <w:rFonts w:ascii="Arial" w:hAnsi="Arial" w:cs="Arial"/>
          <w:sz w:val="22"/>
          <w:szCs w:val="22"/>
          <w:shd w:val="clear" w:color="auto" w:fill="FFFFFF"/>
        </w:rPr>
        <w:t>[Original</w:t>
      </w:r>
      <w:r w:rsidRPr="00B85098">
        <w:rPr>
          <w:rFonts w:ascii="Arial" w:hAnsi="Arial" w:cs="Arial"/>
          <w:sz w:val="22"/>
          <w:szCs w:val="22"/>
          <w:shd w:val="clear" w:color="auto" w:fill="FFFFFF"/>
        </w:rPr>
        <w:t xml:space="preserve"> emphasis.</w:t>
      </w:r>
      <w:r w:rsidR="003F2C02">
        <w:rPr>
          <w:rFonts w:ascii="Arial" w:hAnsi="Arial" w:cs="Arial"/>
          <w:sz w:val="22"/>
          <w:szCs w:val="22"/>
          <w:shd w:val="clear" w:color="auto" w:fill="FFFFFF"/>
        </w:rPr>
        <w:t>]</w:t>
      </w:r>
    </w:p>
    <w:p w14:paraId="21A70553" w14:textId="4192A136" w:rsidR="0020313A" w:rsidRPr="00B85098" w:rsidRDefault="0020313A" w:rsidP="004F3EF6">
      <w:pPr>
        <w:spacing w:after="0" w:line="360" w:lineRule="auto"/>
        <w:jc w:val="both"/>
        <w:rPr>
          <w:rFonts w:ascii="Arial" w:hAnsi="Arial" w:cs="Arial"/>
        </w:rPr>
      </w:pPr>
      <w:r w:rsidRPr="00B85098">
        <w:rPr>
          <w:rFonts w:ascii="Arial" w:hAnsi="Arial" w:cs="Arial"/>
        </w:rPr>
        <w:t>Furthermore the authors Du Toit et al in the </w:t>
      </w:r>
      <w:r w:rsidRPr="00B85098">
        <w:rPr>
          <w:rFonts w:ascii="Arial" w:hAnsi="Arial" w:cs="Arial"/>
          <w:i/>
          <w:iCs/>
        </w:rPr>
        <w:t>Commentary on the </w:t>
      </w:r>
      <w:r w:rsidRPr="003F2C02">
        <w:rPr>
          <w:rStyle w:val="Hyperlink"/>
          <w:rFonts w:ascii="Arial" w:hAnsi="Arial" w:cs="Arial"/>
          <w:i/>
          <w:iCs/>
          <w:color w:val="auto"/>
          <w:u w:val="none"/>
        </w:rPr>
        <w:t>Criminal Procedure Act</w:t>
      </w:r>
      <w:hyperlink r:id="rId9" w:history="1">
        <w:r w:rsidRPr="00B85098">
          <w:rPr>
            <w:rStyle w:val="Hyperlink"/>
            <w:rFonts w:ascii="Arial" w:hAnsi="Arial" w:cs="Arial"/>
            <w:color w:val="auto"/>
            <w:u w:val="none"/>
          </w:rPr>
          <w:t> </w:t>
        </w:r>
      </w:hyperlink>
      <w:hyperlink r:id="rId10" w:history="1">
        <w:r w:rsidRPr="00B85098">
          <w:rPr>
            <w:rStyle w:val="Hyperlink"/>
            <w:rFonts w:ascii="Arial" w:hAnsi="Arial" w:cs="Arial"/>
            <w:color w:val="auto"/>
            <w:u w:val="none"/>
          </w:rPr>
          <w:t>state</w:t>
        </w:r>
      </w:hyperlink>
      <w:r w:rsidRPr="00B85098">
        <w:rPr>
          <w:rFonts w:ascii="Arial" w:hAnsi="Arial" w:cs="Arial"/>
        </w:rPr>
        <w:t>: “The trial court must refer to those facts in its judgment as part of the reserved question of law (</w:t>
      </w:r>
      <w:r w:rsidRPr="00B85098">
        <w:rPr>
          <w:rFonts w:ascii="Arial" w:hAnsi="Arial" w:cs="Arial"/>
          <w:i/>
          <w:iCs/>
        </w:rPr>
        <w:t xml:space="preserve">S v Nkwenja en 'n </w:t>
      </w:r>
      <w:r w:rsidR="002547A3">
        <w:rPr>
          <w:rFonts w:ascii="Arial" w:hAnsi="Arial" w:cs="Arial"/>
          <w:i/>
          <w:iCs/>
        </w:rPr>
        <w:t>A</w:t>
      </w:r>
      <w:r w:rsidRPr="00B85098">
        <w:rPr>
          <w:rFonts w:ascii="Arial" w:hAnsi="Arial" w:cs="Arial"/>
          <w:i/>
          <w:iCs/>
        </w:rPr>
        <w:t>nder</w:t>
      </w:r>
      <w:r w:rsidRPr="00B85098">
        <w:rPr>
          <w:rFonts w:ascii="Arial" w:hAnsi="Arial" w:cs="Arial"/>
        </w:rPr>
        <w:t> </w:t>
      </w:r>
      <w:r w:rsidRPr="009403A1">
        <w:rPr>
          <w:rStyle w:val="Hyperlink"/>
          <w:rFonts w:ascii="Arial" w:hAnsi="Arial" w:cs="Arial"/>
          <w:color w:val="auto"/>
          <w:u w:val="none"/>
        </w:rPr>
        <w:t>1985 (2) SA 560 (A)</w:t>
      </w:r>
      <w:r w:rsidRPr="00B85098">
        <w:rPr>
          <w:rFonts w:ascii="Arial" w:hAnsi="Arial" w:cs="Arial"/>
        </w:rPr>
        <w:t xml:space="preserve"> 567B). Furthermore, whenever the State has a question of law reserved which rests on particular facts, </w:t>
      </w:r>
      <w:r w:rsidRPr="00B85098">
        <w:rPr>
          <w:rFonts w:ascii="Arial" w:hAnsi="Arial" w:cs="Arial"/>
          <w:i/>
        </w:rPr>
        <w:t xml:space="preserve">the State must have </w:t>
      </w:r>
      <w:r w:rsidRPr="00B85098">
        <w:rPr>
          <w:rFonts w:ascii="Arial" w:hAnsi="Arial" w:cs="Arial"/>
          <w:i/>
        </w:rPr>
        <w:lastRenderedPageBreak/>
        <w:t>those facts fully placed on record and in particular as part of the setting out of the question of law”</w:t>
      </w:r>
      <w:r w:rsidRPr="004F3EF6">
        <w:rPr>
          <w:rFonts w:ascii="Arial" w:hAnsi="Arial" w:cs="Arial"/>
        </w:rPr>
        <w:t>.</w:t>
      </w:r>
      <w:r w:rsidRPr="003F2C02">
        <w:rPr>
          <w:rFonts w:ascii="Arial" w:hAnsi="Arial" w:cs="Arial"/>
        </w:rPr>
        <w:t>’</w:t>
      </w:r>
      <w:r w:rsidRPr="00B85098">
        <w:rPr>
          <w:rFonts w:ascii="Arial" w:hAnsi="Arial" w:cs="Arial"/>
          <w:shd w:val="clear" w:color="auto" w:fill="FFFFFF"/>
        </w:rPr>
        <w:t xml:space="preserve"> (My emphasis.)</w:t>
      </w:r>
      <w:r w:rsidR="00D660C8" w:rsidRPr="00D660C8">
        <w:rPr>
          <w:rFonts w:ascii="Arial" w:hAnsi="Arial" w:cs="Arial"/>
        </w:rPr>
        <w:t xml:space="preserve"> </w:t>
      </w:r>
      <w:r w:rsidR="00D660C8" w:rsidRPr="002560F3">
        <w:rPr>
          <w:rFonts w:ascii="Arial" w:hAnsi="Arial" w:cs="Arial"/>
        </w:rPr>
        <w:t>(Footnote</w:t>
      </w:r>
      <w:r w:rsidR="00D660C8">
        <w:rPr>
          <w:rFonts w:ascii="Arial" w:hAnsi="Arial" w:cs="Arial"/>
        </w:rPr>
        <w:t>s</w:t>
      </w:r>
      <w:r w:rsidR="00D660C8" w:rsidRPr="002560F3">
        <w:rPr>
          <w:rFonts w:ascii="Arial" w:hAnsi="Arial" w:cs="Arial"/>
        </w:rPr>
        <w:t xml:space="preserve"> omitted.)</w:t>
      </w:r>
    </w:p>
    <w:p w14:paraId="1F83F408" w14:textId="77777777" w:rsidR="0020313A" w:rsidRPr="002560F3" w:rsidRDefault="0020313A" w:rsidP="003F2C02">
      <w:pPr>
        <w:autoSpaceDE w:val="0"/>
        <w:autoSpaceDN w:val="0"/>
        <w:adjustRightInd w:val="0"/>
        <w:spacing w:after="0" w:line="360" w:lineRule="auto"/>
        <w:jc w:val="both"/>
        <w:rPr>
          <w:rFonts w:ascii="Arial" w:hAnsi="Arial" w:cs="Arial"/>
          <w:sz w:val="24"/>
          <w:szCs w:val="24"/>
        </w:rPr>
      </w:pPr>
    </w:p>
    <w:p w14:paraId="57E68AC6" w14:textId="5639CAA5" w:rsidR="004C6799" w:rsidRPr="002560F3" w:rsidRDefault="0087346D" w:rsidP="000F3DFA">
      <w:pPr>
        <w:spacing w:after="0" w:line="360" w:lineRule="auto"/>
        <w:contextualSpacing/>
        <w:jc w:val="both"/>
        <w:rPr>
          <w:rFonts w:ascii="Arial" w:hAnsi="Arial" w:cs="Arial"/>
          <w:sz w:val="24"/>
          <w:szCs w:val="24"/>
        </w:rPr>
      </w:pPr>
      <w:r w:rsidRPr="002560F3">
        <w:rPr>
          <w:rFonts w:ascii="Arial" w:hAnsi="Arial" w:cs="Arial"/>
          <w:sz w:val="24"/>
          <w:szCs w:val="24"/>
        </w:rPr>
        <w:t>[19</w:t>
      </w:r>
      <w:r w:rsidR="00947EFF" w:rsidRPr="002560F3">
        <w:rPr>
          <w:rFonts w:ascii="Arial" w:hAnsi="Arial" w:cs="Arial"/>
          <w:sz w:val="24"/>
          <w:szCs w:val="24"/>
        </w:rPr>
        <w:t>]</w:t>
      </w:r>
      <w:r w:rsidR="005E2AFB" w:rsidRPr="002560F3">
        <w:rPr>
          <w:rFonts w:ascii="Arial" w:hAnsi="Arial" w:cs="Arial"/>
          <w:sz w:val="24"/>
          <w:szCs w:val="24"/>
        </w:rPr>
        <w:tab/>
      </w:r>
      <w:r w:rsidR="0020313A" w:rsidRPr="002560F3">
        <w:rPr>
          <w:rFonts w:ascii="Arial" w:hAnsi="Arial" w:cs="Arial"/>
          <w:sz w:val="24"/>
          <w:szCs w:val="24"/>
        </w:rPr>
        <w:t xml:space="preserve">The approach in </w:t>
      </w:r>
      <w:r w:rsidR="0020313A" w:rsidRPr="002560F3">
        <w:rPr>
          <w:rFonts w:ascii="Arial" w:hAnsi="Arial" w:cs="Arial"/>
          <w:i/>
          <w:sz w:val="24"/>
          <w:szCs w:val="24"/>
        </w:rPr>
        <w:t>Magidela</w:t>
      </w:r>
      <w:r w:rsidR="00FD7796" w:rsidRPr="002560F3">
        <w:rPr>
          <w:rFonts w:ascii="Arial" w:hAnsi="Arial" w:cs="Arial"/>
          <w:i/>
          <w:sz w:val="24"/>
          <w:szCs w:val="24"/>
        </w:rPr>
        <w:t xml:space="preserve"> </w:t>
      </w:r>
      <w:r w:rsidR="0020313A" w:rsidRPr="002560F3">
        <w:rPr>
          <w:rFonts w:ascii="Arial" w:hAnsi="Arial" w:cs="Arial"/>
          <w:sz w:val="24"/>
          <w:szCs w:val="24"/>
        </w:rPr>
        <w:t xml:space="preserve">has been endorsed </w:t>
      </w:r>
      <w:r w:rsidR="00594195">
        <w:rPr>
          <w:rFonts w:ascii="Arial" w:hAnsi="Arial" w:cs="Arial"/>
          <w:sz w:val="24"/>
          <w:szCs w:val="24"/>
        </w:rPr>
        <w:t>by</w:t>
      </w:r>
      <w:r w:rsidR="000076C2" w:rsidRPr="002560F3">
        <w:rPr>
          <w:rFonts w:ascii="Arial" w:hAnsi="Arial" w:cs="Arial"/>
          <w:sz w:val="24"/>
          <w:szCs w:val="24"/>
        </w:rPr>
        <w:t xml:space="preserve"> this </w:t>
      </w:r>
      <w:r w:rsidR="000A494D">
        <w:rPr>
          <w:rFonts w:ascii="Arial" w:hAnsi="Arial" w:cs="Arial"/>
          <w:sz w:val="24"/>
          <w:szCs w:val="24"/>
        </w:rPr>
        <w:t>C</w:t>
      </w:r>
      <w:r w:rsidR="000076C2" w:rsidRPr="002560F3">
        <w:rPr>
          <w:rFonts w:ascii="Arial" w:hAnsi="Arial" w:cs="Arial"/>
          <w:sz w:val="24"/>
          <w:szCs w:val="24"/>
        </w:rPr>
        <w:t xml:space="preserve">ourt </w:t>
      </w:r>
      <w:r w:rsidR="0020313A" w:rsidRPr="002560F3">
        <w:rPr>
          <w:rFonts w:ascii="Arial" w:hAnsi="Arial" w:cs="Arial"/>
          <w:sz w:val="24"/>
          <w:szCs w:val="24"/>
        </w:rPr>
        <w:t>i</w:t>
      </w:r>
      <w:r w:rsidR="00947EFF" w:rsidRPr="002560F3">
        <w:rPr>
          <w:rFonts w:ascii="Arial" w:hAnsi="Arial" w:cs="Arial"/>
          <w:sz w:val="24"/>
          <w:szCs w:val="24"/>
        </w:rPr>
        <w:t>n</w:t>
      </w:r>
      <w:r w:rsidR="00723CAD" w:rsidRPr="002560F3">
        <w:rPr>
          <w:rFonts w:ascii="Arial" w:hAnsi="Arial" w:cs="Arial"/>
          <w:sz w:val="24"/>
          <w:szCs w:val="24"/>
        </w:rPr>
        <w:t xml:space="preserve"> </w:t>
      </w:r>
      <w:r w:rsidR="00947EFF" w:rsidRPr="002560F3">
        <w:rPr>
          <w:rFonts w:ascii="Arial" w:hAnsi="Arial" w:cs="Arial"/>
          <w:i/>
          <w:sz w:val="24"/>
          <w:szCs w:val="24"/>
        </w:rPr>
        <w:t>Director of Public Prosecutions: Western Cape v Schoeman</w:t>
      </w:r>
      <w:r w:rsidR="00C118F7" w:rsidRPr="002560F3">
        <w:rPr>
          <w:rFonts w:ascii="Arial" w:hAnsi="Arial" w:cs="Arial"/>
          <w:i/>
          <w:sz w:val="24"/>
          <w:szCs w:val="24"/>
        </w:rPr>
        <w:t xml:space="preserve"> and Another</w:t>
      </w:r>
      <w:r w:rsidR="004C6799" w:rsidRPr="002560F3">
        <w:rPr>
          <w:rFonts w:ascii="Arial" w:hAnsi="Arial" w:cs="Arial"/>
          <w:sz w:val="24"/>
          <w:szCs w:val="24"/>
        </w:rPr>
        <w:t xml:space="preserve"> </w:t>
      </w:r>
      <w:r w:rsidR="005E2AFB" w:rsidRPr="002560F3">
        <w:rPr>
          <w:rFonts w:ascii="Arial" w:hAnsi="Arial" w:cs="Arial"/>
          <w:sz w:val="24"/>
          <w:szCs w:val="24"/>
        </w:rPr>
        <w:t xml:space="preserve">[2019] ZASCA 158; 2020 (1) SACR 449 (SCA), </w:t>
      </w:r>
      <w:r w:rsidR="00FD7796" w:rsidRPr="002560F3">
        <w:rPr>
          <w:rFonts w:ascii="Arial" w:hAnsi="Arial" w:cs="Arial"/>
          <w:sz w:val="24"/>
          <w:szCs w:val="24"/>
        </w:rPr>
        <w:t xml:space="preserve">where </w:t>
      </w:r>
      <w:r w:rsidR="0020313A" w:rsidRPr="002560F3">
        <w:rPr>
          <w:rFonts w:ascii="Arial" w:hAnsi="Arial" w:cs="Arial"/>
          <w:sz w:val="24"/>
          <w:szCs w:val="24"/>
        </w:rPr>
        <w:t xml:space="preserve">this </w:t>
      </w:r>
      <w:r w:rsidR="000A494D">
        <w:rPr>
          <w:rFonts w:ascii="Arial" w:hAnsi="Arial" w:cs="Arial"/>
          <w:sz w:val="24"/>
          <w:szCs w:val="24"/>
        </w:rPr>
        <w:t>C</w:t>
      </w:r>
      <w:r w:rsidR="0020313A" w:rsidRPr="002560F3">
        <w:rPr>
          <w:rFonts w:ascii="Arial" w:hAnsi="Arial" w:cs="Arial"/>
          <w:sz w:val="24"/>
          <w:szCs w:val="24"/>
        </w:rPr>
        <w:t xml:space="preserve">ourt said </w:t>
      </w:r>
      <w:r w:rsidR="005E2AFB" w:rsidRPr="002560F3">
        <w:rPr>
          <w:rFonts w:ascii="Arial" w:hAnsi="Arial" w:cs="Arial"/>
          <w:sz w:val="24"/>
          <w:szCs w:val="24"/>
        </w:rPr>
        <w:t>at para 39</w:t>
      </w:r>
      <w:r w:rsidR="004C6799" w:rsidRPr="002560F3">
        <w:rPr>
          <w:rFonts w:ascii="Arial" w:hAnsi="Arial" w:cs="Arial"/>
          <w:sz w:val="24"/>
          <w:szCs w:val="24"/>
        </w:rPr>
        <w:t>:</w:t>
      </w:r>
    </w:p>
    <w:p w14:paraId="55A2148A" w14:textId="021FEDEB" w:rsidR="00153F25" w:rsidRPr="002560F3" w:rsidRDefault="005E2AFB" w:rsidP="003F15DE">
      <w:pPr>
        <w:spacing w:after="0" w:line="360" w:lineRule="auto"/>
        <w:contextualSpacing/>
        <w:jc w:val="both"/>
        <w:rPr>
          <w:rFonts w:ascii="Arial" w:hAnsi="Arial" w:cs="Arial"/>
          <w:iCs/>
        </w:rPr>
      </w:pPr>
      <w:r w:rsidRPr="002560F3">
        <w:rPr>
          <w:rFonts w:ascii="Arial" w:hAnsi="Arial" w:cs="Arial"/>
        </w:rPr>
        <w:t>‘</w:t>
      </w:r>
      <w:r w:rsidRPr="00B85098">
        <w:rPr>
          <w:rFonts w:ascii="Arial" w:hAnsi="Arial" w:cs="Arial"/>
          <w:shd w:val="clear" w:color="auto" w:fill="FFFFFF"/>
        </w:rPr>
        <w:t xml:space="preserve">The State has a right of appeal only against a trial court’s mistakes of law, not its mistakes of fact. Indeed, Du Toit, De Jager, Paizes, Skeen and Van der Merwe stress that this </w:t>
      </w:r>
      <w:r w:rsidR="00907F40">
        <w:rPr>
          <w:rFonts w:ascii="Arial" w:hAnsi="Arial" w:cs="Arial"/>
          <w:shd w:val="clear" w:color="auto" w:fill="FFFFFF"/>
        </w:rPr>
        <w:t>“</w:t>
      </w:r>
      <w:r w:rsidRPr="00B85098">
        <w:rPr>
          <w:rFonts w:ascii="Arial" w:hAnsi="Arial" w:cs="Arial"/>
          <w:shd w:val="clear" w:color="auto" w:fill="FFFFFF"/>
        </w:rPr>
        <w:t>restriction will not be relaxed by the fact that the trial judge considered the facts incorrectly</w:t>
      </w:r>
      <w:r w:rsidR="00907F40">
        <w:rPr>
          <w:rFonts w:ascii="Arial" w:hAnsi="Arial" w:cs="Arial"/>
          <w:shd w:val="clear" w:color="auto" w:fill="FFFFFF"/>
        </w:rPr>
        <w:t>”</w:t>
      </w:r>
      <w:r w:rsidRPr="00B85098">
        <w:rPr>
          <w:rFonts w:ascii="Arial" w:hAnsi="Arial" w:cs="Arial"/>
          <w:shd w:val="clear" w:color="auto" w:fill="FFFFFF"/>
        </w:rPr>
        <w:t>.</w:t>
      </w:r>
      <w:r w:rsidR="00153F25" w:rsidRPr="00B85098">
        <w:rPr>
          <w:rFonts w:ascii="Arial" w:hAnsi="Arial" w:cs="Arial"/>
          <w:shd w:val="clear" w:color="auto" w:fill="FFFFFF"/>
        </w:rPr>
        <w:t xml:space="preserve"> </w:t>
      </w:r>
      <w:r w:rsidRPr="00B85098">
        <w:rPr>
          <w:rFonts w:ascii="Arial" w:hAnsi="Arial" w:cs="Arial"/>
          <w:i/>
          <w:iCs/>
          <w:shd w:val="clear" w:color="auto" w:fill="FFFFFF"/>
        </w:rPr>
        <w:t>Before a question of law may be reserved under </w:t>
      </w:r>
      <w:r w:rsidRPr="00CA5514">
        <w:rPr>
          <w:rStyle w:val="Hyperlink"/>
          <w:rFonts w:ascii="Arial" w:hAnsi="Arial" w:cs="Arial"/>
          <w:i/>
          <w:iCs/>
          <w:color w:val="auto"/>
          <w:u w:val="none"/>
          <w:shd w:val="clear" w:color="auto" w:fill="FFFFFF"/>
        </w:rPr>
        <w:t>s 319</w:t>
      </w:r>
      <w:r w:rsidRPr="00B85098">
        <w:rPr>
          <w:rFonts w:ascii="Arial" w:hAnsi="Arial" w:cs="Arial"/>
          <w:i/>
          <w:iCs/>
          <w:shd w:val="clear" w:color="auto" w:fill="FFFFFF"/>
        </w:rPr>
        <w:t> three requisites must be met. First, it is essential that the question is framed accurately leaving no doubt what the legal point is. Secondly, the facts upon which the point hinges must be clear. Thirdly, they should be set out fully in the record together with the question of law</w:t>
      </w:r>
      <w:r w:rsidR="00947EFF" w:rsidRPr="004F3EF6">
        <w:rPr>
          <w:rFonts w:ascii="Arial" w:hAnsi="Arial" w:cs="Arial"/>
        </w:rPr>
        <w:t>.</w:t>
      </w:r>
      <w:r w:rsidRPr="004F3EF6">
        <w:rPr>
          <w:rFonts w:ascii="Arial" w:hAnsi="Arial" w:cs="Arial"/>
        </w:rPr>
        <w:t>’</w:t>
      </w:r>
      <w:r w:rsidR="00947EFF" w:rsidRPr="002560F3">
        <w:rPr>
          <w:rFonts w:ascii="Arial" w:hAnsi="Arial" w:cs="Arial"/>
          <w:i/>
        </w:rPr>
        <w:t xml:space="preserve"> </w:t>
      </w:r>
      <w:r w:rsidR="00153F25" w:rsidRPr="002560F3">
        <w:rPr>
          <w:rFonts w:ascii="Arial" w:hAnsi="Arial" w:cs="Arial"/>
          <w:iCs/>
        </w:rPr>
        <w:t>(My emphasis.)</w:t>
      </w:r>
      <w:r w:rsidR="00CA5514" w:rsidRPr="00CA5514">
        <w:rPr>
          <w:rFonts w:ascii="Arial" w:hAnsi="Arial" w:cs="Arial"/>
          <w:shd w:val="clear" w:color="auto" w:fill="FFFFFF"/>
        </w:rPr>
        <w:t xml:space="preserve"> </w:t>
      </w:r>
      <w:r w:rsidR="00CA5514" w:rsidRPr="00B85098">
        <w:rPr>
          <w:rFonts w:ascii="Arial" w:hAnsi="Arial" w:cs="Arial"/>
          <w:shd w:val="clear" w:color="auto" w:fill="FFFFFF"/>
        </w:rPr>
        <w:t>(Footnote</w:t>
      </w:r>
      <w:r w:rsidR="00CA5514">
        <w:rPr>
          <w:rFonts w:ascii="Arial" w:hAnsi="Arial" w:cs="Arial"/>
          <w:shd w:val="clear" w:color="auto" w:fill="FFFFFF"/>
        </w:rPr>
        <w:t>s</w:t>
      </w:r>
      <w:r w:rsidR="00CA5514" w:rsidRPr="00B85098">
        <w:rPr>
          <w:rFonts w:ascii="Arial" w:hAnsi="Arial" w:cs="Arial"/>
          <w:shd w:val="clear" w:color="auto" w:fill="FFFFFF"/>
        </w:rPr>
        <w:t xml:space="preserve"> omitted.)</w:t>
      </w:r>
    </w:p>
    <w:p w14:paraId="786160A3" w14:textId="18D62E43" w:rsidR="00947EFF" w:rsidRPr="002560F3" w:rsidRDefault="00947EFF" w:rsidP="00D44002">
      <w:pPr>
        <w:spacing w:after="0" w:line="360" w:lineRule="auto"/>
        <w:contextualSpacing/>
        <w:jc w:val="both"/>
        <w:rPr>
          <w:rFonts w:ascii="Arial" w:hAnsi="Arial" w:cs="Arial"/>
          <w:sz w:val="24"/>
          <w:szCs w:val="24"/>
        </w:rPr>
      </w:pPr>
      <w:r w:rsidRPr="002560F3">
        <w:rPr>
          <w:rFonts w:ascii="Arial" w:hAnsi="Arial" w:cs="Arial"/>
          <w:sz w:val="24"/>
          <w:szCs w:val="24"/>
        </w:rPr>
        <w:t>And at para</w:t>
      </w:r>
      <w:r w:rsidR="00C34A44" w:rsidRPr="002560F3">
        <w:rPr>
          <w:rFonts w:ascii="Arial" w:hAnsi="Arial" w:cs="Arial"/>
          <w:sz w:val="24"/>
          <w:szCs w:val="24"/>
        </w:rPr>
        <w:t xml:space="preserve"> </w:t>
      </w:r>
      <w:r w:rsidRPr="002560F3">
        <w:rPr>
          <w:rFonts w:ascii="Arial" w:hAnsi="Arial" w:cs="Arial"/>
          <w:sz w:val="24"/>
          <w:szCs w:val="24"/>
        </w:rPr>
        <w:t>40 the court said:</w:t>
      </w:r>
    </w:p>
    <w:p w14:paraId="4AC54AB8" w14:textId="743F7BE4" w:rsidR="00947EFF" w:rsidRPr="002560F3" w:rsidRDefault="00153F25" w:rsidP="00D44002">
      <w:pPr>
        <w:autoSpaceDE w:val="0"/>
        <w:autoSpaceDN w:val="0"/>
        <w:adjustRightInd w:val="0"/>
        <w:spacing w:after="0" w:line="360" w:lineRule="auto"/>
        <w:contextualSpacing/>
        <w:jc w:val="both"/>
        <w:rPr>
          <w:rFonts w:ascii="Arial" w:hAnsi="Arial" w:cs="Arial"/>
          <w:i/>
        </w:rPr>
      </w:pPr>
      <w:r w:rsidRPr="002560F3">
        <w:rPr>
          <w:rFonts w:ascii="Arial" w:hAnsi="Arial" w:cs="Arial"/>
          <w:iCs/>
        </w:rPr>
        <w:t>‘</w:t>
      </w:r>
      <w:r w:rsidRPr="00B85098">
        <w:rPr>
          <w:rFonts w:ascii="Arial" w:hAnsi="Arial" w:cs="Arial"/>
          <w:i/>
          <w:shd w:val="clear" w:color="auto" w:fill="FFFFFF"/>
        </w:rPr>
        <w:t>Unless the State does this, it may not be possible for a court of appeal to establish with certainty what the conclusions on the legal point, which the trial court arrived at, are. Where it is unclear from the judgment of the trial court what its findings of fact are, it is therefore necessary to request the trial judge to clarify its factual findings.</w:t>
      </w:r>
      <w:r w:rsidR="002B5326" w:rsidRPr="00B85098">
        <w:rPr>
          <w:rFonts w:ascii="Arial" w:hAnsi="Arial" w:cs="Arial"/>
          <w:i/>
          <w:shd w:val="clear" w:color="auto" w:fill="FFFFFF"/>
        </w:rPr>
        <w:t xml:space="preserve"> </w:t>
      </w:r>
      <w:r w:rsidRPr="00B85098">
        <w:rPr>
          <w:rFonts w:ascii="Arial" w:hAnsi="Arial" w:cs="Arial"/>
          <w:i/>
          <w:shd w:val="clear" w:color="auto" w:fill="FFFFFF"/>
        </w:rPr>
        <w:t>Where this is not done, the point of law is not properly reserved</w:t>
      </w:r>
      <w:r w:rsidR="00947EFF" w:rsidRPr="002560F3">
        <w:rPr>
          <w:rFonts w:ascii="Arial" w:hAnsi="Arial" w:cs="Arial"/>
          <w:i/>
        </w:rPr>
        <w:t>.</w:t>
      </w:r>
      <w:r w:rsidRPr="002560F3">
        <w:rPr>
          <w:rFonts w:ascii="Arial" w:hAnsi="Arial" w:cs="Arial"/>
          <w:iCs/>
        </w:rPr>
        <w:t>’ (My emphasis.)</w:t>
      </w:r>
      <w:r w:rsidR="00CA5514" w:rsidRPr="00CA5514">
        <w:rPr>
          <w:rFonts w:ascii="Arial" w:hAnsi="Arial" w:cs="Arial"/>
          <w:shd w:val="clear" w:color="auto" w:fill="FFFFFF"/>
        </w:rPr>
        <w:t xml:space="preserve"> </w:t>
      </w:r>
      <w:r w:rsidR="00CA5514" w:rsidRPr="00B85098">
        <w:rPr>
          <w:rFonts w:ascii="Arial" w:hAnsi="Arial" w:cs="Arial"/>
          <w:shd w:val="clear" w:color="auto" w:fill="FFFFFF"/>
        </w:rPr>
        <w:t>(Footnote</w:t>
      </w:r>
      <w:r w:rsidR="00CA5514">
        <w:rPr>
          <w:rFonts w:ascii="Arial" w:hAnsi="Arial" w:cs="Arial"/>
          <w:shd w:val="clear" w:color="auto" w:fill="FFFFFF"/>
        </w:rPr>
        <w:t>s</w:t>
      </w:r>
      <w:r w:rsidR="00CA5514" w:rsidRPr="00B85098">
        <w:rPr>
          <w:rFonts w:ascii="Arial" w:hAnsi="Arial" w:cs="Arial"/>
          <w:shd w:val="clear" w:color="auto" w:fill="FFFFFF"/>
        </w:rPr>
        <w:t xml:space="preserve"> omitted.)</w:t>
      </w:r>
    </w:p>
    <w:p w14:paraId="311AC887" w14:textId="77777777" w:rsidR="00907F40" w:rsidRDefault="00907F40" w:rsidP="00D44002">
      <w:pPr>
        <w:spacing w:after="0" w:line="360" w:lineRule="auto"/>
        <w:contextualSpacing/>
        <w:jc w:val="both"/>
        <w:rPr>
          <w:rFonts w:ascii="Arial" w:hAnsi="Arial" w:cs="Arial"/>
          <w:b/>
          <w:bCs/>
          <w:sz w:val="24"/>
          <w:szCs w:val="24"/>
        </w:rPr>
      </w:pPr>
    </w:p>
    <w:p w14:paraId="1113C349" w14:textId="419A9E30" w:rsidR="00AE5B18" w:rsidRPr="002560F3" w:rsidRDefault="00AE5B18" w:rsidP="00D44002">
      <w:pPr>
        <w:spacing w:after="0" w:line="360" w:lineRule="auto"/>
        <w:contextualSpacing/>
        <w:jc w:val="both"/>
        <w:rPr>
          <w:rFonts w:ascii="Arial" w:hAnsi="Arial" w:cs="Arial"/>
          <w:sz w:val="24"/>
          <w:szCs w:val="24"/>
        </w:rPr>
      </w:pPr>
      <w:r w:rsidRPr="002560F3">
        <w:rPr>
          <w:rFonts w:ascii="Arial" w:hAnsi="Arial" w:cs="Arial"/>
          <w:b/>
          <w:bCs/>
          <w:sz w:val="24"/>
          <w:szCs w:val="24"/>
        </w:rPr>
        <w:t>Application</w:t>
      </w:r>
      <w:r w:rsidR="00253087" w:rsidRPr="002560F3">
        <w:rPr>
          <w:rFonts w:ascii="Arial" w:hAnsi="Arial" w:cs="Arial"/>
          <w:b/>
          <w:bCs/>
          <w:sz w:val="24"/>
          <w:szCs w:val="24"/>
        </w:rPr>
        <w:t xml:space="preserve"> </w:t>
      </w:r>
      <w:r w:rsidRPr="002560F3">
        <w:rPr>
          <w:rFonts w:ascii="Arial" w:hAnsi="Arial" w:cs="Arial"/>
          <w:b/>
          <w:bCs/>
          <w:sz w:val="24"/>
          <w:szCs w:val="24"/>
        </w:rPr>
        <w:t xml:space="preserve">for condonation by the </w:t>
      </w:r>
      <w:r w:rsidR="000D72E2">
        <w:rPr>
          <w:rFonts w:ascii="Arial" w:hAnsi="Arial" w:cs="Arial"/>
          <w:b/>
          <w:bCs/>
          <w:sz w:val="24"/>
          <w:szCs w:val="24"/>
        </w:rPr>
        <w:t>S</w:t>
      </w:r>
      <w:r w:rsidRPr="002560F3">
        <w:rPr>
          <w:rFonts w:ascii="Arial" w:hAnsi="Arial" w:cs="Arial"/>
          <w:b/>
          <w:bCs/>
          <w:sz w:val="24"/>
          <w:szCs w:val="24"/>
        </w:rPr>
        <w:t>tate for not setting out the facts fully in its s 319 application</w:t>
      </w:r>
    </w:p>
    <w:p w14:paraId="134D092D" w14:textId="1DF6F8E9" w:rsidR="00FD7796" w:rsidRPr="002560F3" w:rsidRDefault="0087346D" w:rsidP="004F3EF6">
      <w:pPr>
        <w:autoSpaceDE w:val="0"/>
        <w:autoSpaceDN w:val="0"/>
        <w:adjustRightInd w:val="0"/>
        <w:spacing w:after="0" w:line="360" w:lineRule="auto"/>
        <w:contextualSpacing/>
        <w:jc w:val="both"/>
        <w:rPr>
          <w:rFonts w:ascii="Arial" w:hAnsi="Arial" w:cs="Arial"/>
          <w:sz w:val="24"/>
          <w:szCs w:val="24"/>
        </w:rPr>
      </w:pPr>
      <w:r w:rsidRPr="002560F3">
        <w:rPr>
          <w:rFonts w:ascii="Arial" w:hAnsi="Arial" w:cs="Arial"/>
          <w:sz w:val="24"/>
          <w:szCs w:val="24"/>
        </w:rPr>
        <w:t>[20</w:t>
      </w:r>
      <w:r w:rsidR="00FD7796" w:rsidRPr="002560F3">
        <w:rPr>
          <w:rFonts w:ascii="Arial" w:hAnsi="Arial" w:cs="Arial"/>
          <w:sz w:val="24"/>
          <w:szCs w:val="24"/>
        </w:rPr>
        <w:t>]</w:t>
      </w:r>
      <w:r w:rsidR="00FD7796" w:rsidRPr="002560F3">
        <w:rPr>
          <w:rFonts w:ascii="Arial" w:hAnsi="Arial" w:cs="Arial"/>
          <w:sz w:val="24"/>
          <w:szCs w:val="24"/>
        </w:rPr>
        <w:tab/>
        <w:t>On the first day of the hearing, the State’s application in terms of s 319 for the reservation of the questions of law, which served before the trial court</w:t>
      </w:r>
      <w:r w:rsidR="004920CE">
        <w:rPr>
          <w:rFonts w:ascii="Arial" w:hAnsi="Arial" w:cs="Arial"/>
          <w:sz w:val="24"/>
          <w:szCs w:val="24"/>
        </w:rPr>
        <w:t>,</w:t>
      </w:r>
      <w:r w:rsidR="00FD7796" w:rsidRPr="002560F3">
        <w:rPr>
          <w:rFonts w:ascii="Arial" w:hAnsi="Arial" w:cs="Arial"/>
          <w:sz w:val="24"/>
          <w:szCs w:val="24"/>
        </w:rPr>
        <w:t xml:space="preserve"> was not part of the record. The State asserted that it was not necessary for this Court to have sight of that application, as it was only the petition that had to be adjudicated upon. This </w:t>
      </w:r>
      <w:r w:rsidR="000D72E2">
        <w:rPr>
          <w:rFonts w:ascii="Arial" w:hAnsi="Arial" w:cs="Arial"/>
          <w:sz w:val="24"/>
          <w:szCs w:val="24"/>
        </w:rPr>
        <w:t>C</w:t>
      </w:r>
      <w:r w:rsidR="00FD7796" w:rsidRPr="002560F3">
        <w:rPr>
          <w:rFonts w:ascii="Arial" w:hAnsi="Arial" w:cs="Arial"/>
          <w:sz w:val="24"/>
          <w:szCs w:val="24"/>
        </w:rPr>
        <w:t xml:space="preserve">ourt deemed it necessary that the s 319 application be placed before </w:t>
      </w:r>
      <w:r w:rsidR="000D72E2">
        <w:rPr>
          <w:rFonts w:ascii="Arial" w:hAnsi="Arial" w:cs="Arial"/>
          <w:sz w:val="24"/>
          <w:szCs w:val="24"/>
        </w:rPr>
        <w:t>it</w:t>
      </w:r>
      <w:r w:rsidR="00FD7796" w:rsidRPr="002560F3">
        <w:rPr>
          <w:rFonts w:ascii="Arial" w:hAnsi="Arial" w:cs="Arial"/>
          <w:sz w:val="24"/>
          <w:szCs w:val="24"/>
        </w:rPr>
        <w:t>, and the matter was then postponed for 24 November 2020 for that purpose. In my view, the s 319 application that the State brought before the trial court</w:t>
      </w:r>
      <w:r w:rsidR="00BB2404" w:rsidRPr="002560F3">
        <w:rPr>
          <w:rFonts w:ascii="Arial" w:hAnsi="Arial" w:cs="Arial"/>
          <w:sz w:val="24"/>
          <w:szCs w:val="24"/>
        </w:rPr>
        <w:t xml:space="preserve">, </w:t>
      </w:r>
      <w:r w:rsidR="000D72E2">
        <w:rPr>
          <w:rFonts w:ascii="Arial" w:hAnsi="Arial" w:cs="Arial"/>
          <w:sz w:val="24"/>
          <w:szCs w:val="24"/>
        </w:rPr>
        <w:t>‘</w:t>
      </w:r>
      <w:r w:rsidR="00BB2404" w:rsidRPr="002560F3">
        <w:rPr>
          <w:rFonts w:ascii="Arial" w:hAnsi="Arial" w:cs="Arial"/>
          <w:sz w:val="24"/>
          <w:szCs w:val="24"/>
        </w:rPr>
        <w:t>the first</w:t>
      </w:r>
      <w:r w:rsidR="004920CE">
        <w:rPr>
          <w:rFonts w:ascii="Arial" w:hAnsi="Arial" w:cs="Arial"/>
          <w:sz w:val="24"/>
          <w:szCs w:val="24"/>
        </w:rPr>
        <w:t>-</w:t>
      </w:r>
      <w:r w:rsidR="00BB2404" w:rsidRPr="002560F3">
        <w:rPr>
          <w:rFonts w:ascii="Arial" w:hAnsi="Arial" w:cs="Arial"/>
          <w:sz w:val="24"/>
          <w:szCs w:val="24"/>
        </w:rPr>
        <w:t>mentioned court</w:t>
      </w:r>
      <w:r w:rsidR="000D72E2">
        <w:rPr>
          <w:rFonts w:ascii="Arial" w:hAnsi="Arial" w:cs="Arial"/>
          <w:sz w:val="24"/>
          <w:szCs w:val="24"/>
        </w:rPr>
        <w:t>’</w:t>
      </w:r>
      <w:r w:rsidR="00BB2404" w:rsidRPr="002560F3">
        <w:rPr>
          <w:rFonts w:ascii="Arial" w:hAnsi="Arial" w:cs="Arial"/>
          <w:sz w:val="24"/>
          <w:szCs w:val="24"/>
        </w:rPr>
        <w:t xml:space="preserve">, </w:t>
      </w:r>
      <w:r w:rsidR="00FD7796" w:rsidRPr="002560F3">
        <w:rPr>
          <w:rFonts w:ascii="Arial" w:hAnsi="Arial" w:cs="Arial"/>
          <w:sz w:val="24"/>
          <w:szCs w:val="24"/>
        </w:rPr>
        <w:t xml:space="preserve">was of </w:t>
      </w:r>
      <w:r w:rsidR="004920CE">
        <w:rPr>
          <w:rFonts w:ascii="Arial" w:hAnsi="Arial" w:cs="Arial"/>
          <w:sz w:val="24"/>
          <w:szCs w:val="24"/>
        </w:rPr>
        <w:t xml:space="preserve">the </w:t>
      </w:r>
      <w:r w:rsidR="00FD7796" w:rsidRPr="002560F3">
        <w:rPr>
          <w:rFonts w:ascii="Arial" w:hAnsi="Arial" w:cs="Arial"/>
          <w:sz w:val="24"/>
          <w:szCs w:val="24"/>
        </w:rPr>
        <w:t>utmost importance</w:t>
      </w:r>
      <w:r w:rsidR="004920CE">
        <w:rPr>
          <w:rFonts w:ascii="Arial" w:hAnsi="Arial" w:cs="Arial"/>
          <w:sz w:val="24"/>
          <w:szCs w:val="24"/>
        </w:rPr>
        <w:t>,</w:t>
      </w:r>
      <w:r w:rsidR="00FD7796" w:rsidRPr="002560F3">
        <w:rPr>
          <w:rFonts w:ascii="Arial" w:hAnsi="Arial" w:cs="Arial"/>
          <w:sz w:val="24"/>
          <w:szCs w:val="24"/>
        </w:rPr>
        <w:t xml:space="preserve"> as it would serve to indicate the grounds upon which the State had sought to reserve the points of law. </w:t>
      </w:r>
    </w:p>
    <w:p w14:paraId="71BFBDF4" w14:textId="77777777" w:rsidR="005263EE" w:rsidRPr="002560F3" w:rsidRDefault="005263EE" w:rsidP="004F3EF6">
      <w:pPr>
        <w:spacing w:after="0" w:line="360" w:lineRule="auto"/>
        <w:contextualSpacing/>
        <w:jc w:val="both"/>
        <w:rPr>
          <w:rFonts w:ascii="Arial" w:hAnsi="Arial" w:cs="Arial"/>
          <w:sz w:val="24"/>
          <w:szCs w:val="24"/>
        </w:rPr>
      </w:pPr>
    </w:p>
    <w:p w14:paraId="2DFF4A87" w14:textId="725C7A37" w:rsidR="007C59BD" w:rsidRDefault="00FD7796" w:rsidP="004F3EF6">
      <w:pPr>
        <w:spacing w:after="0" w:line="360" w:lineRule="auto"/>
        <w:contextualSpacing/>
        <w:jc w:val="both"/>
        <w:rPr>
          <w:rFonts w:ascii="Arial" w:hAnsi="Arial" w:cs="Arial"/>
          <w:sz w:val="24"/>
          <w:szCs w:val="24"/>
        </w:rPr>
      </w:pPr>
      <w:r w:rsidRPr="00115803">
        <w:rPr>
          <w:rFonts w:ascii="Arial" w:hAnsi="Arial" w:cs="Arial"/>
          <w:sz w:val="24"/>
          <w:szCs w:val="24"/>
        </w:rPr>
        <w:t>[</w:t>
      </w:r>
      <w:r w:rsidR="0087346D" w:rsidRPr="00115803">
        <w:rPr>
          <w:rFonts w:ascii="Arial" w:hAnsi="Arial" w:cs="Arial"/>
          <w:sz w:val="24"/>
          <w:szCs w:val="24"/>
        </w:rPr>
        <w:t>21</w:t>
      </w:r>
      <w:r w:rsidRPr="00115803">
        <w:rPr>
          <w:rFonts w:ascii="Arial" w:hAnsi="Arial" w:cs="Arial"/>
          <w:sz w:val="24"/>
          <w:szCs w:val="24"/>
        </w:rPr>
        <w:t>]</w:t>
      </w:r>
      <w:r w:rsidRPr="00115803">
        <w:rPr>
          <w:rFonts w:ascii="Arial" w:hAnsi="Arial" w:cs="Arial"/>
          <w:sz w:val="24"/>
          <w:szCs w:val="24"/>
        </w:rPr>
        <w:tab/>
        <w:t xml:space="preserve">An examination of the s 319 </w:t>
      </w:r>
      <w:r w:rsidR="00BB2404" w:rsidRPr="00115803">
        <w:rPr>
          <w:rFonts w:ascii="Arial" w:hAnsi="Arial" w:cs="Arial"/>
          <w:sz w:val="24"/>
          <w:szCs w:val="24"/>
        </w:rPr>
        <w:t xml:space="preserve">application </w:t>
      </w:r>
      <w:r w:rsidRPr="00115803">
        <w:rPr>
          <w:rFonts w:ascii="Arial" w:hAnsi="Arial" w:cs="Arial"/>
          <w:sz w:val="24"/>
          <w:szCs w:val="24"/>
        </w:rPr>
        <w:t xml:space="preserve">before Hattingh AJ revealed that the grounds upon which the questions of law were sought to be reserved by the State were set out in a summary form of the evidence of the trial court, but the factual basis upon </w:t>
      </w:r>
      <w:r w:rsidRPr="00115803">
        <w:rPr>
          <w:rFonts w:ascii="Arial" w:hAnsi="Arial" w:cs="Arial"/>
          <w:sz w:val="24"/>
          <w:szCs w:val="24"/>
        </w:rPr>
        <w:lastRenderedPageBreak/>
        <w:t>which they supposedly pivot were not.</w:t>
      </w:r>
      <w:r w:rsidR="00775E00" w:rsidRPr="00115803">
        <w:rPr>
          <w:rStyle w:val="FootnoteReference"/>
          <w:rFonts w:ascii="Arial" w:hAnsi="Arial" w:cs="Arial"/>
          <w:sz w:val="24"/>
          <w:szCs w:val="24"/>
        </w:rPr>
        <w:footnoteReference w:id="4"/>
      </w:r>
      <w:r w:rsidRPr="00115803">
        <w:rPr>
          <w:rFonts w:ascii="Arial" w:hAnsi="Arial" w:cs="Arial"/>
          <w:sz w:val="24"/>
          <w:szCs w:val="24"/>
        </w:rPr>
        <w:t xml:space="preserve"> </w:t>
      </w:r>
      <w:r w:rsidR="005263EE" w:rsidRPr="00115803">
        <w:rPr>
          <w:rFonts w:ascii="Arial" w:hAnsi="Arial" w:cs="Arial"/>
          <w:sz w:val="24"/>
          <w:szCs w:val="24"/>
        </w:rPr>
        <w:t xml:space="preserve">The State did not set out the factual findings on which the reserved questions of law ought to have been considered. </w:t>
      </w:r>
      <w:r w:rsidR="007A1A03" w:rsidRPr="00115803">
        <w:rPr>
          <w:rFonts w:ascii="Arial" w:hAnsi="Arial" w:cs="Arial"/>
          <w:sz w:val="24"/>
          <w:szCs w:val="24"/>
        </w:rPr>
        <w:t>Thus</w:t>
      </w:r>
      <w:r w:rsidR="00967A28" w:rsidRPr="00115803">
        <w:rPr>
          <w:rFonts w:ascii="Arial" w:hAnsi="Arial" w:cs="Arial"/>
          <w:sz w:val="24"/>
          <w:szCs w:val="24"/>
        </w:rPr>
        <w:t>,</w:t>
      </w:r>
      <w:r w:rsidR="007A1A03" w:rsidRPr="00115803">
        <w:rPr>
          <w:rFonts w:ascii="Arial" w:hAnsi="Arial" w:cs="Arial"/>
          <w:sz w:val="24"/>
          <w:szCs w:val="24"/>
        </w:rPr>
        <w:t xml:space="preserve"> the f</w:t>
      </w:r>
      <w:r w:rsidR="000076C2" w:rsidRPr="00115803">
        <w:rPr>
          <w:rFonts w:ascii="Arial" w:hAnsi="Arial" w:cs="Arial"/>
          <w:sz w:val="24"/>
          <w:szCs w:val="24"/>
        </w:rPr>
        <w:t>acts upon which the point hinged were not clear, nor were they fully set out by the State.</w:t>
      </w:r>
      <w:r w:rsidR="000076C2" w:rsidRPr="002560F3">
        <w:rPr>
          <w:rFonts w:ascii="Arial" w:hAnsi="Arial" w:cs="Arial"/>
          <w:sz w:val="24"/>
          <w:szCs w:val="24"/>
        </w:rPr>
        <w:t xml:space="preserve"> </w:t>
      </w:r>
      <w:r w:rsidR="005263EE" w:rsidRPr="002560F3">
        <w:rPr>
          <w:rFonts w:ascii="Arial" w:hAnsi="Arial" w:cs="Arial"/>
          <w:sz w:val="24"/>
          <w:szCs w:val="24"/>
        </w:rPr>
        <w:t xml:space="preserve">It is </w:t>
      </w:r>
      <w:r w:rsidR="007A1A03" w:rsidRPr="002560F3">
        <w:rPr>
          <w:rFonts w:ascii="Arial" w:hAnsi="Arial" w:cs="Arial"/>
          <w:sz w:val="24"/>
          <w:szCs w:val="24"/>
        </w:rPr>
        <w:t xml:space="preserve">also </w:t>
      </w:r>
      <w:r w:rsidR="005263EE" w:rsidRPr="002560F3">
        <w:rPr>
          <w:rFonts w:ascii="Arial" w:hAnsi="Arial" w:cs="Arial"/>
          <w:sz w:val="24"/>
          <w:szCs w:val="24"/>
        </w:rPr>
        <w:t>not ce</w:t>
      </w:r>
      <w:r w:rsidR="007A1A03" w:rsidRPr="002560F3">
        <w:rPr>
          <w:rFonts w:ascii="Arial" w:hAnsi="Arial" w:cs="Arial"/>
          <w:sz w:val="24"/>
          <w:szCs w:val="24"/>
        </w:rPr>
        <w:t>r</w:t>
      </w:r>
      <w:r w:rsidR="005263EE" w:rsidRPr="002560F3">
        <w:rPr>
          <w:rFonts w:ascii="Arial" w:hAnsi="Arial" w:cs="Arial"/>
          <w:sz w:val="24"/>
          <w:szCs w:val="24"/>
        </w:rPr>
        <w:t xml:space="preserve">tain from the trial court’s judgment </w:t>
      </w:r>
      <w:r w:rsidR="007C59BD" w:rsidRPr="002560F3">
        <w:rPr>
          <w:rFonts w:ascii="Arial" w:hAnsi="Arial" w:cs="Arial"/>
          <w:sz w:val="24"/>
          <w:szCs w:val="24"/>
        </w:rPr>
        <w:t xml:space="preserve">on the merits </w:t>
      </w:r>
      <w:r w:rsidR="005263EE" w:rsidRPr="002560F3">
        <w:rPr>
          <w:rFonts w:ascii="Arial" w:hAnsi="Arial" w:cs="Arial"/>
          <w:sz w:val="24"/>
          <w:szCs w:val="24"/>
        </w:rPr>
        <w:t xml:space="preserve">which facts it accepted to be the facts proved in this case. </w:t>
      </w:r>
      <w:r w:rsidR="007A1A03" w:rsidRPr="002560F3">
        <w:rPr>
          <w:rFonts w:ascii="Arial" w:hAnsi="Arial" w:cs="Arial"/>
          <w:sz w:val="24"/>
          <w:szCs w:val="24"/>
        </w:rPr>
        <w:t xml:space="preserve">In these circumstances the </w:t>
      </w:r>
      <w:r w:rsidR="00855E5A">
        <w:rPr>
          <w:rFonts w:ascii="Arial" w:hAnsi="Arial" w:cs="Arial"/>
          <w:sz w:val="24"/>
          <w:szCs w:val="24"/>
        </w:rPr>
        <w:t>S</w:t>
      </w:r>
      <w:r w:rsidR="007A1A03" w:rsidRPr="002560F3">
        <w:rPr>
          <w:rFonts w:ascii="Arial" w:hAnsi="Arial" w:cs="Arial"/>
          <w:sz w:val="24"/>
          <w:szCs w:val="24"/>
        </w:rPr>
        <w:t>tate ought to have requested the trial court t</w:t>
      </w:r>
      <w:r w:rsidR="000076C2" w:rsidRPr="002560F3">
        <w:rPr>
          <w:rFonts w:ascii="Arial" w:hAnsi="Arial" w:cs="Arial"/>
          <w:sz w:val="24"/>
          <w:szCs w:val="24"/>
        </w:rPr>
        <w:t xml:space="preserve">o clarify its findings of facts. This the State </w:t>
      </w:r>
      <w:r w:rsidR="007A1A03" w:rsidRPr="002560F3">
        <w:rPr>
          <w:rFonts w:ascii="Arial" w:hAnsi="Arial" w:cs="Arial"/>
          <w:sz w:val="24"/>
          <w:szCs w:val="24"/>
        </w:rPr>
        <w:t xml:space="preserve">regrettably </w:t>
      </w:r>
      <w:r w:rsidR="00855E5A">
        <w:rPr>
          <w:rFonts w:ascii="Arial" w:hAnsi="Arial" w:cs="Arial"/>
          <w:sz w:val="24"/>
          <w:szCs w:val="24"/>
        </w:rPr>
        <w:t>failed to</w:t>
      </w:r>
      <w:r w:rsidR="007A1A03" w:rsidRPr="002560F3">
        <w:rPr>
          <w:rFonts w:ascii="Arial" w:hAnsi="Arial" w:cs="Arial"/>
          <w:sz w:val="24"/>
          <w:szCs w:val="24"/>
        </w:rPr>
        <w:t xml:space="preserve"> do. </w:t>
      </w:r>
      <w:r w:rsidR="007C59BD" w:rsidRPr="002560F3">
        <w:rPr>
          <w:rFonts w:ascii="Arial" w:hAnsi="Arial" w:cs="Arial"/>
          <w:sz w:val="24"/>
          <w:szCs w:val="24"/>
        </w:rPr>
        <w:t>As already mentioned, at para 40 of</w:t>
      </w:r>
      <w:r w:rsidR="00BD02C5" w:rsidRPr="002560F3">
        <w:rPr>
          <w:rFonts w:ascii="Arial" w:hAnsi="Arial" w:cs="Arial"/>
          <w:i/>
          <w:sz w:val="24"/>
          <w:szCs w:val="24"/>
        </w:rPr>
        <w:t xml:space="preserve"> Schoeman</w:t>
      </w:r>
      <w:r w:rsidR="007C59BD" w:rsidRPr="002560F3">
        <w:rPr>
          <w:rFonts w:ascii="Arial" w:hAnsi="Arial" w:cs="Arial"/>
          <w:sz w:val="24"/>
          <w:szCs w:val="24"/>
        </w:rPr>
        <w:t xml:space="preserve">, unless the State does this, it may not be possible for a court of appeal to establish with certainty what the conclusions on the legal point which the trial court arrived at, are. </w:t>
      </w:r>
      <w:r w:rsidR="007A1A03" w:rsidRPr="002560F3">
        <w:rPr>
          <w:rFonts w:ascii="Arial" w:hAnsi="Arial" w:cs="Arial"/>
          <w:sz w:val="24"/>
          <w:szCs w:val="24"/>
        </w:rPr>
        <w:t>There are thus serious shortcomings in the s</w:t>
      </w:r>
      <w:r w:rsidR="00855E5A">
        <w:rPr>
          <w:rFonts w:ascii="Arial" w:hAnsi="Arial" w:cs="Arial"/>
          <w:sz w:val="24"/>
          <w:szCs w:val="24"/>
        </w:rPr>
        <w:t xml:space="preserve"> </w:t>
      </w:r>
      <w:r w:rsidR="007A1A03" w:rsidRPr="002560F3">
        <w:rPr>
          <w:rFonts w:ascii="Arial" w:hAnsi="Arial" w:cs="Arial"/>
          <w:sz w:val="24"/>
          <w:szCs w:val="24"/>
        </w:rPr>
        <w:t xml:space="preserve">319 application brought by the State.  </w:t>
      </w:r>
    </w:p>
    <w:p w14:paraId="512EA4C9" w14:textId="77777777" w:rsidR="00081F41" w:rsidRPr="002560F3" w:rsidRDefault="00081F41" w:rsidP="004F3EF6">
      <w:pPr>
        <w:spacing w:after="0" w:line="360" w:lineRule="auto"/>
        <w:jc w:val="both"/>
        <w:rPr>
          <w:rFonts w:ascii="Arial" w:hAnsi="Arial" w:cs="Arial"/>
          <w:sz w:val="24"/>
          <w:szCs w:val="24"/>
        </w:rPr>
      </w:pPr>
    </w:p>
    <w:p w14:paraId="6FE5C946" w14:textId="3DE162EA" w:rsidR="00FD7796" w:rsidRDefault="0087346D" w:rsidP="004F3EF6">
      <w:pPr>
        <w:spacing w:after="0" w:line="360" w:lineRule="auto"/>
        <w:jc w:val="both"/>
        <w:rPr>
          <w:rFonts w:ascii="Arial" w:hAnsi="Arial" w:cs="Arial"/>
          <w:sz w:val="24"/>
          <w:szCs w:val="24"/>
        </w:rPr>
      </w:pPr>
      <w:r w:rsidRPr="002560F3">
        <w:rPr>
          <w:rFonts w:ascii="Arial" w:hAnsi="Arial" w:cs="Arial"/>
          <w:sz w:val="24"/>
          <w:szCs w:val="24"/>
        </w:rPr>
        <w:t>[22</w:t>
      </w:r>
      <w:r w:rsidR="007C59BD" w:rsidRPr="002560F3">
        <w:rPr>
          <w:rFonts w:ascii="Arial" w:hAnsi="Arial" w:cs="Arial"/>
          <w:sz w:val="24"/>
          <w:szCs w:val="24"/>
        </w:rPr>
        <w:t>]</w:t>
      </w:r>
      <w:r w:rsidR="00624502" w:rsidRPr="002560F3">
        <w:rPr>
          <w:rFonts w:ascii="Arial" w:hAnsi="Arial" w:cs="Arial"/>
          <w:sz w:val="24"/>
          <w:szCs w:val="24"/>
        </w:rPr>
        <w:tab/>
      </w:r>
      <w:r w:rsidR="007C59BD" w:rsidRPr="002560F3">
        <w:rPr>
          <w:rFonts w:ascii="Arial" w:hAnsi="Arial" w:cs="Arial"/>
          <w:sz w:val="24"/>
          <w:szCs w:val="24"/>
        </w:rPr>
        <w:t xml:space="preserve">A further problem is that it is also not apparent from </w:t>
      </w:r>
      <w:r w:rsidR="00855E5A">
        <w:rPr>
          <w:rFonts w:ascii="Arial" w:hAnsi="Arial" w:cs="Arial"/>
          <w:sz w:val="24"/>
          <w:szCs w:val="24"/>
        </w:rPr>
        <w:t>the trial court’s</w:t>
      </w:r>
      <w:r w:rsidR="007C59BD" w:rsidRPr="002560F3">
        <w:rPr>
          <w:rFonts w:ascii="Arial" w:hAnsi="Arial" w:cs="Arial"/>
          <w:sz w:val="24"/>
          <w:szCs w:val="24"/>
        </w:rPr>
        <w:t xml:space="preserve"> judgment that </w:t>
      </w:r>
      <w:r w:rsidR="00855E5A">
        <w:rPr>
          <w:rFonts w:ascii="Arial" w:hAnsi="Arial" w:cs="Arial"/>
          <w:sz w:val="24"/>
          <w:szCs w:val="24"/>
        </w:rPr>
        <w:t>it</w:t>
      </w:r>
      <w:r w:rsidR="00855E5A" w:rsidRPr="002560F3">
        <w:rPr>
          <w:rFonts w:ascii="Arial" w:hAnsi="Arial" w:cs="Arial"/>
          <w:sz w:val="24"/>
          <w:szCs w:val="24"/>
        </w:rPr>
        <w:t xml:space="preserve"> </w:t>
      </w:r>
      <w:r w:rsidR="007C59BD" w:rsidRPr="002560F3">
        <w:rPr>
          <w:rFonts w:ascii="Arial" w:hAnsi="Arial" w:cs="Arial"/>
          <w:sz w:val="24"/>
          <w:szCs w:val="24"/>
        </w:rPr>
        <w:t xml:space="preserve">considered the </w:t>
      </w:r>
      <w:r w:rsidR="00BD02C5" w:rsidRPr="002560F3">
        <w:rPr>
          <w:rFonts w:ascii="Arial" w:hAnsi="Arial" w:cs="Arial"/>
          <w:sz w:val="24"/>
          <w:szCs w:val="24"/>
        </w:rPr>
        <w:t>law relating to</w:t>
      </w:r>
      <w:r w:rsidR="00855E5A">
        <w:rPr>
          <w:rFonts w:ascii="Arial" w:hAnsi="Arial" w:cs="Arial"/>
          <w:sz w:val="24"/>
          <w:szCs w:val="24"/>
        </w:rPr>
        <w:t xml:space="preserve"> the</w:t>
      </w:r>
      <w:r w:rsidR="00BD02C5" w:rsidRPr="002560F3">
        <w:rPr>
          <w:rFonts w:ascii="Arial" w:hAnsi="Arial" w:cs="Arial"/>
          <w:sz w:val="24"/>
          <w:szCs w:val="24"/>
        </w:rPr>
        <w:t xml:space="preserve"> s</w:t>
      </w:r>
      <w:r w:rsidR="00855E5A">
        <w:rPr>
          <w:rFonts w:ascii="Arial" w:hAnsi="Arial" w:cs="Arial"/>
          <w:sz w:val="24"/>
          <w:szCs w:val="24"/>
        </w:rPr>
        <w:t xml:space="preserve"> </w:t>
      </w:r>
      <w:r w:rsidR="00BD02C5" w:rsidRPr="002560F3">
        <w:rPr>
          <w:rFonts w:ascii="Arial" w:hAnsi="Arial" w:cs="Arial"/>
          <w:sz w:val="24"/>
          <w:szCs w:val="24"/>
        </w:rPr>
        <w:t xml:space="preserve">319 applications as set out decades ago in </w:t>
      </w:r>
      <w:r w:rsidR="00BD02C5" w:rsidRPr="002560F3">
        <w:rPr>
          <w:rFonts w:ascii="Arial" w:hAnsi="Arial" w:cs="Arial"/>
          <w:i/>
          <w:sz w:val="24"/>
          <w:szCs w:val="24"/>
        </w:rPr>
        <w:t>Magidela</w:t>
      </w:r>
      <w:r w:rsidR="00BD02C5" w:rsidRPr="002560F3">
        <w:rPr>
          <w:rFonts w:ascii="Arial" w:hAnsi="Arial" w:cs="Arial"/>
          <w:sz w:val="24"/>
          <w:szCs w:val="24"/>
        </w:rPr>
        <w:t>.</w:t>
      </w:r>
      <w:r w:rsidR="007B540D">
        <w:rPr>
          <w:rFonts w:ascii="Arial" w:hAnsi="Arial" w:cs="Arial"/>
          <w:sz w:val="24"/>
          <w:szCs w:val="24"/>
        </w:rPr>
        <w:t xml:space="preserve"> The trial court</w:t>
      </w:r>
      <w:r w:rsidR="00BD02C5" w:rsidRPr="002560F3">
        <w:rPr>
          <w:rFonts w:ascii="Arial" w:hAnsi="Arial" w:cs="Arial"/>
          <w:sz w:val="24"/>
          <w:szCs w:val="24"/>
        </w:rPr>
        <w:t xml:space="preserve">, without elaborating whether the requirements as set out above were complied with by the State, </w:t>
      </w:r>
      <w:r w:rsidR="0091421A" w:rsidRPr="002560F3">
        <w:rPr>
          <w:rFonts w:ascii="Arial" w:hAnsi="Arial" w:cs="Arial"/>
          <w:sz w:val="24"/>
          <w:szCs w:val="24"/>
        </w:rPr>
        <w:t xml:space="preserve">nevertheless </w:t>
      </w:r>
      <w:r w:rsidR="00BD02C5" w:rsidRPr="002560F3">
        <w:rPr>
          <w:rFonts w:ascii="Arial" w:hAnsi="Arial" w:cs="Arial"/>
          <w:sz w:val="24"/>
          <w:szCs w:val="24"/>
        </w:rPr>
        <w:t>concluded that the State had failed to successfully raise any questions of law, and dismissed the s 319 ap</w:t>
      </w:r>
      <w:r w:rsidR="0091421A" w:rsidRPr="002560F3">
        <w:rPr>
          <w:rFonts w:ascii="Arial" w:hAnsi="Arial" w:cs="Arial"/>
          <w:sz w:val="24"/>
          <w:szCs w:val="24"/>
        </w:rPr>
        <w:t>plication, concluding</w:t>
      </w:r>
      <w:r w:rsidR="006B4729">
        <w:rPr>
          <w:rFonts w:ascii="Arial" w:hAnsi="Arial" w:cs="Arial"/>
          <w:sz w:val="24"/>
          <w:szCs w:val="24"/>
        </w:rPr>
        <w:t>,</w:t>
      </w:r>
      <w:r w:rsidR="0091421A" w:rsidRPr="002560F3">
        <w:rPr>
          <w:rFonts w:ascii="Arial" w:hAnsi="Arial" w:cs="Arial"/>
          <w:sz w:val="24"/>
          <w:szCs w:val="24"/>
        </w:rPr>
        <w:t xml:space="preserve"> inter alia</w:t>
      </w:r>
      <w:r w:rsidR="006B4729">
        <w:rPr>
          <w:rFonts w:ascii="Arial" w:hAnsi="Arial" w:cs="Arial"/>
          <w:sz w:val="24"/>
          <w:szCs w:val="24"/>
        </w:rPr>
        <w:t>,</w:t>
      </w:r>
      <w:r w:rsidR="0091421A" w:rsidRPr="002560F3">
        <w:rPr>
          <w:rFonts w:ascii="Arial" w:hAnsi="Arial" w:cs="Arial"/>
          <w:sz w:val="24"/>
          <w:szCs w:val="24"/>
        </w:rPr>
        <w:t xml:space="preserve"> as follows: </w:t>
      </w:r>
      <w:r w:rsidR="00187062" w:rsidRPr="002560F3">
        <w:rPr>
          <w:rFonts w:ascii="Arial" w:hAnsi="Arial" w:cs="Arial"/>
          <w:sz w:val="24"/>
          <w:szCs w:val="24"/>
        </w:rPr>
        <w:t>‘</w:t>
      </w:r>
      <w:r w:rsidR="0091421A" w:rsidRPr="002560F3">
        <w:rPr>
          <w:rFonts w:ascii="Arial" w:hAnsi="Arial" w:cs="Arial"/>
          <w:sz w:val="24"/>
          <w:szCs w:val="24"/>
        </w:rPr>
        <w:t>The court lastly draw</w:t>
      </w:r>
      <w:r w:rsidR="006B4729">
        <w:rPr>
          <w:rFonts w:ascii="Arial" w:hAnsi="Arial" w:cs="Arial"/>
          <w:sz w:val="24"/>
          <w:szCs w:val="24"/>
        </w:rPr>
        <w:t>[</w:t>
      </w:r>
      <w:r w:rsidR="0091421A" w:rsidRPr="002560F3">
        <w:rPr>
          <w:rFonts w:ascii="Arial" w:hAnsi="Arial" w:cs="Arial"/>
          <w:sz w:val="24"/>
          <w:szCs w:val="24"/>
        </w:rPr>
        <w:t>s</w:t>
      </w:r>
      <w:r w:rsidR="006B4729">
        <w:rPr>
          <w:rFonts w:ascii="Arial" w:hAnsi="Arial" w:cs="Arial"/>
          <w:sz w:val="24"/>
          <w:szCs w:val="24"/>
        </w:rPr>
        <w:t>]</w:t>
      </w:r>
      <w:r w:rsidR="0091421A" w:rsidRPr="002560F3">
        <w:rPr>
          <w:rFonts w:ascii="Arial" w:hAnsi="Arial" w:cs="Arial"/>
          <w:sz w:val="24"/>
          <w:szCs w:val="24"/>
        </w:rPr>
        <w:t xml:space="preserve"> attention to the Commentary on </w:t>
      </w:r>
      <w:r w:rsidR="00FD7796" w:rsidRPr="002560F3">
        <w:rPr>
          <w:rFonts w:ascii="Arial" w:hAnsi="Arial" w:cs="Arial"/>
          <w:sz w:val="24"/>
          <w:szCs w:val="24"/>
        </w:rPr>
        <w:t>the Criminal Procedure Act, series 48</w:t>
      </w:r>
      <w:r w:rsidR="0091421A" w:rsidRPr="002560F3">
        <w:rPr>
          <w:rFonts w:ascii="Arial" w:hAnsi="Arial" w:cs="Arial"/>
          <w:sz w:val="24"/>
          <w:szCs w:val="24"/>
        </w:rPr>
        <w:t>, 2012, page 31-38A where it stated</w:t>
      </w:r>
      <w:r w:rsidR="00FD7796" w:rsidRPr="002560F3">
        <w:rPr>
          <w:rFonts w:ascii="Arial" w:hAnsi="Arial" w:cs="Arial"/>
          <w:sz w:val="24"/>
          <w:szCs w:val="24"/>
        </w:rPr>
        <w:t xml:space="preserve">: </w:t>
      </w:r>
      <w:r w:rsidR="006F3997">
        <w:rPr>
          <w:rFonts w:ascii="Arial" w:hAnsi="Arial" w:cs="Arial"/>
          <w:sz w:val="24"/>
          <w:szCs w:val="24"/>
        </w:rPr>
        <w:t>“</w:t>
      </w:r>
      <w:r w:rsidR="00FD7796" w:rsidRPr="002560F3">
        <w:rPr>
          <w:rFonts w:ascii="Arial" w:hAnsi="Arial" w:cs="Arial"/>
          <w:i/>
          <w:sz w:val="24"/>
          <w:szCs w:val="24"/>
        </w:rPr>
        <w:t>It is not permissible for a</w:t>
      </w:r>
      <w:r w:rsidR="0091421A" w:rsidRPr="002560F3">
        <w:rPr>
          <w:rFonts w:ascii="Arial" w:hAnsi="Arial" w:cs="Arial"/>
          <w:i/>
          <w:sz w:val="24"/>
          <w:szCs w:val="24"/>
        </w:rPr>
        <w:t xml:space="preserve"> </w:t>
      </w:r>
      <w:r w:rsidR="00FD7796" w:rsidRPr="002560F3">
        <w:rPr>
          <w:rFonts w:ascii="Arial" w:hAnsi="Arial" w:cs="Arial"/>
          <w:i/>
          <w:sz w:val="24"/>
          <w:szCs w:val="24"/>
        </w:rPr>
        <w:t xml:space="preserve">trial judge to reserve, at the request of the state, questions which are essentially questions of fact. This restriction will not be relaxed by the fact that the trial judge considered the facts incorrectly. Furthermore, if the alleged question of law is nothing more than the question whether the judge had correctly considered the facts, this remains a question of fact which may not be reserved at the request of the </w:t>
      </w:r>
      <w:r w:rsidR="001806F3">
        <w:rPr>
          <w:rFonts w:ascii="Arial" w:hAnsi="Arial" w:cs="Arial"/>
          <w:i/>
          <w:sz w:val="24"/>
          <w:szCs w:val="24"/>
        </w:rPr>
        <w:t>S</w:t>
      </w:r>
      <w:r w:rsidR="00FD7796" w:rsidRPr="002560F3">
        <w:rPr>
          <w:rFonts w:ascii="Arial" w:hAnsi="Arial" w:cs="Arial"/>
          <w:i/>
          <w:sz w:val="24"/>
          <w:szCs w:val="24"/>
        </w:rPr>
        <w:t>tate</w:t>
      </w:r>
      <w:r w:rsidR="006F3997">
        <w:rPr>
          <w:rFonts w:ascii="Arial" w:hAnsi="Arial" w:cs="Arial"/>
          <w:i/>
          <w:sz w:val="24"/>
          <w:szCs w:val="24"/>
        </w:rPr>
        <w:t>”</w:t>
      </w:r>
      <w:r w:rsidR="0091421A" w:rsidRPr="002560F3">
        <w:rPr>
          <w:rFonts w:ascii="Arial" w:hAnsi="Arial" w:cs="Arial"/>
          <w:sz w:val="24"/>
          <w:szCs w:val="24"/>
        </w:rPr>
        <w:t xml:space="preserve"> (</w:t>
      </w:r>
      <w:r w:rsidR="0091421A" w:rsidRPr="00B85098">
        <w:rPr>
          <w:rFonts w:ascii="Arial" w:hAnsi="Arial" w:cs="Arial"/>
          <w:i/>
          <w:iCs/>
          <w:sz w:val="24"/>
          <w:szCs w:val="24"/>
        </w:rPr>
        <w:t xml:space="preserve">S v Coetzee </w:t>
      </w:r>
      <w:r w:rsidR="0091421A" w:rsidRPr="002560F3">
        <w:rPr>
          <w:rFonts w:ascii="Arial" w:hAnsi="Arial" w:cs="Arial"/>
          <w:sz w:val="24"/>
          <w:szCs w:val="24"/>
        </w:rPr>
        <w:t>1977 (4) SA 539</w:t>
      </w:r>
      <w:r w:rsidR="006F3997">
        <w:rPr>
          <w:rFonts w:ascii="Arial" w:hAnsi="Arial" w:cs="Arial"/>
          <w:sz w:val="24"/>
          <w:szCs w:val="24"/>
        </w:rPr>
        <w:t xml:space="preserve"> (A)</w:t>
      </w:r>
      <w:r w:rsidR="0091421A" w:rsidRPr="002560F3">
        <w:rPr>
          <w:rFonts w:ascii="Arial" w:hAnsi="Arial" w:cs="Arial"/>
          <w:sz w:val="24"/>
          <w:szCs w:val="24"/>
        </w:rPr>
        <w:t xml:space="preserve"> at 544H</w:t>
      </w:r>
      <w:r w:rsidR="00187062" w:rsidRPr="002560F3">
        <w:rPr>
          <w:rFonts w:ascii="Arial" w:hAnsi="Arial" w:cs="Arial"/>
          <w:sz w:val="24"/>
          <w:szCs w:val="24"/>
        </w:rPr>
        <w:t>–5</w:t>
      </w:r>
      <w:r w:rsidR="0091421A" w:rsidRPr="002560F3">
        <w:rPr>
          <w:rFonts w:ascii="Arial" w:hAnsi="Arial" w:cs="Arial"/>
          <w:sz w:val="24"/>
          <w:szCs w:val="24"/>
        </w:rPr>
        <w:t>45A)</w:t>
      </w:r>
      <w:r w:rsidR="006F3997">
        <w:rPr>
          <w:rFonts w:ascii="Arial" w:hAnsi="Arial" w:cs="Arial"/>
          <w:sz w:val="24"/>
          <w:szCs w:val="24"/>
        </w:rPr>
        <w:t>’</w:t>
      </w:r>
      <w:r w:rsidR="006B4729">
        <w:rPr>
          <w:rFonts w:ascii="Arial" w:hAnsi="Arial" w:cs="Arial"/>
          <w:sz w:val="24"/>
          <w:szCs w:val="24"/>
        </w:rPr>
        <w:t>.</w:t>
      </w:r>
      <w:r w:rsidR="009E724A">
        <w:rPr>
          <w:rFonts w:ascii="Arial" w:hAnsi="Arial" w:cs="Arial"/>
          <w:sz w:val="24"/>
          <w:szCs w:val="24"/>
        </w:rPr>
        <w:t xml:space="preserve"> (Emphasis added by trial court.)</w:t>
      </w:r>
    </w:p>
    <w:p w14:paraId="246074DB" w14:textId="77777777" w:rsidR="005C54A6" w:rsidRPr="002560F3" w:rsidRDefault="005C54A6" w:rsidP="005C54A6">
      <w:pPr>
        <w:spacing w:after="0" w:line="360" w:lineRule="auto"/>
        <w:jc w:val="both"/>
        <w:rPr>
          <w:rFonts w:ascii="Arial" w:hAnsi="Arial" w:cs="Arial"/>
          <w:sz w:val="24"/>
          <w:szCs w:val="24"/>
        </w:rPr>
      </w:pPr>
    </w:p>
    <w:p w14:paraId="4DF8E841" w14:textId="30EF1286" w:rsidR="00374B91" w:rsidRDefault="00517374" w:rsidP="004F3EF6">
      <w:pPr>
        <w:spacing w:after="0" w:line="360" w:lineRule="auto"/>
        <w:contextualSpacing/>
        <w:jc w:val="both"/>
        <w:rPr>
          <w:rFonts w:ascii="Arial" w:hAnsi="Arial" w:cs="Arial"/>
          <w:sz w:val="24"/>
          <w:szCs w:val="24"/>
        </w:rPr>
      </w:pPr>
      <w:r w:rsidRPr="002560F3">
        <w:rPr>
          <w:rFonts w:ascii="Arial" w:hAnsi="Arial" w:cs="Arial"/>
          <w:sz w:val="24"/>
          <w:szCs w:val="24"/>
        </w:rPr>
        <w:lastRenderedPageBreak/>
        <w:t>[23</w:t>
      </w:r>
      <w:r w:rsidR="00374B91" w:rsidRPr="002560F3">
        <w:rPr>
          <w:rFonts w:ascii="Arial" w:hAnsi="Arial" w:cs="Arial"/>
          <w:sz w:val="24"/>
          <w:szCs w:val="24"/>
        </w:rPr>
        <w:t>]</w:t>
      </w:r>
      <w:r w:rsidR="00AE5B18" w:rsidRPr="002560F3">
        <w:rPr>
          <w:rFonts w:ascii="Arial" w:hAnsi="Arial" w:cs="Arial"/>
          <w:sz w:val="24"/>
          <w:szCs w:val="24"/>
        </w:rPr>
        <w:tab/>
      </w:r>
      <w:r w:rsidR="00374B91" w:rsidRPr="002560F3">
        <w:rPr>
          <w:rFonts w:ascii="Arial" w:hAnsi="Arial" w:cs="Arial"/>
          <w:sz w:val="24"/>
          <w:szCs w:val="24"/>
        </w:rPr>
        <w:t>Ms Coetz</w:t>
      </w:r>
      <w:r w:rsidR="007419DB" w:rsidRPr="002560F3">
        <w:rPr>
          <w:rFonts w:ascii="Arial" w:hAnsi="Arial" w:cs="Arial"/>
          <w:sz w:val="24"/>
          <w:szCs w:val="24"/>
        </w:rPr>
        <w:t>ee</w:t>
      </w:r>
      <w:r w:rsidR="001806F3">
        <w:rPr>
          <w:rFonts w:ascii="Arial" w:hAnsi="Arial" w:cs="Arial"/>
          <w:sz w:val="24"/>
          <w:szCs w:val="24"/>
        </w:rPr>
        <w:t>,</w:t>
      </w:r>
      <w:r w:rsidR="007419DB" w:rsidRPr="002560F3">
        <w:rPr>
          <w:rFonts w:ascii="Arial" w:hAnsi="Arial" w:cs="Arial"/>
          <w:sz w:val="24"/>
          <w:szCs w:val="24"/>
        </w:rPr>
        <w:t xml:space="preserve"> for the State, </w:t>
      </w:r>
      <w:r w:rsidR="00374B91" w:rsidRPr="002560F3">
        <w:rPr>
          <w:rFonts w:ascii="Arial" w:hAnsi="Arial" w:cs="Arial"/>
          <w:sz w:val="24"/>
          <w:szCs w:val="24"/>
        </w:rPr>
        <w:t xml:space="preserve">conceded </w:t>
      </w:r>
      <w:r w:rsidR="007419DB" w:rsidRPr="002560F3">
        <w:rPr>
          <w:rFonts w:ascii="Arial" w:hAnsi="Arial" w:cs="Arial"/>
          <w:sz w:val="24"/>
          <w:szCs w:val="24"/>
        </w:rPr>
        <w:t xml:space="preserve">at the outset </w:t>
      </w:r>
      <w:r w:rsidR="00374B91" w:rsidRPr="002560F3">
        <w:rPr>
          <w:rFonts w:ascii="Arial" w:hAnsi="Arial" w:cs="Arial"/>
          <w:sz w:val="24"/>
          <w:szCs w:val="24"/>
        </w:rPr>
        <w:t xml:space="preserve">that the facts upon </w:t>
      </w:r>
      <w:r w:rsidR="00345FCD" w:rsidRPr="002560F3">
        <w:rPr>
          <w:rFonts w:ascii="Arial" w:hAnsi="Arial" w:cs="Arial"/>
          <w:sz w:val="24"/>
          <w:szCs w:val="24"/>
        </w:rPr>
        <w:t xml:space="preserve">which the points of law hinged </w:t>
      </w:r>
      <w:r w:rsidR="00374B91" w:rsidRPr="002560F3">
        <w:rPr>
          <w:rFonts w:ascii="Arial" w:hAnsi="Arial" w:cs="Arial"/>
          <w:sz w:val="24"/>
          <w:szCs w:val="24"/>
        </w:rPr>
        <w:t>were not set out fully in its application in terms of s</w:t>
      </w:r>
      <w:r w:rsidR="00FD435C" w:rsidRPr="002560F3">
        <w:rPr>
          <w:rFonts w:ascii="Arial" w:hAnsi="Arial" w:cs="Arial"/>
          <w:sz w:val="24"/>
          <w:szCs w:val="24"/>
        </w:rPr>
        <w:t xml:space="preserve"> </w:t>
      </w:r>
      <w:r w:rsidR="00AE0B0B" w:rsidRPr="002560F3">
        <w:rPr>
          <w:rFonts w:ascii="Arial" w:hAnsi="Arial" w:cs="Arial"/>
          <w:sz w:val="24"/>
          <w:szCs w:val="24"/>
        </w:rPr>
        <w:t>319 before</w:t>
      </w:r>
      <w:r w:rsidR="00374B91" w:rsidRPr="002560F3">
        <w:rPr>
          <w:rFonts w:ascii="Arial" w:hAnsi="Arial" w:cs="Arial"/>
          <w:sz w:val="24"/>
          <w:szCs w:val="24"/>
        </w:rPr>
        <w:t xml:space="preserve"> </w:t>
      </w:r>
      <w:r w:rsidR="00AE0B0B" w:rsidRPr="002560F3">
        <w:rPr>
          <w:rFonts w:ascii="Arial" w:hAnsi="Arial" w:cs="Arial"/>
          <w:sz w:val="24"/>
          <w:szCs w:val="24"/>
        </w:rPr>
        <w:t>the trial court</w:t>
      </w:r>
      <w:r w:rsidR="00374B91" w:rsidRPr="002560F3">
        <w:rPr>
          <w:rFonts w:ascii="Arial" w:hAnsi="Arial" w:cs="Arial"/>
          <w:sz w:val="24"/>
          <w:szCs w:val="24"/>
        </w:rPr>
        <w:t xml:space="preserve">. However, the State asserted that this </w:t>
      </w:r>
      <w:r w:rsidR="00AE0B0B" w:rsidRPr="002560F3">
        <w:rPr>
          <w:rFonts w:ascii="Arial" w:hAnsi="Arial" w:cs="Arial"/>
          <w:sz w:val="24"/>
          <w:szCs w:val="24"/>
        </w:rPr>
        <w:t>C</w:t>
      </w:r>
      <w:r w:rsidR="00374B91" w:rsidRPr="002560F3">
        <w:rPr>
          <w:rFonts w:ascii="Arial" w:hAnsi="Arial" w:cs="Arial"/>
          <w:sz w:val="24"/>
          <w:szCs w:val="24"/>
        </w:rPr>
        <w:t>ourt was in a position to condone this shortcoming, as the factual basis had been set out</w:t>
      </w:r>
      <w:r w:rsidR="006C6C85" w:rsidRPr="002560F3">
        <w:rPr>
          <w:rFonts w:ascii="Arial" w:hAnsi="Arial" w:cs="Arial"/>
          <w:sz w:val="24"/>
          <w:szCs w:val="24"/>
        </w:rPr>
        <w:t xml:space="preserve"> in the</w:t>
      </w:r>
      <w:r w:rsidR="00374B91" w:rsidRPr="002560F3">
        <w:rPr>
          <w:rFonts w:ascii="Arial" w:hAnsi="Arial" w:cs="Arial"/>
          <w:sz w:val="24"/>
          <w:szCs w:val="24"/>
        </w:rPr>
        <w:t xml:space="preserve"> application for leave to appeal before this </w:t>
      </w:r>
      <w:r w:rsidR="00AE0B0B" w:rsidRPr="002560F3">
        <w:rPr>
          <w:rFonts w:ascii="Arial" w:hAnsi="Arial" w:cs="Arial"/>
          <w:sz w:val="24"/>
          <w:szCs w:val="24"/>
        </w:rPr>
        <w:t>C</w:t>
      </w:r>
      <w:r w:rsidR="00374B91" w:rsidRPr="002560F3">
        <w:rPr>
          <w:rFonts w:ascii="Arial" w:hAnsi="Arial" w:cs="Arial"/>
          <w:sz w:val="24"/>
          <w:szCs w:val="24"/>
        </w:rPr>
        <w:t xml:space="preserve">ourt, and that this </w:t>
      </w:r>
      <w:r w:rsidR="00AE0B0B" w:rsidRPr="002560F3">
        <w:rPr>
          <w:rFonts w:ascii="Arial" w:hAnsi="Arial" w:cs="Arial"/>
          <w:sz w:val="24"/>
          <w:szCs w:val="24"/>
        </w:rPr>
        <w:t>C</w:t>
      </w:r>
      <w:r w:rsidR="00374B91" w:rsidRPr="002560F3">
        <w:rPr>
          <w:rFonts w:ascii="Arial" w:hAnsi="Arial" w:cs="Arial"/>
          <w:sz w:val="24"/>
          <w:szCs w:val="24"/>
        </w:rPr>
        <w:t xml:space="preserve">ourt could not solely rely on the application before </w:t>
      </w:r>
      <w:r w:rsidR="00AE0B0B" w:rsidRPr="002560F3">
        <w:rPr>
          <w:rFonts w:ascii="Arial" w:hAnsi="Arial" w:cs="Arial"/>
          <w:sz w:val="24"/>
          <w:szCs w:val="24"/>
        </w:rPr>
        <w:t>the trial court</w:t>
      </w:r>
      <w:r w:rsidR="006C6C85" w:rsidRPr="002560F3">
        <w:rPr>
          <w:rFonts w:ascii="Arial" w:hAnsi="Arial" w:cs="Arial"/>
          <w:sz w:val="24"/>
          <w:szCs w:val="24"/>
        </w:rPr>
        <w:t xml:space="preserve"> to adjudicate</w:t>
      </w:r>
      <w:r w:rsidR="00374B91" w:rsidRPr="002560F3">
        <w:rPr>
          <w:rFonts w:ascii="Arial" w:hAnsi="Arial" w:cs="Arial"/>
          <w:sz w:val="24"/>
          <w:szCs w:val="24"/>
        </w:rPr>
        <w:t xml:space="preserve"> the State’s s</w:t>
      </w:r>
      <w:r w:rsidR="00895BDF" w:rsidRPr="002560F3">
        <w:rPr>
          <w:rFonts w:ascii="Arial" w:hAnsi="Arial" w:cs="Arial"/>
          <w:sz w:val="24"/>
          <w:szCs w:val="24"/>
        </w:rPr>
        <w:t xml:space="preserve"> </w:t>
      </w:r>
      <w:r w:rsidR="00374B91" w:rsidRPr="002560F3">
        <w:rPr>
          <w:rFonts w:ascii="Arial" w:hAnsi="Arial" w:cs="Arial"/>
          <w:sz w:val="24"/>
          <w:szCs w:val="24"/>
        </w:rPr>
        <w:t>319 application</w:t>
      </w:r>
      <w:r w:rsidRPr="002560F3">
        <w:rPr>
          <w:rFonts w:ascii="Arial" w:hAnsi="Arial" w:cs="Arial"/>
          <w:sz w:val="24"/>
          <w:szCs w:val="24"/>
        </w:rPr>
        <w:t xml:space="preserve">. </w:t>
      </w:r>
      <w:r w:rsidR="00374B91" w:rsidRPr="002560F3">
        <w:rPr>
          <w:rFonts w:ascii="Arial" w:hAnsi="Arial" w:cs="Arial"/>
          <w:sz w:val="24"/>
          <w:szCs w:val="24"/>
        </w:rPr>
        <w:t xml:space="preserve"> </w:t>
      </w:r>
    </w:p>
    <w:p w14:paraId="5D4BB72B" w14:textId="77777777" w:rsidR="0025421F" w:rsidRPr="002560F3" w:rsidRDefault="0025421F" w:rsidP="004F3EF6">
      <w:pPr>
        <w:spacing w:after="0" w:line="360" w:lineRule="auto"/>
        <w:contextualSpacing/>
        <w:jc w:val="both"/>
        <w:rPr>
          <w:rFonts w:ascii="Arial" w:hAnsi="Arial" w:cs="Arial"/>
          <w:sz w:val="24"/>
          <w:szCs w:val="24"/>
        </w:rPr>
      </w:pPr>
    </w:p>
    <w:p w14:paraId="711DF1D9" w14:textId="5EA66B08" w:rsidR="00F776EA" w:rsidRDefault="00517374" w:rsidP="004F3EF6">
      <w:pPr>
        <w:spacing w:after="0" w:line="360" w:lineRule="auto"/>
        <w:contextualSpacing/>
        <w:jc w:val="both"/>
        <w:rPr>
          <w:rFonts w:ascii="Arial" w:hAnsi="Arial" w:cs="Arial"/>
          <w:sz w:val="24"/>
          <w:szCs w:val="24"/>
        </w:rPr>
      </w:pPr>
      <w:r w:rsidRPr="002560F3">
        <w:rPr>
          <w:rFonts w:ascii="Arial" w:hAnsi="Arial" w:cs="Arial"/>
          <w:sz w:val="24"/>
          <w:szCs w:val="24"/>
        </w:rPr>
        <w:t>[24</w:t>
      </w:r>
      <w:r w:rsidR="006C7218" w:rsidRPr="002560F3">
        <w:rPr>
          <w:rFonts w:ascii="Arial" w:hAnsi="Arial" w:cs="Arial"/>
          <w:sz w:val="24"/>
          <w:szCs w:val="24"/>
        </w:rPr>
        <w:t>]</w:t>
      </w:r>
      <w:r w:rsidR="00624502" w:rsidRPr="002560F3">
        <w:rPr>
          <w:rFonts w:ascii="Arial" w:hAnsi="Arial" w:cs="Arial"/>
          <w:sz w:val="24"/>
          <w:szCs w:val="24"/>
        </w:rPr>
        <w:tab/>
      </w:r>
      <w:r w:rsidR="00B37109" w:rsidRPr="002560F3">
        <w:rPr>
          <w:rFonts w:ascii="Arial" w:hAnsi="Arial" w:cs="Arial"/>
          <w:sz w:val="24"/>
          <w:szCs w:val="24"/>
        </w:rPr>
        <w:t xml:space="preserve">In </w:t>
      </w:r>
      <w:r w:rsidR="00266479" w:rsidRPr="002560F3">
        <w:rPr>
          <w:rFonts w:ascii="Arial" w:hAnsi="Arial" w:cs="Arial"/>
          <w:sz w:val="24"/>
          <w:szCs w:val="24"/>
        </w:rPr>
        <w:t>considering an</w:t>
      </w:r>
      <w:r w:rsidR="00C956DC" w:rsidRPr="002560F3">
        <w:rPr>
          <w:rFonts w:ascii="Arial" w:hAnsi="Arial" w:cs="Arial"/>
          <w:sz w:val="24"/>
          <w:szCs w:val="24"/>
        </w:rPr>
        <w:t xml:space="preserve"> application for the reservations of questions of law in terms of s 319</w:t>
      </w:r>
      <w:r w:rsidR="00266479" w:rsidRPr="002560F3">
        <w:rPr>
          <w:rFonts w:ascii="Arial" w:hAnsi="Arial" w:cs="Arial"/>
          <w:sz w:val="24"/>
          <w:szCs w:val="24"/>
        </w:rPr>
        <w:t>, where</w:t>
      </w:r>
      <w:r w:rsidR="00FD435C" w:rsidRPr="002560F3">
        <w:rPr>
          <w:rFonts w:ascii="Arial" w:hAnsi="Arial" w:cs="Arial"/>
          <w:sz w:val="24"/>
          <w:szCs w:val="24"/>
        </w:rPr>
        <w:t xml:space="preserve"> </w:t>
      </w:r>
      <w:r w:rsidR="006006A9" w:rsidRPr="002560F3">
        <w:rPr>
          <w:rFonts w:ascii="Arial" w:hAnsi="Arial" w:cs="Arial"/>
          <w:sz w:val="24"/>
          <w:szCs w:val="24"/>
        </w:rPr>
        <w:t xml:space="preserve">the facts upon which the point hinges are not fully set out in the record, and the trial court has not been asked to clarify its factual findings, </w:t>
      </w:r>
      <w:r w:rsidR="00C956DC" w:rsidRPr="002560F3">
        <w:rPr>
          <w:rFonts w:ascii="Arial" w:hAnsi="Arial" w:cs="Arial"/>
          <w:sz w:val="24"/>
          <w:szCs w:val="24"/>
        </w:rPr>
        <w:t xml:space="preserve">it will be difficult </w:t>
      </w:r>
      <w:r w:rsidRPr="002560F3">
        <w:rPr>
          <w:rFonts w:ascii="Arial" w:hAnsi="Arial" w:cs="Arial"/>
          <w:sz w:val="24"/>
          <w:szCs w:val="24"/>
        </w:rPr>
        <w:t xml:space="preserve">for an appeal court </w:t>
      </w:r>
      <w:r w:rsidR="00C956DC" w:rsidRPr="002560F3">
        <w:rPr>
          <w:rFonts w:ascii="Arial" w:hAnsi="Arial" w:cs="Arial"/>
          <w:sz w:val="24"/>
          <w:szCs w:val="24"/>
        </w:rPr>
        <w:t>to fr</w:t>
      </w:r>
      <w:r w:rsidR="00C545E6" w:rsidRPr="002560F3">
        <w:rPr>
          <w:rFonts w:ascii="Arial" w:hAnsi="Arial" w:cs="Arial"/>
          <w:sz w:val="24"/>
          <w:szCs w:val="24"/>
        </w:rPr>
        <w:t xml:space="preserve">ame the questions of law and </w:t>
      </w:r>
      <w:r w:rsidR="00C956DC" w:rsidRPr="002560F3">
        <w:rPr>
          <w:rFonts w:ascii="Arial" w:hAnsi="Arial" w:cs="Arial"/>
          <w:sz w:val="24"/>
          <w:szCs w:val="24"/>
        </w:rPr>
        <w:t xml:space="preserve">set out the facts upon which </w:t>
      </w:r>
      <w:r w:rsidR="006006A9" w:rsidRPr="002560F3">
        <w:rPr>
          <w:rFonts w:ascii="Arial" w:hAnsi="Arial" w:cs="Arial"/>
          <w:sz w:val="24"/>
          <w:szCs w:val="24"/>
        </w:rPr>
        <w:t xml:space="preserve">the points of law </w:t>
      </w:r>
      <w:r w:rsidR="00C956DC" w:rsidRPr="002560F3">
        <w:rPr>
          <w:rFonts w:ascii="Arial" w:hAnsi="Arial" w:cs="Arial"/>
          <w:sz w:val="24"/>
          <w:szCs w:val="24"/>
        </w:rPr>
        <w:t>hinges.</w:t>
      </w:r>
      <w:r w:rsidR="006C7218" w:rsidRPr="002560F3">
        <w:rPr>
          <w:rFonts w:ascii="Arial" w:hAnsi="Arial" w:cs="Arial"/>
          <w:sz w:val="24"/>
          <w:szCs w:val="24"/>
        </w:rPr>
        <w:t xml:space="preserve"> C</w:t>
      </w:r>
      <w:r w:rsidR="007163D9" w:rsidRPr="002560F3">
        <w:rPr>
          <w:rFonts w:ascii="Arial" w:hAnsi="Arial" w:cs="Arial"/>
          <w:sz w:val="24"/>
          <w:szCs w:val="24"/>
        </w:rPr>
        <w:t>ertain</w:t>
      </w:r>
      <w:r w:rsidR="006C7218" w:rsidRPr="002560F3">
        <w:rPr>
          <w:rFonts w:ascii="Arial" w:hAnsi="Arial" w:cs="Arial"/>
          <w:sz w:val="24"/>
          <w:szCs w:val="24"/>
        </w:rPr>
        <w:t>ty must exist in regard to all the facts to which the question relates or on which the legal point hinges</w:t>
      </w:r>
      <w:r w:rsidR="00187062" w:rsidRPr="002560F3">
        <w:rPr>
          <w:rFonts w:ascii="Arial" w:hAnsi="Arial" w:cs="Arial"/>
          <w:sz w:val="24"/>
          <w:szCs w:val="24"/>
        </w:rPr>
        <w:t>.</w:t>
      </w:r>
      <w:r w:rsidR="00D22F26" w:rsidRPr="002560F3">
        <w:rPr>
          <w:rStyle w:val="FootnoteReference"/>
          <w:rFonts w:ascii="Arial" w:hAnsi="Arial" w:cs="Arial"/>
          <w:iCs/>
        </w:rPr>
        <w:footnoteReference w:id="5"/>
      </w:r>
      <w:r w:rsidR="003C5377" w:rsidRPr="002560F3">
        <w:rPr>
          <w:rFonts w:ascii="Arial" w:hAnsi="Arial" w:cs="Arial"/>
          <w:sz w:val="24"/>
          <w:szCs w:val="24"/>
        </w:rPr>
        <w:t xml:space="preserve"> Otherwise</w:t>
      </w:r>
      <w:r w:rsidR="004C5E60">
        <w:rPr>
          <w:rFonts w:ascii="Arial" w:hAnsi="Arial" w:cs="Arial"/>
          <w:sz w:val="24"/>
          <w:szCs w:val="24"/>
        </w:rPr>
        <w:t>,</w:t>
      </w:r>
      <w:r w:rsidR="00D16D5B" w:rsidRPr="002560F3">
        <w:rPr>
          <w:rFonts w:ascii="Arial" w:hAnsi="Arial" w:cs="Arial"/>
          <w:sz w:val="24"/>
          <w:szCs w:val="24"/>
        </w:rPr>
        <w:t xml:space="preserve"> </w:t>
      </w:r>
      <w:r w:rsidR="00B959AA" w:rsidRPr="002560F3">
        <w:rPr>
          <w:rFonts w:ascii="Arial" w:hAnsi="Arial" w:cs="Arial"/>
          <w:sz w:val="24"/>
          <w:szCs w:val="24"/>
        </w:rPr>
        <w:t xml:space="preserve">the points of law will not be </w:t>
      </w:r>
      <w:r w:rsidR="003C5377" w:rsidRPr="002560F3">
        <w:rPr>
          <w:rFonts w:ascii="Arial" w:hAnsi="Arial" w:cs="Arial"/>
          <w:sz w:val="24"/>
          <w:szCs w:val="24"/>
        </w:rPr>
        <w:t>properly reserved</w:t>
      </w:r>
      <w:r w:rsidR="00187062" w:rsidRPr="002560F3">
        <w:rPr>
          <w:rFonts w:ascii="Arial" w:hAnsi="Arial" w:cs="Arial"/>
          <w:sz w:val="24"/>
          <w:szCs w:val="24"/>
        </w:rPr>
        <w:t>.</w:t>
      </w:r>
      <w:r w:rsidR="004C046E" w:rsidRPr="002560F3">
        <w:rPr>
          <w:rStyle w:val="FootnoteReference"/>
          <w:rFonts w:ascii="Arial" w:hAnsi="Arial" w:cs="Arial"/>
          <w:sz w:val="24"/>
          <w:szCs w:val="24"/>
        </w:rPr>
        <w:footnoteReference w:id="6"/>
      </w:r>
    </w:p>
    <w:p w14:paraId="230200CE" w14:textId="77777777" w:rsidR="0025421F" w:rsidRPr="002560F3" w:rsidRDefault="0025421F" w:rsidP="0025421F">
      <w:pPr>
        <w:spacing w:after="0" w:line="360" w:lineRule="auto"/>
        <w:jc w:val="both"/>
        <w:rPr>
          <w:rFonts w:ascii="Arial" w:hAnsi="Arial" w:cs="Arial"/>
          <w:sz w:val="24"/>
          <w:szCs w:val="24"/>
        </w:rPr>
      </w:pPr>
    </w:p>
    <w:p w14:paraId="023373FF" w14:textId="4F0CACFF" w:rsidR="00BC4819" w:rsidRPr="002560F3" w:rsidRDefault="004C046E" w:rsidP="00BC4819">
      <w:pPr>
        <w:autoSpaceDE w:val="0"/>
        <w:autoSpaceDN w:val="0"/>
        <w:adjustRightInd w:val="0"/>
        <w:spacing w:after="0" w:line="360" w:lineRule="auto"/>
        <w:contextualSpacing/>
        <w:jc w:val="both"/>
        <w:rPr>
          <w:rFonts w:ascii="Arial" w:hAnsi="Arial" w:cs="Arial"/>
          <w:sz w:val="24"/>
          <w:szCs w:val="24"/>
        </w:rPr>
      </w:pPr>
      <w:r w:rsidRPr="002560F3">
        <w:rPr>
          <w:rFonts w:ascii="Arial" w:hAnsi="Arial" w:cs="Arial"/>
          <w:sz w:val="24"/>
          <w:szCs w:val="24"/>
        </w:rPr>
        <w:t>[25</w:t>
      </w:r>
      <w:r w:rsidR="002079F4" w:rsidRPr="002560F3">
        <w:rPr>
          <w:rFonts w:ascii="Arial" w:hAnsi="Arial" w:cs="Arial"/>
          <w:sz w:val="24"/>
          <w:szCs w:val="24"/>
        </w:rPr>
        <w:t>]</w:t>
      </w:r>
      <w:r w:rsidR="005244A0" w:rsidRPr="002560F3">
        <w:rPr>
          <w:rFonts w:ascii="Arial" w:hAnsi="Arial" w:cs="Arial"/>
          <w:sz w:val="24"/>
          <w:szCs w:val="24"/>
        </w:rPr>
        <w:tab/>
      </w:r>
      <w:r w:rsidR="007D65CD" w:rsidRPr="002560F3">
        <w:rPr>
          <w:rFonts w:ascii="Arial" w:hAnsi="Arial" w:cs="Arial"/>
          <w:sz w:val="24"/>
          <w:szCs w:val="24"/>
        </w:rPr>
        <w:t xml:space="preserve">The State </w:t>
      </w:r>
      <w:r w:rsidR="00B351FD" w:rsidRPr="002560F3">
        <w:rPr>
          <w:rFonts w:ascii="Arial" w:hAnsi="Arial" w:cs="Arial"/>
          <w:sz w:val="24"/>
          <w:szCs w:val="24"/>
        </w:rPr>
        <w:t>has argued</w:t>
      </w:r>
      <w:r w:rsidR="004C6330" w:rsidRPr="002560F3">
        <w:rPr>
          <w:rFonts w:ascii="Arial" w:hAnsi="Arial" w:cs="Arial"/>
          <w:sz w:val="24"/>
          <w:szCs w:val="24"/>
        </w:rPr>
        <w:t xml:space="preserve"> that it would have been a futile exercise to approach the trial court to clarify its factual findings, because the trial court did not make any factual findings in regard to the nature of the errors complained of, </w:t>
      </w:r>
      <w:r w:rsidR="00A93794" w:rsidRPr="002560F3">
        <w:rPr>
          <w:rFonts w:ascii="Arial" w:hAnsi="Arial" w:cs="Arial"/>
          <w:sz w:val="24"/>
          <w:szCs w:val="24"/>
        </w:rPr>
        <w:t xml:space="preserve">and </w:t>
      </w:r>
      <w:r w:rsidR="006C3704" w:rsidRPr="002560F3">
        <w:rPr>
          <w:rFonts w:ascii="Arial" w:hAnsi="Arial" w:cs="Arial"/>
          <w:sz w:val="24"/>
          <w:szCs w:val="24"/>
        </w:rPr>
        <w:t xml:space="preserve">neither </w:t>
      </w:r>
      <w:r w:rsidR="005244A0" w:rsidRPr="002560F3">
        <w:rPr>
          <w:rFonts w:ascii="Arial" w:hAnsi="Arial" w:cs="Arial"/>
          <w:sz w:val="24"/>
          <w:szCs w:val="24"/>
        </w:rPr>
        <w:t>was the</w:t>
      </w:r>
      <w:r w:rsidR="004C6330" w:rsidRPr="002560F3">
        <w:rPr>
          <w:rFonts w:ascii="Arial" w:hAnsi="Arial" w:cs="Arial"/>
          <w:sz w:val="24"/>
          <w:szCs w:val="24"/>
        </w:rPr>
        <w:t xml:space="preserve"> respondent’s defence assessed</w:t>
      </w:r>
      <w:r w:rsidR="00E42280">
        <w:rPr>
          <w:rFonts w:ascii="Arial" w:hAnsi="Arial" w:cs="Arial"/>
          <w:sz w:val="24"/>
          <w:szCs w:val="24"/>
        </w:rPr>
        <w:t>,</w:t>
      </w:r>
      <w:r w:rsidR="004C6330" w:rsidRPr="002560F3">
        <w:rPr>
          <w:rFonts w:ascii="Arial" w:hAnsi="Arial" w:cs="Arial"/>
          <w:sz w:val="24"/>
          <w:szCs w:val="24"/>
        </w:rPr>
        <w:t xml:space="preserve"> nor was there an evaluation of the evidence in accordance with accepted legal principles. </w:t>
      </w:r>
      <w:r w:rsidR="00406117" w:rsidRPr="002560F3">
        <w:rPr>
          <w:rFonts w:ascii="Arial" w:hAnsi="Arial" w:cs="Arial"/>
          <w:sz w:val="24"/>
          <w:szCs w:val="24"/>
        </w:rPr>
        <w:t>It is so that in this case</w:t>
      </w:r>
      <w:r w:rsidR="004C6330" w:rsidRPr="002560F3">
        <w:rPr>
          <w:rFonts w:ascii="Arial" w:hAnsi="Arial" w:cs="Arial"/>
          <w:sz w:val="24"/>
          <w:szCs w:val="24"/>
        </w:rPr>
        <w:t xml:space="preserve"> the trial court’s factual findings do not appear from the judgment, and thus it is unclear as t</w:t>
      </w:r>
      <w:r w:rsidR="006006A9" w:rsidRPr="002560F3">
        <w:rPr>
          <w:rFonts w:ascii="Arial" w:hAnsi="Arial" w:cs="Arial"/>
          <w:sz w:val="24"/>
          <w:szCs w:val="24"/>
        </w:rPr>
        <w:t>o what the factual findings are</w:t>
      </w:r>
      <w:r w:rsidR="005244A0" w:rsidRPr="002560F3">
        <w:rPr>
          <w:rFonts w:ascii="Arial" w:hAnsi="Arial" w:cs="Arial"/>
          <w:sz w:val="24"/>
          <w:szCs w:val="24"/>
        </w:rPr>
        <w:t xml:space="preserve">. </w:t>
      </w:r>
      <w:r w:rsidR="008A36BE" w:rsidRPr="002560F3">
        <w:rPr>
          <w:rFonts w:ascii="Arial" w:hAnsi="Arial" w:cs="Arial"/>
          <w:sz w:val="24"/>
          <w:szCs w:val="24"/>
        </w:rPr>
        <w:t>However, if this was indeed a reason why the State was unable to s</w:t>
      </w:r>
      <w:r w:rsidRPr="002560F3">
        <w:rPr>
          <w:rFonts w:ascii="Arial" w:hAnsi="Arial" w:cs="Arial"/>
          <w:sz w:val="24"/>
          <w:szCs w:val="24"/>
        </w:rPr>
        <w:t xml:space="preserve">et out the facts fully, then it </w:t>
      </w:r>
      <w:r w:rsidR="008A36BE" w:rsidRPr="002560F3">
        <w:rPr>
          <w:rFonts w:ascii="Arial" w:hAnsi="Arial" w:cs="Arial"/>
          <w:sz w:val="24"/>
          <w:szCs w:val="24"/>
        </w:rPr>
        <w:t xml:space="preserve">should have requested the trial court to clarify its findings of </w:t>
      </w:r>
      <w:r w:rsidR="007D65CD" w:rsidRPr="002560F3">
        <w:rPr>
          <w:rFonts w:ascii="Arial" w:hAnsi="Arial" w:cs="Arial"/>
          <w:sz w:val="24"/>
          <w:szCs w:val="24"/>
        </w:rPr>
        <w:t>fact in order to obtain certain</w:t>
      </w:r>
      <w:r w:rsidR="008A36BE" w:rsidRPr="002560F3">
        <w:rPr>
          <w:rFonts w:ascii="Arial" w:hAnsi="Arial" w:cs="Arial"/>
          <w:sz w:val="24"/>
          <w:szCs w:val="24"/>
        </w:rPr>
        <w:t xml:space="preserve">ty with regard to the facts underpinning the points of law it sought to reserve. </w:t>
      </w:r>
    </w:p>
    <w:p w14:paraId="7B2D4300" w14:textId="4F6F6538" w:rsidR="00933639" w:rsidRPr="002560F3" w:rsidRDefault="00933639" w:rsidP="00BC4819">
      <w:pPr>
        <w:autoSpaceDE w:val="0"/>
        <w:autoSpaceDN w:val="0"/>
        <w:adjustRightInd w:val="0"/>
        <w:spacing w:after="0" w:line="360" w:lineRule="auto"/>
        <w:contextualSpacing/>
        <w:jc w:val="both"/>
        <w:rPr>
          <w:rFonts w:ascii="Arial" w:hAnsi="Arial" w:cs="Arial"/>
          <w:sz w:val="24"/>
          <w:szCs w:val="24"/>
        </w:rPr>
      </w:pPr>
    </w:p>
    <w:p w14:paraId="53A23EE6" w14:textId="3164EF45" w:rsidR="00517374" w:rsidRPr="002560F3" w:rsidRDefault="00043CEB" w:rsidP="005877C2">
      <w:pPr>
        <w:autoSpaceDE w:val="0"/>
        <w:autoSpaceDN w:val="0"/>
        <w:adjustRightInd w:val="0"/>
        <w:spacing w:after="0" w:line="360" w:lineRule="auto"/>
        <w:contextualSpacing/>
        <w:jc w:val="both"/>
        <w:rPr>
          <w:rFonts w:ascii="Arial" w:hAnsi="Arial" w:cs="Arial"/>
          <w:sz w:val="24"/>
          <w:szCs w:val="24"/>
        </w:rPr>
      </w:pPr>
      <w:r w:rsidRPr="002560F3">
        <w:rPr>
          <w:rFonts w:ascii="Arial" w:hAnsi="Arial" w:cs="Arial"/>
          <w:sz w:val="24"/>
          <w:szCs w:val="24"/>
        </w:rPr>
        <w:t>[26</w:t>
      </w:r>
      <w:r w:rsidR="00933639" w:rsidRPr="002560F3">
        <w:rPr>
          <w:rFonts w:ascii="Arial" w:hAnsi="Arial" w:cs="Arial"/>
          <w:sz w:val="24"/>
          <w:szCs w:val="24"/>
        </w:rPr>
        <w:t>]</w:t>
      </w:r>
      <w:r w:rsidR="00624502" w:rsidRPr="002560F3">
        <w:rPr>
          <w:rFonts w:ascii="Arial" w:hAnsi="Arial" w:cs="Arial"/>
          <w:sz w:val="24"/>
          <w:szCs w:val="24"/>
        </w:rPr>
        <w:tab/>
      </w:r>
      <w:r w:rsidR="00EF274D" w:rsidRPr="002560F3">
        <w:rPr>
          <w:rFonts w:ascii="Arial" w:hAnsi="Arial" w:cs="Arial"/>
          <w:sz w:val="24"/>
          <w:szCs w:val="24"/>
        </w:rPr>
        <w:t xml:space="preserve">In my view, it </w:t>
      </w:r>
      <w:r w:rsidR="005877C2" w:rsidRPr="002560F3">
        <w:rPr>
          <w:rFonts w:ascii="Arial" w:hAnsi="Arial" w:cs="Arial"/>
          <w:sz w:val="24"/>
          <w:szCs w:val="24"/>
        </w:rPr>
        <w:t xml:space="preserve">is problematic </w:t>
      </w:r>
      <w:r w:rsidR="001572BC" w:rsidRPr="002560F3">
        <w:rPr>
          <w:rFonts w:ascii="Arial" w:hAnsi="Arial" w:cs="Arial"/>
          <w:sz w:val="24"/>
          <w:szCs w:val="24"/>
        </w:rPr>
        <w:t>at the appeal stage to complain that the trial court did not set out the factual findings</w:t>
      </w:r>
      <w:r w:rsidR="004C046E" w:rsidRPr="002560F3">
        <w:rPr>
          <w:rFonts w:ascii="Arial" w:hAnsi="Arial" w:cs="Arial"/>
          <w:sz w:val="24"/>
          <w:szCs w:val="24"/>
        </w:rPr>
        <w:t xml:space="preserve">. More especially in a case </w:t>
      </w:r>
      <w:r w:rsidR="005877C2" w:rsidRPr="002560F3">
        <w:rPr>
          <w:rFonts w:ascii="Arial" w:hAnsi="Arial" w:cs="Arial"/>
          <w:sz w:val="24"/>
          <w:szCs w:val="24"/>
        </w:rPr>
        <w:t xml:space="preserve">such </w:t>
      </w:r>
      <w:r w:rsidR="004C046E" w:rsidRPr="002560F3">
        <w:rPr>
          <w:rFonts w:ascii="Arial" w:hAnsi="Arial" w:cs="Arial"/>
          <w:sz w:val="24"/>
          <w:szCs w:val="24"/>
        </w:rPr>
        <w:t xml:space="preserve">as this, </w:t>
      </w:r>
      <w:r w:rsidR="005877C2" w:rsidRPr="002560F3">
        <w:rPr>
          <w:rFonts w:ascii="Arial" w:hAnsi="Arial" w:cs="Arial"/>
          <w:sz w:val="24"/>
          <w:szCs w:val="24"/>
        </w:rPr>
        <w:t xml:space="preserve">where it is unclear from the trial court’s judgment on the merits which facts it accepted to be the facts proved in this case, </w:t>
      </w:r>
      <w:r w:rsidR="009D24F2" w:rsidRPr="002560F3">
        <w:rPr>
          <w:rFonts w:ascii="Arial" w:hAnsi="Arial" w:cs="Arial"/>
          <w:sz w:val="24"/>
          <w:szCs w:val="24"/>
        </w:rPr>
        <w:t>it would be difficult to glean</w:t>
      </w:r>
      <w:r w:rsidR="00756326" w:rsidRPr="002560F3">
        <w:rPr>
          <w:rFonts w:ascii="Arial" w:hAnsi="Arial" w:cs="Arial"/>
          <w:sz w:val="24"/>
          <w:szCs w:val="24"/>
        </w:rPr>
        <w:t xml:space="preserve"> from the judgment </w:t>
      </w:r>
      <w:r w:rsidR="009D24F2" w:rsidRPr="002560F3">
        <w:rPr>
          <w:rFonts w:ascii="Arial" w:hAnsi="Arial" w:cs="Arial"/>
          <w:sz w:val="24"/>
          <w:szCs w:val="24"/>
        </w:rPr>
        <w:t>the factual findings of the trial court which gave rise to the dispute over the point</w:t>
      </w:r>
      <w:r w:rsidR="002722A0" w:rsidRPr="002560F3">
        <w:rPr>
          <w:rFonts w:ascii="Arial" w:hAnsi="Arial" w:cs="Arial"/>
          <w:sz w:val="24"/>
          <w:szCs w:val="24"/>
        </w:rPr>
        <w:t>s</w:t>
      </w:r>
      <w:r w:rsidR="009D24F2" w:rsidRPr="002560F3">
        <w:rPr>
          <w:rFonts w:ascii="Arial" w:hAnsi="Arial" w:cs="Arial"/>
          <w:sz w:val="24"/>
          <w:szCs w:val="24"/>
        </w:rPr>
        <w:t xml:space="preserve"> of law, </w:t>
      </w:r>
      <w:r w:rsidR="004C046E" w:rsidRPr="002560F3">
        <w:rPr>
          <w:rFonts w:ascii="Arial" w:hAnsi="Arial" w:cs="Arial"/>
          <w:sz w:val="24"/>
          <w:szCs w:val="24"/>
        </w:rPr>
        <w:t xml:space="preserve">and </w:t>
      </w:r>
      <w:r w:rsidR="004C046E" w:rsidRPr="002560F3">
        <w:rPr>
          <w:rFonts w:ascii="Arial" w:hAnsi="Arial" w:cs="Arial"/>
          <w:sz w:val="24"/>
          <w:szCs w:val="24"/>
        </w:rPr>
        <w:lastRenderedPageBreak/>
        <w:t xml:space="preserve">which were material to formulating the questions of law, </w:t>
      </w:r>
      <w:r w:rsidR="009D24F2" w:rsidRPr="002560F3">
        <w:rPr>
          <w:rFonts w:ascii="Arial" w:hAnsi="Arial" w:cs="Arial"/>
          <w:sz w:val="24"/>
          <w:szCs w:val="24"/>
        </w:rPr>
        <w:t xml:space="preserve">without difficulty or contestation. </w:t>
      </w:r>
      <w:r w:rsidR="005877C2" w:rsidRPr="002560F3">
        <w:rPr>
          <w:rFonts w:ascii="Arial" w:hAnsi="Arial" w:cs="Arial"/>
          <w:sz w:val="24"/>
          <w:szCs w:val="24"/>
        </w:rPr>
        <w:t xml:space="preserve">Moreover, as the State did not request the trial court to clarify its factual findings, it is </w:t>
      </w:r>
      <w:r w:rsidR="00517374" w:rsidRPr="002560F3">
        <w:rPr>
          <w:rFonts w:ascii="Arial" w:hAnsi="Arial" w:cs="Arial"/>
          <w:sz w:val="24"/>
          <w:szCs w:val="24"/>
        </w:rPr>
        <w:t>not kn</w:t>
      </w:r>
      <w:r w:rsidR="005877C2" w:rsidRPr="002560F3">
        <w:rPr>
          <w:rFonts w:ascii="Arial" w:hAnsi="Arial" w:cs="Arial"/>
          <w:sz w:val="24"/>
          <w:szCs w:val="24"/>
        </w:rPr>
        <w:t xml:space="preserve">own which </w:t>
      </w:r>
      <w:r w:rsidR="00517374" w:rsidRPr="002560F3">
        <w:rPr>
          <w:rFonts w:ascii="Arial" w:hAnsi="Arial" w:cs="Arial"/>
          <w:sz w:val="24"/>
          <w:szCs w:val="24"/>
        </w:rPr>
        <w:t>facts the State relied upon in its s 319 application to reserve the questions of law. Had the State done so, there would be no misunderstanding between the parties as to what the trial court’s factual findings were. A perusal of the heads of argument of the respective parties, indicates that there is a discord between the facts set out by the State in its application before this Court, its heads of argument, its petition and the respondent’s heads of argument.</w:t>
      </w:r>
    </w:p>
    <w:p w14:paraId="518AC82D" w14:textId="77777777" w:rsidR="00756326" w:rsidRPr="002560F3" w:rsidRDefault="00756326" w:rsidP="008A36BE">
      <w:pPr>
        <w:autoSpaceDE w:val="0"/>
        <w:autoSpaceDN w:val="0"/>
        <w:adjustRightInd w:val="0"/>
        <w:spacing w:after="0" w:line="360" w:lineRule="auto"/>
        <w:contextualSpacing/>
        <w:jc w:val="both"/>
        <w:rPr>
          <w:rFonts w:ascii="Arial" w:hAnsi="Arial" w:cs="Arial"/>
          <w:sz w:val="24"/>
          <w:szCs w:val="24"/>
        </w:rPr>
      </w:pPr>
    </w:p>
    <w:p w14:paraId="5304DC92" w14:textId="3F701698" w:rsidR="0027211E" w:rsidRPr="002560F3" w:rsidRDefault="00D9111E" w:rsidP="008A36BE">
      <w:pPr>
        <w:autoSpaceDE w:val="0"/>
        <w:autoSpaceDN w:val="0"/>
        <w:adjustRightInd w:val="0"/>
        <w:spacing w:after="0" w:line="360" w:lineRule="auto"/>
        <w:contextualSpacing/>
        <w:jc w:val="both"/>
        <w:rPr>
          <w:rFonts w:ascii="Arial" w:hAnsi="Arial" w:cs="Arial"/>
          <w:bCs/>
        </w:rPr>
      </w:pPr>
      <w:r w:rsidRPr="002560F3">
        <w:rPr>
          <w:rFonts w:ascii="Arial" w:hAnsi="Arial" w:cs="Arial"/>
          <w:sz w:val="24"/>
          <w:szCs w:val="24"/>
        </w:rPr>
        <w:t>[</w:t>
      </w:r>
      <w:r w:rsidR="00043CEB" w:rsidRPr="002560F3">
        <w:rPr>
          <w:rFonts w:ascii="Arial" w:hAnsi="Arial" w:cs="Arial"/>
          <w:sz w:val="24"/>
          <w:szCs w:val="24"/>
        </w:rPr>
        <w:t>27</w:t>
      </w:r>
      <w:r w:rsidRPr="002560F3">
        <w:rPr>
          <w:rFonts w:ascii="Arial" w:hAnsi="Arial" w:cs="Arial"/>
          <w:sz w:val="24"/>
          <w:szCs w:val="24"/>
        </w:rPr>
        <w:t>]</w:t>
      </w:r>
      <w:r w:rsidR="00624502" w:rsidRPr="002560F3">
        <w:rPr>
          <w:rFonts w:ascii="Arial" w:hAnsi="Arial" w:cs="Arial"/>
          <w:sz w:val="24"/>
          <w:szCs w:val="24"/>
        </w:rPr>
        <w:tab/>
      </w:r>
      <w:r w:rsidR="0027211E" w:rsidRPr="002560F3">
        <w:rPr>
          <w:rFonts w:ascii="Arial" w:hAnsi="Arial" w:cs="Arial"/>
          <w:sz w:val="24"/>
          <w:szCs w:val="24"/>
        </w:rPr>
        <w:t>What should resonate is</w:t>
      </w:r>
      <w:r w:rsidR="00187062" w:rsidRPr="002560F3">
        <w:rPr>
          <w:rFonts w:ascii="Arial" w:hAnsi="Arial" w:cs="Arial"/>
          <w:sz w:val="24"/>
          <w:szCs w:val="24"/>
        </w:rPr>
        <w:t xml:space="preserve"> </w:t>
      </w:r>
      <w:r w:rsidR="0027211E" w:rsidRPr="002560F3">
        <w:rPr>
          <w:rFonts w:ascii="Arial" w:hAnsi="Arial" w:cs="Arial"/>
          <w:sz w:val="24"/>
          <w:szCs w:val="24"/>
        </w:rPr>
        <w:t xml:space="preserve">what this Court said in </w:t>
      </w:r>
      <w:r w:rsidR="0027211E" w:rsidRPr="002560F3">
        <w:rPr>
          <w:rFonts w:ascii="Arial" w:hAnsi="Arial" w:cs="Arial"/>
          <w:i/>
          <w:sz w:val="24"/>
          <w:szCs w:val="24"/>
        </w:rPr>
        <w:t xml:space="preserve">Schoeman </w:t>
      </w:r>
      <w:r w:rsidR="0027211E" w:rsidRPr="002560F3">
        <w:rPr>
          <w:rFonts w:ascii="Arial" w:hAnsi="Arial" w:cs="Arial"/>
          <w:sz w:val="24"/>
          <w:szCs w:val="24"/>
        </w:rPr>
        <w:t>at paras 45-46:</w:t>
      </w:r>
    </w:p>
    <w:p w14:paraId="7C8EBD34" w14:textId="23A7E591" w:rsidR="0027211E" w:rsidRPr="00B85098" w:rsidRDefault="0027211E" w:rsidP="0027211E">
      <w:pPr>
        <w:spacing w:after="0" w:line="360" w:lineRule="auto"/>
        <w:contextualSpacing/>
        <w:jc w:val="both"/>
        <w:rPr>
          <w:rFonts w:ascii="Verdana" w:eastAsia="Times New Roman" w:hAnsi="Verdana" w:cs="Times New Roman"/>
          <w:i/>
          <w:lang w:eastAsia="en-ZA"/>
        </w:rPr>
      </w:pPr>
      <w:r w:rsidRPr="00B85098">
        <w:rPr>
          <w:rFonts w:ascii="Arial" w:eastAsia="Times New Roman" w:hAnsi="Arial" w:cs="Arial"/>
          <w:i/>
          <w:lang w:eastAsia="en-ZA"/>
        </w:rPr>
        <w:t xml:space="preserve">‘If we were to entertain the appeal on the merits, we would face the task of having to ascertain the relevant facts. To this end, we would have to read the entire record and re-evaluate all of the evidence, thereby second-guessing the trial judge who was best placed to do this. We would thus have to approach the matter as if this were a full appeal on the merits. The problem does not end there. Having embarked on this task, we would have to decide whether the facts established by us accord with those found by the trial court. It is only if we find that the factual findings of the trial court were wrong and the result of a legal error would we be obliged to interfere with the decision of the trial court. </w:t>
      </w:r>
    </w:p>
    <w:p w14:paraId="0AFD70E0" w14:textId="17B25E70" w:rsidR="0027211E" w:rsidRPr="00B85098" w:rsidRDefault="0027211E" w:rsidP="00D87F03">
      <w:pPr>
        <w:shd w:val="clear" w:color="auto" w:fill="FFFFFF"/>
        <w:spacing w:after="0" w:line="360" w:lineRule="auto"/>
        <w:contextualSpacing/>
        <w:jc w:val="both"/>
        <w:rPr>
          <w:rFonts w:ascii="Arial" w:eastAsia="Times New Roman" w:hAnsi="Arial" w:cs="Arial"/>
          <w:i/>
          <w:lang w:eastAsia="en-ZA"/>
        </w:rPr>
      </w:pPr>
      <w:r w:rsidRPr="00B85098">
        <w:rPr>
          <w:rFonts w:ascii="Arial" w:eastAsia="Times New Roman" w:hAnsi="Arial" w:cs="Arial"/>
          <w:i/>
          <w:lang w:eastAsia="en-ZA"/>
        </w:rPr>
        <w:t xml:space="preserve">This is why courts of appeal require strict adherence to the requirement for the State to set out the factual basis for the reservation of any point of law before it will entertain it. Here the State has not even attempted to comply with this requirement. We thus hold that the State has not properly reserved its four points of law. That ought to be the end of the matter. We consider it necessary, however, to deal further with the issue.’ </w:t>
      </w:r>
      <w:r w:rsidRPr="00B85098">
        <w:rPr>
          <w:rFonts w:ascii="Arial" w:eastAsia="Times New Roman" w:hAnsi="Arial" w:cs="Arial"/>
          <w:lang w:eastAsia="en-ZA"/>
        </w:rPr>
        <w:t>(My emphasis</w:t>
      </w:r>
      <w:r w:rsidR="009944A8">
        <w:rPr>
          <w:rFonts w:ascii="Arial" w:eastAsia="Times New Roman" w:hAnsi="Arial" w:cs="Arial"/>
          <w:lang w:eastAsia="en-ZA"/>
        </w:rPr>
        <w:t>.</w:t>
      </w:r>
      <w:r w:rsidRPr="00B85098">
        <w:rPr>
          <w:rFonts w:ascii="Arial" w:eastAsia="Times New Roman" w:hAnsi="Arial" w:cs="Arial"/>
          <w:lang w:eastAsia="en-ZA"/>
        </w:rPr>
        <w:t>)</w:t>
      </w:r>
    </w:p>
    <w:p w14:paraId="37DFF3F4" w14:textId="77777777" w:rsidR="0027211E" w:rsidRPr="004F3EF6" w:rsidRDefault="0027211E" w:rsidP="00B0446D">
      <w:pPr>
        <w:spacing w:after="0" w:line="360" w:lineRule="auto"/>
        <w:contextualSpacing/>
        <w:jc w:val="both"/>
        <w:rPr>
          <w:rFonts w:ascii="Arial" w:hAnsi="Arial" w:cs="Arial"/>
          <w:sz w:val="24"/>
          <w:szCs w:val="24"/>
        </w:rPr>
      </w:pPr>
    </w:p>
    <w:p w14:paraId="6070D28B" w14:textId="62CEF5B0" w:rsidR="00BB4C3A" w:rsidRDefault="00043CEB" w:rsidP="004F3EF6">
      <w:pPr>
        <w:spacing w:after="0" w:line="360" w:lineRule="auto"/>
        <w:contextualSpacing/>
        <w:jc w:val="both"/>
        <w:rPr>
          <w:rFonts w:ascii="Arial" w:hAnsi="Arial" w:cs="Arial"/>
          <w:sz w:val="24"/>
          <w:szCs w:val="24"/>
        </w:rPr>
      </w:pPr>
      <w:r w:rsidRPr="002560F3">
        <w:rPr>
          <w:rFonts w:ascii="Arial" w:hAnsi="Arial" w:cs="Arial"/>
          <w:sz w:val="24"/>
          <w:szCs w:val="24"/>
        </w:rPr>
        <w:t>[28</w:t>
      </w:r>
      <w:r w:rsidR="002251E1" w:rsidRPr="002560F3">
        <w:rPr>
          <w:rFonts w:ascii="Arial" w:hAnsi="Arial" w:cs="Arial"/>
          <w:sz w:val="24"/>
          <w:szCs w:val="24"/>
        </w:rPr>
        <w:t xml:space="preserve">] </w:t>
      </w:r>
      <w:r w:rsidR="00624502" w:rsidRPr="002560F3">
        <w:rPr>
          <w:rFonts w:ascii="Arial" w:hAnsi="Arial" w:cs="Arial"/>
          <w:sz w:val="24"/>
          <w:szCs w:val="24"/>
        </w:rPr>
        <w:tab/>
      </w:r>
      <w:r w:rsidR="002251E1" w:rsidRPr="00115803">
        <w:rPr>
          <w:rFonts w:ascii="Arial" w:hAnsi="Arial" w:cs="Arial"/>
          <w:sz w:val="24"/>
          <w:szCs w:val="24"/>
        </w:rPr>
        <w:t>In this case the factual bases for the reservation of the questions of law were not set out in the record. They also did not appear fully from the judgment of the trial court, and regrettably the State did not request the trial court to return a special finding on the facts upo</w:t>
      </w:r>
      <w:r w:rsidR="00816D98" w:rsidRPr="00115803">
        <w:rPr>
          <w:rFonts w:ascii="Arial" w:hAnsi="Arial" w:cs="Arial"/>
          <w:sz w:val="24"/>
          <w:szCs w:val="24"/>
        </w:rPr>
        <w:t>n which the points of law hinged.</w:t>
      </w:r>
      <w:r w:rsidR="002251E1" w:rsidRPr="002560F3">
        <w:rPr>
          <w:rFonts w:ascii="Arial" w:hAnsi="Arial" w:cs="Arial"/>
          <w:sz w:val="24"/>
          <w:szCs w:val="24"/>
        </w:rPr>
        <w:t xml:space="preserve"> </w:t>
      </w:r>
      <w:r w:rsidR="00D9111E" w:rsidRPr="002560F3">
        <w:rPr>
          <w:rFonts w:ascii="Arial" w:hAnsi="Arial" w:cs="Arial"/>
          <w:sz w:val="24"/>
          <w:szCs w:val="24"/>
        </w:rPr>
        <w:t>Accordingly</w:t>
      </w:r>
      <w:r w:rsidR="00A644F4" w:rsidRPr="002560F3">
        <w:rPr>
          <w:rFonts w:ascii="Arial" w:hAnsi="Arial" w:cs="Arial"/>
          <w:sz w:val="24"/>
          <w:szCs w:val="24"/>
        </w:rPr>
        <w:t xml:space="preserve">, </w:t>
      </w:r>
      <w:r w:rsidR="002251E1" w:rsidRPr="002560F3">
        <w:rPr>
          <w:rFonts w:ascii="Arial" w:hAnsi="Arial" w:cs="Arial"/>
          <w:sz w:val="24"/>
          <w:szCs w:val="24"/>
        </w:rPr>
        <w:t>it ought to be the end of this matter.</w:t>
      </w:r>
      <w:r w:rsidR="001A40CE" w:rsidRPr="002560F3">
        <w:rPr>
          <w:rFonts w:ascii="Arial" w:hAnsi="Arial" w:cs="Arial"/>
          <w:sz w:val="24"/>
          <w:szCs w:val="24"/>
        </w:rPr>
        <w:t xml:space="preserve">  </w:t>
      </w:r>
    </w:p>
    <w:p w14:paraId="5095A732" w14:textId="77777777" w:rsidR="00EA59F5" w:rsidRPr="002560F3" w:rsidRDefault="00EA59F5" w:rsidP="004F3EF6">
      <w:pPr>
        <w:spacing w:after="0" w:line="360" w:lineRule="auto"/>
        <w:jc w:val="both"/>
        <w:rPr>
          <w:rFonts w:ascii="Arial" w:hAnsi="Arial" w:cs="Arial"/>
          <w:i/>
          <w:sz w:val="24"/>
          <w:szCs w:val="24"/>
        </w:rPr>
      </w:pPr>
    </w:p>
    <w:p w14:paraId="240E3C08" w14:textId="16F8AA86" w:rsidR="009152E3" w:rsidRDefault="00043CEB" w:rsidP="004F3EF6">
      <w:pPr>
        <w:spacing w:after="0" w:line="360" w:lineRule="auto"/>
        <w:jc w:val="both"/>
        <w:rPr>
          <w:rFonts w:ascii="Arial" w:hAnsi="Arial" w:cs="Arial"/>
          <w:sz w:val="24"/>
          <w:szCs w:val="24"/>
        </w:rPr>
      </w:pPr>
      <w:r w:rsidRPr="002560F3">
        <w:rPr>
          <w:rFonts w:ascii="Arial" w:hAnsi="Arial" w:cs="Arial"/>
          <w:sz w:val="24"/>
          <w:szCs w:val="24"/>
        </w:rPr>
        <w:t>[29</w:t>
      </w:r>
      <w:r w:rsidR="00EA59F5">
        <w:rPr>
          <w:rFonts w:ascii="Arial" w:hAnsi="Arial" w:cs="Arial"/>
          <w:sz w:val="24"/>
          <w:szCs w:val="24"/>
        </w:rPr>
        <w:t>]</w:t>
      </w:r>
      <w:r w:rsidR="00624502" w:rsidRPr="002560F3">
        <w:rPr>
          <w:rFonts w:ascii="Arial" w:hAnsi="Arial" w:cs="Arial"/>
          <w:sz w:val="24"/>
          <w:szCs w:val="24"/>
        </w:rPr>
        <w:tab/>
      </w:r>
      <w:r w:rsidR="0027211E" w:rsidRPr="002560F3">
        <w:rPr>
          <w:rFonts w:ascii="Arial" w:hAnsi="Arial" w:cs="Arial"/>
          <w:sz w:val="24"/>
          <w:szCs w:val="24"/>
        </w:rPr>
        <w:t>I</w:t>
      </w:r>
      <w:r w:rsidR="00D9111E" w:rsidRPr="002560F3">
        <w:rPr>
          <w:rFonts w:ascii="Arial" w:hAnsi="Arial" w:cs="Arial"/>
          <w:sz w:val="24"/>
          <w:szCs w:val="24"/>
        </w:rPr>
        <w:t xml:space="preserve">t bears emphasis that </w:t>
      </w:r>
      <w:r w:rsidR="00C83EE5" w:rsidRPr="002560F3">
        <w:rPr>
          <w:rFonts w:ascii="Arial" w:hAnsi="Arial" w:cs="Arial"/>
          <w:sz w:val="24"/>
          <w:szCs w:val="24"/>
        </w:rPr>
        <w:t xml:space="preserve">what </w:t>
      </w:r>
      <w:r w:rsidR="00D102AA" w:rsidRPr="002560F3">
        <w:rPr>
          <w:rFonts w:ascii="Arial" w:hAnsi="Arial" w:cs="Arial"/>
          <w:sz w:val="24"/>
          <w:szCs w:val="24"/>
        </w:rPr>
        <w:t xml:space="preserve">the </w:t>
      </w:r>
      <w:r w:rsidR="000348DB" w:rsidRPr="002560F3">
        <w:rPr>
          <w:rFonts w:ascii="Arial" w:hAnsi="Arial" w:cs="Arial"/>
          <w:sz w:val="24"/>
          <w:szCs w:val="24"/>
        </w:rPr>
        <w:t>S</w:t>
      </w:r>
      <w:r w:rsidR="0027211E" w:rsidRPr="002560F3">
        <w:rPr>
          <w:rFonts w:ascii="Arial" w:hAnsi="Arial" w:cs="Arial"/>
          <w:sz w:val="24"/>
          <w:szCs w:val="24"/>
        </w:rPr>
        <w:t xml:space="preserve">tate is ultimately seeking </w:t>
      </w:r>
      <w:r w:rsidR="00C83EE5" w:rsidRPr="002560F3">
        <w:rPr>
          <w:rFonts w:ascii="Arial" w:hAnsi="Arial" w:cs="Arial"/>
          <w:sz w:val="24"/>
          <w:szCs w:val="24"/>
        </w:rPr>
        <w:t xml:space="preserve">is </w:t>
      </w:r>
      <w:r w:rsidR="00D102AA" w:rsidRPr="002560F3">
        <w:rPr>
          <w:rFonts w:ascii="Arial" w:hAnsi="Arial" w:cs="Arial"/>
          <w:sz w:val="24"/>
          <w:szCs w:val="24"/>
        </w:rPr>
        <w:t xml:space="preserve">condonation of </w:t>
      </w:r>
      <w:r w:rsidR="00C83EE5" w:rsidRPr="002560F3">
        <w:rPr>
          <w:rFonts w:ascii="Arial" w:hAnsi="Arial" w:cs="Arial"/>
          <w:sz w:val="24"/>
          <w:szCs w:val="24"/>
        </w:rPr>
        <w:t xml:space="preserve">facts that are </w:t>
      </w:r>
      <w:r w:rsidR="0027211E" w:rsidRPr="002560F3">
        <w:rPr>
          <w:rFonts w:ascii="Arial" w:hAnsi="Arial" w:cs="Arial"/>
          <w:sz w:val="24"/>
          <w:szCs w:val="24"/>
        </w:rPr>
        <w:t>self</w:t>
      </w:r>
      <w:r w:rsidR="00C83EE5" w:rsidRPr="002560F3">
        <w:rPr>
          <w:rFonts w:ascii="Arial" w:hAnsi="Arial" w:cs="Arial"/>
          <w:sz w:val="24"/>
          <w:szCs w:val="24"/>
        </w:rPr>
        <w:t>-serving, which</w:t>
      </w:r>
      <w:r w:rsidR="00A644F4" w:rsidRPr="002560F3">
        <w:rPr>
          <w:rFonts w:ascii="Arial" w:hAnsi="Arial" w:cs="Arial"/>
          <w:sz w:val="24"/>
          <w:szCs w:val="24"/>
        </w:rPr>
        <w:t xml:space="preserve"> </w:t>
      </w:r>
      <w:r w:rsidR="00BB4C3A" w:rsidRPr="002560F3">
        <w:rPr>
          <w:rFonts w:ascii="Arial" w:hAnsi="Arial" w:cs="Arial"/>
          <w:sz w:val="24"/>
          <w:szCs w:val="24"/>
        </w:rPr>
        <w:t xml:space="preserve">it has compiled </w:t>
      </w:r>
      <w:r w:rsidR="00D102AA" w:rsidRPr="002560F3">
        <w:rPr>
          <w:rFonts w:ascii="Arial" w:hAnsi="Arial" w:cs="Arial"/>
          <w:sz w:val="24"/>
          <w:szCs w:val="24"/>
        </w:rPr>
        <w:t xml:space="preserve">and presented </w:t>
      </w:r>
      <w:r w:rsidR="008845D6" w:rsidRPr="002560F3">
        <w:rPr>
          <w:rFonts w:ascii="Arial" w:hAnsi="Arial" w:cs="Arial"/>
          <w:sz w:val="24"/>
          <w:szCs w:val="24"/>
        </w:rPr>
        <w:t xml:space="preserve">to this </w:t>
      </w:r>
      <w:r w:rsidR="000348DB" w:rsidRPr="002560F3">
        <w:rPr>
          <w:rFonts w:ascii="Arial" w:hAnsi="Arial" w:cs="Arial"/>
          <w:sz w:val="24"/>
          <w:szCs w:val="24"/>
        </w:rPr>
        <w:t>C</w:t>
      </w:r>
      <w:r w:rsidR="00C83EE5" w:rsidRPr="002560F3">
        <w:rPr>
          <w:rFonts w:ascii="Arial" w:hAnsi="Arial" w:cs="Arial"/>
          <w:sz w:val="24"/>
          <w:szCs w:val="24"/>
        </w:rPr>
        <w:t xml:space="preserve">ourt in its petition. It is clear that the facts upon which the points of law were said to hinge were not set out fully or otherwise by the State in its s 319 application. </w:t>
      </w:r>
      <w:r w:rsidR="00D102AA" w:rsidRPr="002560F3">
        <w:rPr>
          <w:rFonts w:ascii="Arial" w:hAnsi="Arial" w:cs="Arial"/>
          <w:sz w:val="24"/>
          <w:szCs w:val="24"/>
        </w:rPr>
        <w:t xml:space="preserve">For all the aforegoing reasons, the application for condonation by the State must be refused. There would be </w:t>
      </w:r>
      <w:r w:rsidR="00D102AA" w:rsidRPr="002560F3">
        <w:rPr>
          <w:rFonts w:ascii="Arial" w:hAnsi="Arial" w:cs="Arial"/>
          <w:sz w:val="24"/>
          <w:szCs w:val="24"/>
        </w:rPr>
        <w:lastRenderedPageBreak/>
        <w:t>good reason</w:t>
      </w:r>
      <w:r w:rsidR="00C83EE5" w:rsidRPr="002560F3">
        <w:rPr>
          <w:rFonts w:ascii="Arial" w:hAnsi="Arial" w:cs="Arial"/>
          <w:sz w:val="24"/>
          <w:szCs w:val="24"/>
        </w:rPr>
        <w:t>s</w:t>
      </w:r>
      <w:r w:rsidR="00D102AA" w:rsidRPr="002560F3">
        <w:rPr>
          <w:rFonts w:ascii="Arial" w:hAnsi="Arial" w:cs="Arial"/>
          <w:sz w:val="24"/>
          <w:szCs w:val="24"/>
        </w:rPr>
        <w:t xml:space="preserve"> for this </w:t>
      </w:r>
      <w:r w:rsidR="000348DB" w:rsidRPr="002560F3">
        <w:rPr>
          <w:rFonts w:ascii="Arial" w:hAnsi="Arial" w:cs="Arial"/>
          <w:sz w:val="24"/>
          <w:szCs w:val="24"/>
        </w:rPr>
        <w:t>C</w:t>
      </w:r>
      <w:r w:rsidR="00D102AA" w:rsidRPr="002560F3">
        <w:rPr>
          <w:rFonts w:ascii="Arial" w:hAnsi="Arial" w:cs="Arial"/>
          <w:sz w:val="24"/>
          <w:szCs w:val="24"/>
        </w:rPr>
        <w:t xml:space="preserve">ourt to dismiss the application </w:t>
      </w:r>
      <w:r w:rsidR="00A644F4" w:rsidRPr="002560F3">
        <w:rPr>
          <w:rFonts w:ascii="Arial" w:hAnsi="Arial" w:cs="Arial"/>
          <w:sz w:val="24"/>
          <w:szCs w:val="24"/>
        </w:rPr>
        <w:t>based on</w:t>
      </w:r>
      <w:r w:rsidR="00D102AA" w:rsidRPr="002560F3">
        <w:rPr>
          <w:rFonts w:ascii="Arial" w:hAnsi="Arial" w:cs="Arial"/>
          <w:sz w:val="24"/>
          <w:szCs w:val="24"/>
        </w:rPr>
        <w:t xml:space="preserve"> the State’s concession alone. But I do not think that this course should be adopted. </w:t>
      </w:r>
      <w:r w:rsidR="00A154CF">
        <w:rPr>
          <w:rFonts w:ascii="Arial" w:hAnsi="Arial" w:cs="Arial"/>
          <w:sz w:val="24"/>
          <w:szCs w:val="24"/>
        </w:rPr>
        <w:t xml:space="preserve">I </w:t>
      </w:r>
      <w:r w:rsidR="004205B2">
        <w:rPr>
          <w:rFonts w:ascii="Arial" w:hAnsi="Arial" w:cs="Arial"/>
          <w:sz w:val="24"/>
          <w:szCs w:val="24"/>
        </w:rPr>
        <w:t xml:space="preserve">thus nevertheless </w:t>
      </w:r>
      <w:r w:rsidR="00D102AA" w:rsidRPr="002560F3">
        <w:rPr>
          <w:rFonts w:ascii="Arial" w:hAnsi="Arial" w:cs="Arial"/>
          <w:sz w:val="24"/>
          <w:szCs w:val="24"/>
        </w:rPr>
        <w:t>consider it necessary in this matter to deal further with the issues raised.</w:t>
      </w:r>
      <w:r w:rsidR="009152E3" w:rsidRPr="002560F3">
        <w:rPr>
          <w:rFonts w:ascii="Arial" w:hAnsi="Arial" w:cs="Arial"/>
          <w:sz w:val="24"/>
          <w:szCs w:val="24"/>
        </w:rPr>
        <w:t xml:space="preserve"> </w:t>
      </w:r>
    </w:p>
    <w:p w14:paraId="27BF5AF8" w14:textId="77777777" w:rsidR="005C54A6" w:rsidRPr="002560F3" w:rsidRDefault="005C54A6" w:rsidP="005C54A6">
      <w:pPr>
        <w:spacing w:after="0" w:line="360" w:lineRule="auto"/>
        <w:jc w:val="both"/>
        <w:rPr>
          <w:rFonts w:ascii="Arial" w:hAnsi="Arial" w:cs="Arial"/>
          <w:sz w:val="24"/>
          <w:szCs w:val="24"/>
        </w:rPr>
      </w:pPr>
    </w:p>
    <w:p w14:paraId="195716A4" w14:textId="05315B28" w:rsidR="009152E3" w:rsidRPr="002560F3" w:rsidRDefault="0052429F" w:rsidP="00C7748E">
      <w:pPr>
        <w:autoSpaceDE w:val="0"/>
        <w:autoSpaceDN w:val="0"/>
        <w:adjustRightInd w:val="0"/>
        <w:spacing w:after="0" w:line="360" w:lineRule="auto"/>
        <w:jc w:val="both"/>
        <w:rPr>
          <w:rFonts w:ascii="Arial" w:hAnsi="Arial" w:cs="Arial"/>
          <w:b/>
          <w:bCs/>
          <w:sz w:val="24"/>
          <w:szCs w:val="24"/>
        </w:rPr>
      </w:pPr>
      <w:r w:rsidRPr="002560F3">
        <w:rPr>
          <w:rFonts w:ascii="Arial" w:hAnsi="Arial" w:cs="Arial"/>
          <w:b/>
          <w:bCs/>
          <w:sz w:val="24"/>
          <w:szCs w:val="24"/>
        </w:rPr>
        <w:t>Are the questions raised by the State questions of law or fact</w:t>
      </w:r>
      <w:r w:rsidR="00EC1099">
        <w:rPr>
          <w:rFonts w:ascii="Arial" w:hAnsi="Arial" w:cs="Arial"/>
          <w:b/>
          <w:bCs/>
          <w:sz w:val="24"/>
          <w:szCs w:val="24"/>
        </w:rPr>
        <w:t>?</w:t>
      </w:r>
    </w:p>
    <w:p w14:paraId="2292C5E4" w14:textId="5392284B" w:rsidR="007C1C34" w:rsidRDefault="00043CEB" w:rsidP="00895BDF">
      <w:pPr>
        <w:autoSpaceDE w:val="0"/>
        <w:autoSpaceDN w:val="0"/>
        <w:adjustRightInd w:val="0"/>
        <w:spacing w:after="0" w:line="360" w:lineRule="auto"/>
        <w:jc w:val="both"/>
        <w:rPr>
          <w:rFonts w:ascii="Arial" w:hAnsi="Arial" w:cs="Arial"/>
          <w:sz w:val="24"/>
          <w:szCs w:val="24"/>
        </w:rPr>
      </w:pPr>
      <w:r w:rsidRPr="002560F3">
        <w:rPr>
          <w:rFonts w:ascii="Arial" w:hAnsi="Arial" w:cs="Arial"/>
          <w:sz w:val="24"/>
          <w:szCs w:val="24"/>
        </w:rPr>
        <w:t>[30</w:t>
      </w:r>
      <w:r w:rsidR="00851582" w:rsidRPr="002560F3">
        <w:rPr>
          <w:rFonts w:ascii="Arial" w:hAnsi="Arial" w:cs="Arial"/>
          <w:sz w:val="24"/>
          <w:szCs w:val="24"/>
        </w:rPr>
        <w:t>]</w:t>
      </w:r>
      <w:r w:rsidR="0052429F" w:rsidRPr="002560F3">
        <w:rPr>
          <w:rFonts w:ascii="Arial" w:hAnsi="Arial" w:cs="Arial"/>
          <w:sz w:val="24"/>
          <w:szCs w:val="24"/>
        </w:rPr>
        <w:tab/>
      </w:r>
      <w:r w:rsidR="008A231F" w:rsidRPr="002560F3">
        <w:rPr>
          <w:rFonts w:ascii="Arial" w:hAnsi="Arial" w:cs="Arial"/>
          <w:sz w:val="24"/>
          <w:szCs w:val="24"/>
        </w:rPr>
        <w:t>I turn to consider wheth</w:t>
      </w:r>
      <w:r w:rsidR="00E6179E" w:rsidRPr="002560F3">
        <w:rPr>
          <w:rFonts w:ascii="Arial" w:hAnsi="Arial" w:cs="Arial"/>
          <w:sz w:val="24"/>
          <w:szCs w:val="24"/>
        </w:rPr>
        <w:t xml:space="preserve">er the questions of law raised by the State </w:t>
      </w:r>
      <w:r w:rsidR="0052429F" w:rsidRPr="002560F3">
        <w:rPr>
          <w:rFonts w:ascii="Arial" w:hAnsi="Arial" w:cs="Arial"/>
          <w:sz w:val="24"/>
          <w:szCs w:val="24"/>
        </w:rPr>
        <w:t>are questions</w:t>
      </w:r>
      <w:r w:rsidR="008A231F" w:rsidRPr="002560F3">
        <w:rPr>
          <w:rFonts w:ascii="Arial" w:hAnsi="Arial" w:cs="Arial"/>
          <w:sz w:val="24"/>
          <w:szCs w:val="24"/>
        </w:rPr>
        <w:t xml:space="preserve"> of fact </w:t>
      </w:r>
      <w:r w:rsidR="0052429F" w:rsidRPr="002560F3">
        <w:rPr>
          <w:rFonts w:ascii="Arial" w:hAnsi="Arial" w:cs="Arial"/>
          <w:sz w:val="24"/>
          <w:szCs w:val="24"/>
        </w:rPr>
        <w:t>or questions</w:t>
      </w:r>
      <w:r w:rsidR="008A231F" w:rsidRPr="002560F3">
        <w:rPr>
          <w:rFonts w:ascii="Arial" w:hAnsi="Arial" w:cs="Arial"/>
          <w:sz w:val="24"/>
          <w:szCs w:val="24"/>
        </w:rPr>
        <w:t xml:space="preserve"> of law.</w:t>
      </w:r>
      <w:r w:rsidR="00895BDF" w:rsidRPr="002560F3">
        <w:rPr>
          <w:rFonts w:ascii="Arial" w:hAnsi="Arial" w:cs="Arial"/>
          <w:sz w:val="24"/>
          <w:szCs w:val="24"/>
        </w:rPr>
        <w:t xml:space="preserve"> </w:t>
      </w:r>
    </w:p>
    <w:p w14:paraId="722467C3" w14:textId="77777777" w:rsidR="00F7652B" w:rsidRPr="002560F3" w:rsidRDefault="00F7652B" w:rsidP="00895BDF">
      <w:pPr>
        <w:autoSpaceDE w:val="0"/>
        <w:autoSpaceDN w:val="0"/>
        <w:adjustRightInd w:val="0"/>
        <w:spacing w:after="0" w:line="360" w:lineRule="auto"/>
        <w:jc w:val="both"/>
        <w:rPr>
          <w:rFonts w:ascii="Arial" w:hAnsi="Arial" w:cs="Arial"/>
          <w:b/>
          <w:bCs/>
          <w:sz w:val="24"/>
          <w:szCs w:val="24"/>
        </w:rPr>
      </w:pPr>
    </w:p>
    <w:p w14:paraId="73BE70A6" w14:textId="5201FCAC" w:rsidR="008B27DD" w:rsidRPr="00B85098" w:rsidRDefault="00253087" w:rsidP="00895BDF">
      <w:pPr>
        <w:autoSpaceDE w:val="0"/>
        <w:autoSpaceDN w:val="0"/>
        <w:adjustRightInd w:val="0"/>
        <w:spacing w:after="0" w:line="360" w:lineRule="auto"/>
        <w:jc w:val="both"/>
        <w:rPr>
          <w:rFonts w:ascii="Arial" w:hAnsi="Arial" w:cs="Arial"/>
          <w:b/>
          <w:bCs/>
          <w:i/>
          <w:iCs/>
          <w:sz w:val="24"/>
          <w:szCs w:val="24"/>
        </w:rPr>
      </w:pPr>
      <w:r w:rsidRPr="00B85098">
        <w:rPr>
          <w:rFonts w:ascii="Arial" w:hAnsi="Arial" w:cs="Arial"/>
          <w:b/>
          <w:bCs/>
          <w:i/>
          <w:iCs/>
          <w:sz w:val="24"/>
          <w:szCs w:val="24"/>
        </w:rPr>
        <w:t>T</w:t>
      </w:r>
      <w:r w:rsidR="0052429F" w:rsidRPr="00B85098">
        <w:rPr>
          <w:rFonts w:ascii="Arial" w:hAnsi="Arial" w:cs="Arial"/>
          <w:b/>
          <w:bCs/>
          <w:i/>
          <w:iCs/>
          <w:sz w:val="24"/>
          <w:szCs w:val="24"/>
        </w:rPr>
        <w:t>he respective contentions of the parties</w:t>
      </w:r>
    </w:p>
    <w:p w14:paraId="6BF492AD" w14:textId="21DAD292" w:rsidR="009901CC" w:rsidRDefault="00043CEB" w:rsidP="00B40AB1">
      <w:pPr>
        <w:spacing w:after="0" w:line="360" w:lineRule="auto"/>
        <w:contextualSpacing/>
        <w:jc w:val="both"/>
        <w:rPr>
          <w:rFonts w:ascii="Arial" w:hAnsi="Arial" w:cs="Arial"/>
          <w:sz w:val="24"/>
          <w:szCs w:val="24"/>
        </w:rPr>
      </w:pPr>
      <w:r w:rsidRPr="002560F3">
        <w:rPr>
          <w:rFonts w:ascii="Arial" w:hAnsi="Arial" w:cs="Arial"/>
          <w:sz w:val="24"/>
          <w:szCs w:val="24"/>
        </w:rPr>
        <w:t>[31</w:t>
      </w:r>
      <w:r w:rsidR="00C85EB8" w:rsidRPr="002560F3">
        <w:rPr>
          <w:rFonts w:ascii="Arial" w:hAnsi="Arial" w:cs="Arial"/>
          <w:sz w:val="24"/>
          <w:szCs w:val="24"/>
        </w:rPr>
        <w:t>]</w:t>
      </w:r>
      <w:r w:rsidR="0052429F" w:rsidRPr="002560F3">
        <w:rPr>
          <w:rFonts w:ascii="Arial" w:hAnsi="Arial" w:cs="Arial"/>
          <w:sz w:val="24"/>
          <w:szCs w:val="24"/>
        </w:rPr>
        <w:tab/>
      </w:r>
      <w:r w:rsidR="00C85EB8" w:rsidRPr="002560F3">
        <w:rPr>
          <w:rFonts w:ascii="Arial" w:hAnsi="Arial" w:cs="Arial"/>
          <w:sz w:val="24"/>
          <w:szCs w:val="24"/>
        </w:rPr>
        <w:t>The S</w:t>
      </w:r>
      <w:r w:rsidR="008B27DD" w:rsidRPr="002560F3">
        <w:rPr>
          <w:rFonts w:ascii="Arial" w:hAnsi="Arial" w:cs="Arial"/>
          <w:sz w:val="24"/>
          <w:szCs w:val="24"/>
        </w:rPr>
        <w:t>tate contended that t</w:t>
      </w:r>
      <w:r w:rsidR="009901CC" w:rsidRPr="002560F3">
        <w:rPr>
          <w:rFonts w:ascii="Arial" w:hAnsi="Arial" w:cs="Arial"/>
          <w:sz w:val="24"/>
          <w:szCs w:val="24"/>
        </w:rPr>
        <w:t>he proposed questions of law were</w:t>
      </w:r>
      <w:r w:rsidR="008B27DD" w:rsidRPr="002560F3">
        <w:rPr>
          <w:rFonts w:ascii="Arial" w:hAnsi="Arial" w:cs="Arial"/>
          <w:sz w:val="24"/>
          <w:szCs w:val="24"/>
        </w:rPr>
        <w:t xml:space="preserve"> not based on </w:t>
      </w:r>
      <w:r w:rsidR="009901CC" w:rsidRPr="002560F3">
        <w:rPr>
          <w:rFonts w:ascii="Arial" w:hAnsi="Arial" w:cs="Arial"/>
          <w:sz w:val="24"/>
          <w:szCs w:val="24"/>
        </w:rPr>
        <w:t xml:space="preserve">the </w:t>
      </w:r>
      <w:r w:rsidR="008B27DD" w:rsidRPr="002560F3">
        <w:rPr>
          <w:rFonts w:ascii="Arial" w:hAnsi="Arial" w:cs="Arial"/>
          <w:sz w:val="24"/>
          <w:szCs w:val="24"/>
        </w:rPr>
        <w:t xml:space="preserve">dissatisfaction with the manner in which the trial court went about evaluating the evidence, </w:t>
      </w:r>
      <w:r w:rsidR="00B40AB1">
        <w:rPr>
          <w:rFonts w:ascii="Arial" w:hAnsi="Arial" w:cs="Arial"/>
          <w:sz w:val="24"/>
          <w:szCs w:val="24"/>
        </w:rPr>
        <w:t>n</w:t>
      </w:r>
      <w:r w:rsidR="008B27DD" w:rsidRPr="002560F3">
        <w:rPr>
          <w:rFonts w:ascii="Arial" w:hAnsi="Arial" w:cs="Arial"/>
          <w:sz w:val="24"/>
          <w:szCs w:val="24"/>
        </w:rPr>
        <w:t>or th</w:t>
      </w:r>
      <w:r w:rsidR="002079F4" w:rsidRPr="002560F3">
        <w:rPr>
          <w:rFonts w:ascii="Arial" w:hAnsi="Arial" w:cs="Arial"/>
          <w:sz w:val="24"/>
          <w:szCs w:val="24"/>
        </w:rPr>
        <w:t>e correctness of its conclusion</w:t>
      </w:r>
      <w:r w:rsidR="00B40AB1">
        <w:rPr>
          <w:rFonts w:ascii="Arial" w:hAnsi="Arial" w:cs="Arial"/>
          <w:sz w:val="24"/>
          <w:szCs w:val="24"/>
        </w:rPr>
        <w:t>,</w:t>
      </w:r>
      <w:r w:rsidR="007C1C34" w:rsidRPr="002560F3">
        <w:rPr>
          <w:rFonts w:ascii="Arial" w:hAnsi="Arial" w:cs="Arial"/>
          <w:sz w:val="24"/>
          <w:szCs w:val="24"/>
        </w:rPr>
        <w:t xml:space="preserve"> but instead: </w:t>
      </w:r>
      <w:r w:rsidR="00465B72" w:rsidRPr="002560F3">
        <w:rPr>
          <w:rFonts w:ascii="Arial" w:hAnsi="Arial" w:cs="Arial"/>
          <w:sz w:val="24"/>
          <w:szCs w:val="24"/>
        </w:rPr>
        <w:t xml:space="preserve">(i) </w:t>
      </w:r>
      <w:r w:rsidR="00C83EE5" w:rsidRPr="002560F3">
        <w:rPr>
          <w:rFonts w:ascii="Arial" w:hAnsi="Arial" w:cs="Arial"/>
          <w:sz w:val="24"/>
          <w:szCs w:val="24"/>
        </w:rPr>
        <w:t xml:space="preserve">with </w:t>
      </w:r>
      <w:r w:rsidR="007C1C34" w:rsidRPr="002560F3">
        <w:rPr>
          <w:rFonts w:ascii="Arial" w:hAnsi="Arial" w:cs="Arial"/>
          <w:sz w:val="24"/>
          <w:szCs w:val="24"/>
        </w:rPr>
        <w:t>the consequent approach of the trial court that only some of the evidence required evaluation</w:t>
      </w:r>
      <w:r w:rsidR="00B40AB1">
        <w:rPr>
          <w:rFonts w:ascii="Arial" w:hAnsi="Arial" w:cs="Arial"/>
          <w:sz w:val="24"/>
          <w:szCs w:val="24"/>
        </w:rPr>
        <w:t>,</w:t>
      </w:r>
      <w:r w:rsidR="007C1C34" w:rsidRPr="002560F3">
        <w:rPr>
          <w:rFonts w:ascii="Arial" w:hAnsi="Arial" w:cs="Arial"/>
          <w:sz w:val="24"/>
          <w:szCs w:val="24"/>
        </w:rPr>
        <w:t xml:space="preserve"> whi</w:t>
      </w:r>
      <w:r w:rsidR="00AB34D2" w:rsidRPr="002560F3">
        <w:rPr>
          <w:rFonts w:ascii="Arial" w:hAnsi="Arial" w:cs="Arial"/>
          <w:sz w:val="24"/>
          <w:szCs w:val="24"/>
        </w:rPr>
        <w:t>l</w:t>
      </w:r>
      <w:r w:rsidR="007C1C34" w:rsidRPr="002560F3">
        <w:rPr>
          <w:rFonts w:ascii="Arial" w:hAnsi="Arial" w:cs="Arial"/>
          <w:sz w:val="24"/>
          <w:szCs w:val="24"/>
        </w:rPr>
        <w:t>st others would not avail the court in reaching the conclusion it sought to reach;</w:t>
      </w:r>
      <w:r w:rsidR="00E20A80" w:rsidRPr="002560F3">
        <w:rPr>
          <w:rFonts w:ascii="Arial" w:hAnsi="Arial" w:cs="Arial"/>
          <w:sz w:val="24"/>
          <w:szCs w:val="24"/>
        </w:rPr>
        <w:t xml:space="preserve"> </w:t>
      </w:r>
      <w:r w:rsidR="007C1C34" w:rsidRPr="002560F3">
        <w:rPr>
          <w:rFonts w:ascii="Arial" w:hAnsi="Arial" w:cs="Arial"/>
          <w:sz w:val="24"/>
          <w:szCs w:val="24"/>
        </w:rPr>
        <w:t xml:space="preserve">(ii) with the </w:t>
      </w:r>
      <w:r w:rsidR="00465B72" w:rsidRPr="002560F3">
        <w:rPr>
          <w:rFonts w:ascii="Arial" w:hAnsi="Arial" w:cs="Arial"/>
          <w:sz w:val="24"/>
          <w:szCs w:val="24"/>
        </w:rPr>
        <w:t>trial court</w:t>
      </w:r>
      <w:r w:rsidR="00C83EE5" w:rsidRPr="002560F3">
        <w:rPr>
          <w:rFonts w:ascii="Arial" w:hAnsi="Arial" w:cs="Arial"/>
          <w:sz w:val="24"/>
          <w:szCs w:val="24"/>
        </w:rPr>
        <w:t>’</w:t>
      </w:r>
      <w:r w:rsidR="00465B72" w:rsidRPr="002560F3">
        <w:rPr>
          <w:rFonts w:ascii="Arial" w:hAnsi="Arial" w:cs="Arial"/>
          <w:sz w:val="24"/>
          <w:szCs w:val="24"/>
        </w:rPr>
        <w:t>s failure to s</w:t>
      </w:r>
      <w:r w:rsidR="009901CC" w:rsidRPr="002560F3">
        <w:rPr>
          <w:rFonts w:ascii="Arial" w:hAnsi="Arial" w:cs="Arial"/>
          <w:sz w:val="24"/>
          <w:szCs w:val="24"/>
        </w:rPr>
        <w:t>crutinise and evaluate the respondent</w:t>
      </w:r>
      <w:r w:rsidR="00B40AB1">
        <w:rPr>
          <w:rFonts w:ascii="Arial" w:hAnsi="Arial" w:cs="Arial"/>
          <w:sz w:val="24"/>
          <w:szCs w:val="24"/>
        </w:rPr>
        <w:t>’</w:t>
      </w:r>
      <w:r w:rsidR="009901CC" w:rsidRPr="002560F3">
        <w:rPr>
          <w:rFonts w:ascii="Arial" w:hAnsi="Arial" w:cs="Arial"/>
          <w:sz w:val="24"/>
          <w:szCs w:val="24"/>
        </w:rPr>
        <w:t xml:space="preserve">s version of duress and his </w:t>
      </w:r>
      <w:r w:rsidR="009901CC" w:rsidRPr="002560F3">
        <w:rPr>
          <w:rFonts w:ascii="Arial" w:hAnsi="Arial" w:cs="Arial"/>
          <w:i/>
          <w:iCs/>
          <w:sz w:val="24"/>
          <w:szCs w:val="24"/>
        </w:rPr>
        <w:t>viva voce</w:t>
      </w:r>
      <w:r w:rsidR="009901CC" w:rsidRPr="002560F3">
        <w:rPr>
          <w:rFonts w:ascii="Arial" w:hAnsi="Arial" w:cs="Arial"/>
          <w:sz w:val="24"/>
          <w:szCs w:val="24"/>
        </w:rPr>
        <w:t xml:space="preserve"> evidence in support thereof</w:t>
      </w:r>
      <w:r w:rsidR="00B40AB1">
        <w:rPr>
          <w:rFonts w:ascii="Arial" w:hAnsi="Arial" w:cs="Arial"/>
          <w:sz w:val="24"/>
          <w:szCs w:val="24"/>
        </w:rPr>
        <w:t>,</w:t>
      </w:r>
      <w:r w:rsidR="009901CC" w:rsidRPr="002560F3">
        <w:rPr>
          <w:rFonts w:ascii="Arial" w:hAnsi="Arial" w:cs="Arial"/>
          <w:sz w:val="24"/>
          <w:szCs w:val="24"/>
        </w:rPr>
        <w:t xml:space="preserve"> so as to be able to reach a finding that the said version is reasonably possibility true</w:t>
      </w:r>
      <w:r w:rsidR="00AB34D2" w:rsidRPr="002560F3">
        <w:rPr>
          <w:rFonts w:ascii="Arial" w:hAnsi="Arial" w:cs="Arial"/>
          <w:sz w:val="24"/>
          <w:szCs w:val="24"/>
        </w:rPr>
        <w:t>; and</w:t>
      </w:r>
      <w:r w:rsidR="00E20A80" w:rsidRPr="002560F3">
        <w:rPr>
          <w:rFonts w:ascii="Arial" w:hAnsi="Arial" w:cs="Arial"/>
          <w:sz w:val="24"/>
          <w:szCs w:val="24"/>
        </w:rPr>
        <w:t xml:space="preserve"> </w:t>
      </w:r>
      <w:r w:rsidR="009901CC" w:rsidRPr="002560F3">
        <w:rPr>
          <w:rFonts w:ascii="Arial" w:hAnsi="Arial" w:cs="Arial"/>
          <w:sz w:val="24"/>
          <w:szCs w:val="24"/>
        </w:rPr>
        <w:t>(iii) with the trial court</w:t>
      </w:r>
      <w:r w:rsidR="00E20A80" w:rsidRPr="002560F3">
        <w:rPr>
          <w:rFonts w:ascii="Arial" w:hAnsi="Arial" w:cs="Arial"/>
          <w:sz w:val="24"/>
          <w:szCs w:val="24"/>
        </w:rPr>
        <w:t xml:space="preserve"> </w:t>
      </w:r>
      <w:r w:rsidR="009901CC" w:rsidRPr="002560F3">
        <w:rPr>
          <w:rFonts w:ascii="Arial" w:hAnsi="Arial" w:cs="Arial"/>
          <w:sz w:val="24"/>
          <w:szCs w:val="24"/>
        </w:rPr>
        <w:t>equating the existence of a prior agreement to an essential element of the crimes of kidnapping, robbery and murder</w:t>
      </w:r>
      <w:r w:rsidR="008845D6" w:rsidRPr="002560F3">
        <w:rPr>
          <w:rFonts w:ascii="Arial" w:hAnsi="Arial" w:cs="Arial"/>
          <w:sz w:val="24"/>
          <w:szCs w:val="24"/>
        </w:rPr>
        <w:t xml:space="preserve">. </w:t>
      </w:r>
      <w:r w:rsidR="009901CC" w:rsidRPr="002560F3">
        <w:rPr>
          <w:rFonts w:ascii="Arial" w:hAnsi="Arial" w:cs="Arial"/>
          <w:sz w:val="24"/>
          <w:szCs w:val="24"/>
        </w:rPr>
        <w:t xml:space="preserve">The </w:t>
      </w:r>
      <w:r w:rsidR="00E20A80" w:rsidRPr="002560F3">
        <w:rPr>
          <w:rFonts w:ascii="Arial" w:hAnsi="Arial" w:cs="Arial"/>
          <w:sz w:val="24"/>
          <w:szCs w:val="24"/>
        </w:rPr>
        <w:t>State</w:t>
      </w:r>
      <w:r w:rsidR="009901CC" w:rsidRPr="002560F3">
        <w:rPr>
          <w:rFonts w:ascii="Arial" w:hAnsi="Arial" w:cs="Arial"/>
          <w:sz w:val="24"/>
          <w:szCs w:val="24"/>
        </w:rPr>
        <w:t xml:space="preserve"> contended that this approach was </w:t>
      </w:r>
      <w:r w:rsidR="00AB34D2" w:rsidRPr="002560F3">
        <w:rPr>
          <w:rFonts w:ascii="Arial" w:hAnsi="Arial" w:cs="Arial"/>
          <w:sz w:val="24"/>
          <w:szCs w:val="24"/>
        </w:rPr>
        <w:t>flawed,</w:t>
      </w:r>
      <w:r w:rsidR="00616B49" w:rsidRPr="002560F3">
        <w:rPr>
          <w:rFonts w:ascii="Arial" w:hAnsi="Arial" w:cs="Arial"/>
          <w:sz w:val="24"/>
          <w:szCs w:val="24"/>
        </w:rPr>
        <w:t xml:space="preserve"> </w:t>
      </w:r>
      <w:r w:rsidR="006A1629" w:rsidRPr="002560F3">
        <w:rPr>
          <w:rFonts w:ascii="Arial" w:hAnsi="Arial" w:cs="Arial"/>
          <w:sz w:val="24"/>
          <w:szCs w:val="24"/>
        </w:rPr>
        <w:t>which inevitably</w:t>
      </w:r>
      <w:r w:rsidR="00AB34D2" w:rsidRPr="002560F3">
        <w:rPr>
          <w:rFonts w:ascii="Arial" w:hAnsi="Arial" w:cs="Arial"/>
          <w:sz w:val="24"/>
          <w:szCs w:val="24"/>
        </w:rPr>
        <w:t xml:space="preserve"> </w:t>
      </w:r>
      <w:r w:rsidR="006A1629" w:rsidRPr="002560F3">
        <w:rPr>
          <w:rFonts w:ascii="Arial" w:hAnsi="Arial" w:cs="Arial"/>
          <w:sz w:val="24"/>
          <w:szCs w:val="24"/>
        </w:rPr>
        <w:t>led to a wrong concl</w:t>
      </w:r>
      <w:r w:rsidR="00D07EE5" w:rsidRPr="002560F3">
        <w:rPr>
          <w:rFonts w:ascii="Arial" w:hAnsi="Arial" w:cs="Arial"/>
          <w:sz w:val="24"/>
          <w:szCs w:val="24"/>
        </w:rPr>
        <w:t>usion in that the respondent was acquitted.</w:t>
      </w:r>
      <w:r w:rsidR="00E20A80" w:rsidRPr="002560F3">
        <w:rPr>
          <w:rFonts w:ascii="Arial" w:hAnsi="Arial" w:cs="Arial"/>
          <w:sz w:val="24"/>
          <w:szCs w:val="24"/>
        </w:rPr>
        <w:t xml:space="preserve"> </w:t>
      </w:r>
      <w:r w:rsidR="00D07EE5" w:rsidRPr="002560F3">
        <w:rPr>
          <w:rFonts w:ascii="Arial" w:hAnsi="Arial" w:cs="Arial"/>
          <w:sz w:val="24"/>
          <w:szCs w:val="24"/>
        </w:rPr>
        <w:t xml:space="preserve">This </w:t>
      </w:r>
      <w:r w:rsidR="006A1629" w:rsidRPr="002560F3">
        <w:rPr>
          <w:rFonts w:ascii="Arial" w:hAnsi="Arial" w:cs="Arial"/>
          <w:sz w:val="24"/>
          <w:szCs w:val="24"/>
        </w:rPr>
        <w:t>was tantamount to an error of law.</w:t>
      </w:r>
      <w:r w:rsidR="008845D6" w:rsidRPr="002560F3">
        <w:rPr>
          <w:rFonts w:ascii="Arial" w:hAnsi="Arial" w:cs="Arial"/>
          <w:sz w:val="24"/>
          <w:szCs w:val="24"/>
        </w:rPr>
        <w:t xml:space="preserve"> </w:t>
      </w:r>
      <w:r w:rsidR="003301C5" w:rsidRPr="002560F3">
        <w:rPr>
          <w:rFonts w:ascii="Arial" w:hAnsi="Arial" w:cs="Arial"/>
          <w:sz w:val="24"/>
          <w:szCs w:val="24"/>
        </w:rPr>
        <w:t xml:space="preserve">With </w:t>
      </w:r>
      <w:r w:rsidR="008845D6" w:rsidRPr="002560F3">
        <w:rPr>
          <w:rFonts w:ascii="Arial" w:hAnsi="Arial" w:cs="Arial"/>
          <w:sz w:val="24"/>
          <w:szCs w:val="24"/>
        </w:rPr>
        <w:t>regard to the third question of law, the State was of the view that it had been subsumed by the first question of law.</w:t>
      </w:r>
    </w:p>
    <w:p w14:paraId="62CCFCC9" w14:textId="77777777" w:rsidR="00B40AB1" w:rsidRDefault="00B40AB1" w:rsidP="00B0446D">
      <w:pPr>
        <w:spacing w:after="0" w:line="360" w:lineRule="auto"/>
        <w:contextualSpacing/>
        <w:jc w:val="both"/>
        <w:rPr>
          <w:rFonts w:ascii="Arial" w:hAnsi="Arial" w:cs="Arial"/>
          <w:sz w:val="24"/>
          <w:szCs w:val="24"/>
        </w:rPr>
      </w:pPr>
    </w:p>
    <w:p w14:paraId="0081FBDA" w14:textId="2EC39461" w:rsidR="00D07EE5" w:rsidRPr="00060445" w:rsidRDefault="00043CEB" w:rsidP="00B40AB1">
      <w:pPr>
        <w:spacing w:after="0" w:line="360" w:lineRule="auto"/>
        <w:contextualSpacing/>
        <w:jc w:val="both"/>
        <w:rPr>
          <w:rFonts w:ascii="Arial" w:hAnsi="Arial" w:cs="Arial"/>
        </w:rPr>
      </w:pPr>
      <w:r w:rsidRPr="002560F3">
        <w:rPr>
          <w:rFonts w:ascii="Arial" w:hAnsi="Arial" w:cs="Arial"/>
          <w:sz w:val="24"/>
          <w:szCs w:val="24"/>
        </w:rPr>
        <w:t>[32</w:t>
      </w:r>
      <w:r w:rsidR="00E74F97" w:rsidRPr="002560F3">
        <w:rPr>
          <w:rFonts w:ascii="Arial" w:hAnsi="Arial" w:cs="Arial"/>
          <w:sz w:val="24"/>
          <w:szCs w:val="24"/>
        </w:rPr>
        <w:t>]</w:t>
      </w:r>
      <w:r w:rsidR="0077220B" w:rsidRPr="002560F3">
        <w:rPr>
          <w:rFonts w:ascii="Arial" w:hAnsi="Arial" w:cs="Arial"/>
          <w:sz w:val="24"/>
          <w:szCs w:val="24"/>
        </w:rPr>
        <w:tab/>
      </w:r>
      <w:r w:rsidR="00D07EE5" w:rsidRPr="00060445">
        <w:rPr>
          <w:rFonts w:ascii="Arial" w:hAnsi="Arial" w:cs="Arial"/>
          <w:sz w:val="24"/>
          <w:szCs w:val="24"/>
        </w:rPr>
        <w:t xml:space="preserve">The nub of the State’s contentions </w:t>
      </w:r>
      <w:r w:rsidR="00AB34D2" w:rsidRPr="00060445">
        <w:rPr>
          <w:rFonts w:ascii="Arial" w:hAnsi="Arial" w:cs="Arial"/>
          <w:sz w:val="24"/>
          <w:szCs w:val="24"/>
        </w:rPr>
        <w:t>lies</w:t>
      </w:r>
      <w:r w:rsidR="00D07EE5" w:rsidRPr="00060445">
        <w:rPr>
          <w:rFonts w:ascii="Arial" w:hAnsi="Arial" w:cs="Arial"/>
          <w:sz w:val="24"/>
          <w:szCs w:val="24"/>
        </w:rPr>
        <w:t xml:space="preserve"> in paras 99 and 102 of the trial court</w:t>
      </w:r>
      <w:r w:rsidR="00B0272C" w:rsidRPr="00060445">
        <w:rPr>
          <w:rFonts w:ascii="Arial" w:hAnsi="Arial" w:cs="Arial"/>
          <w:sz w:val="24"/>
          <w:szCs w:val="24"/>
        </w:rPr>
        <w:t>’</w:t>
      </w:r>
      <w:r w:rsidR="00D07EE5" w:rsidRPr="00060445">
        <w:rPr>
          <w:rFonts w:ascii="Arial" w:hAnsi="Arial" w:cs="Arial"/>
          <w:sz w:val="24"/>
          <w:szCs w:val="24"/>
        </w:rPr>
        <w:t xml:space="preserve">s </w:t>
      </w:r>
      <w:r w:rsidR="0077220B" w:rsidRPr="00B85098">
        <w:rPr>
          <w:rFonts w:ascii="Arial" w:hAnsi="Arial" w:cs="Arial"/>
          <w:sz w:val="24"/>
          <w:szCs w:val="24"/>
        </w:rPr>
        <w:t>judgment,</w:t>
      </w:r>
      <w:r w:rsidR="00D07EE5" w:rsidRPr="00B85098">
        <w:rPr>
          <w:rFonts w:ascii="Arial" w:hAnsi="Arial" w:cs="Arial"/>
          <w:sz w:val="24"/>
          <w:szCs w:val="24"/>
        </w:rPr>
        <w:t xml:space="preserve"> where the </w:t>
      </w:r>
      <w:r w:rsidR="00DE7CEF" w:rsidRPr="00B85098">
        <w:rPr>
          <w:rFonts w:ascii="Arial" w:hAnsi="Arial" w:cs="Arial"/>
          <w:sz w:val="24"/>
          <w:szCs w:val="24"/>
        </w:rPr>
        <w:t xml:space="preserve">trial </w:t>
      </w:r>
      <w:r w:rsidR="00D07EE5" w:rsidRPr="00B85098">
        <w:rPr>
          <w:rFonts w:ascii="Arial" w:hAnsi="Arial" w:cs="Arial"/>
          <w:sz w:val="24"/>
          <w:szCs w:val="24"/>
        </w:rPr>
        <w:t>court pertinently said</w:t>
      </w:r>
      <w:r w:rsidR="00D07EE5" w:rsidRPr="00060445">
        <w:rPr>
          <w:rFonts w:ascii="Arial" w:hAnsi="Arial" w:cs="Arial"/>
        </w:rPr>
        <w:t>:</w:t>
      </w:r>
    </w:p>
    <w:p w14:paraId="15A793E5" w14:textId="04ED0364" w:rsidR="00D07EE5" w:rsidRPr="00060445" w:rsidRDefault="0077220B" w:rsidP="00D44002">
      <w:pPr>
        <w:spacing w:after="0" w:line="360" w:lineRule="auto"/>
        <w:contextualSpacing/>
        <w:jc w:val="both"/>
        <w:rPr>
          <w:rFonts w:ascii="Arial" w:hAnsi="Arial" w:cs="Arial"/>
        </w:rPr>
      </w:pPr>
      <w:r w:rsidRPr="00A97AC1">
        <w:rPr>
          <w:rFonts w:ascii="Arial" w:hAnsi="Arial" w:cs="Arial"/>
        </w:rPr>
        <w:t>‘</w:t>
      </w:r>
      <w:r w:rsidR="00D07EE5" w:rsidRPr="00A97AC1">
        <w:rPr>
          <w:rFonts w:ascii="Arial" w:hAnsi="Arial" w:cs="Arial"/>
        </w:rPr>
        <w:t xml:space="preserve">It is also important to take note that the court in </w:t>
      </w:r>
      <w:r w:rsidR="00D07EE5" w:rsidRPr="00B0446D">
        <w:rPr>
          <w:rFonts w:ascii="Arial" w:hAnsi="Arial" w:cs="Arial"/>
          <w:i/>
        </w:rPr>
        <w:t>S v Texeira</w:t>
      </w:r>
      <w:r w:rsidR="00AB34D2" w:rsidRPr="00A97AC1">
        <w:rPr>
          <w:rFonts w:ascii="Arial" w:hAnsi="Arial" w:cs="Arial"/>
        </w:rPr>
        <w:t xml:space="preserve"> </w:t>
      </w:r>
      <w:r w:rsidR="00D07EE5" w:rsidRPr="00A97AC1">
        <w:rPr>
          <w:rFonts w:ascii="Arial" w:hAnsi="Arial" w:cs="Arial"/>
        </w:rPr>
        <w:t xml:space="preserve">stressed that, in evaluating the evidence of a single witness, </w:t>
      </w:r>
      <w:r w:rsidR="00AB34D2" w:rsidRPr="00B85098">
        <w:rPr>
          <w:rFonts w:ascii="Arial" w:hAnsi="Arial" w:cs="Arial"/>
          <w:bCs/>
          <w:i/>
          <w:iCs/>
        </w:rPr>
        <w:t>“</w:t>
      </w:r>
      <w:r w:rsidR="00D07EE5" w:rsidRPr="00B85098">
        <w:rPr>
          <w:rFonts w:ascii="Arial" w:hAnsi="Arial" w:cs="Arial"/>
          <w:bCs/>
          <w:i/>
          <w:iCs/>
        </w:rPr>
        <w:t>a final evaluation can rarely, if ever, be made without considering whether such evidence is consistent with the probabilities</w:t>
      </w:r>
      <w:r w:rsidR="00AB34D2" w:rsidRPr="00B85098">
        <w:rPr>
          <w:rFonts w:ascii="Arial" w:hAnsi="Arial" w:cs="Arial"/>
          <w:bCs/>
        </w:rPr>
        <w:t>”</w:t>
      </w:r>
      <w:r w:rsidR="00D07EE5" w:rsidRPr="00060445">
        <w:rPr>
          <w:rFonts w:ascii="Arial" w:hAnsi="Arial" w:cs="Arial"/>
        </w:rPr>
        <w:t xml:space="preserve">. It is indeed so that corroboration, which is a common safeguard against the dangers of relying on the evidence of a single witness, has been defined as other evidence </w:t>
      </w:r>
      <w:r w:rsidR="00AB34D2" w:rsidRPr="00A97AC1">
        <w:rPr>
          <w:rFonts w:ascii="Arial" w:hAnsi="Arial" w:cs="Arial"/>
        </w:rPr>
        <w:t xml:space="preserve">which supports the evidence of the State witness and which renders the evidence </w:t>
      </w:r>
      <w:r w:rsidR="00D07EE5" w:rsidRPr="00A97AC1">
        <w:rPr>
          <w:rFonts w:ascii="Arial" w:hAnsi="Arial" w:cs="Arial"/>
        </w:rPr>
        <w:t>of the accused less probable on the issue in dispute</w:t>
      </w:r>
      <w:r w:rsidR="00B0272C" w:rsidRPr="00BF50C0">
        <w:rPr>
          <w:rFonts w:ascii="Arial" w:hAnsi="Arial" w:cs="Arial"/>
        </w:rPr>
        <w:t xml:space="preserve">. </w:t>
      </w:r>
      <w:r w:rsidR="00D07EE5" w:rsidRPr="00BF50C0">
        <w:rPr>
          <w:rFonts w:ascii="Arial" w:hAnsi="Arial" w:cs="Arial"/>
          <w:i/>
        </w:rPr>
        <w:t xml:space="preserve">The present case clearly demonstrates that the existence or non-existence of an agreement to rob the deceased of her motor </w:t>
      </w:r>
      <w:r w:rsidR="00D07EE5" w:rsidRPr="00060445">
        <w:rPr>
          <w:rFonts w:ascii="Arial" w:hAnsi="Arial" w:cs="Arial"/>
          <w:i/>
        </w:rPr>
        <w:t>vehicle, was allegedly found on a private and personal agreement between the accused</w:t>
      </w:r>
      <w:r w:rsidRPr="00060445">
        <w:rPr>
          <w:rFonts w:ascii="Arial" w:hAnsi="Arial" w:cs="Arial"/>
          <w:i/>
        </w:rPr>
        <w:t xml:space="preserve"> </w:t>
      </w:r>
      <w:r w:rsidR="00D07EE5" w:rsidRPr="00060445">
        <w:rPr>
          <w:rFonts w:ascii="Arial" w:hAnsi="Arial" w:cs="Arial"/>
          <w:i/>
        </w:rPr>
        <w:t xml:space="preserve">[Pooe] and Keorapetse Shabalala [Chabi], without any knowledge of </w:t>
      </w:r>
      <w:r w:rsidR="00D07EE5" w:rsidRPr="00060445">
        <w:rPr>
          <w:rFonts w:ascii="Arial" w:hAnsi="Arial" w:cs="Arial"/>
          <w:i/>
        </w:rPr>
        <w:lastRenderedPageBreak/>
        <w:t>third parties. This clearly excludes the evidence alliunde and the court has to be almost exclusively reliant on a credibility finding of the accused [Pooe] and Keorapetse Shabalala [Chabi], including an assessment of probabilities</w:t>
      </w:r>
      <w:r w:rsidR="00B0272C" w:rsidRPr="00B85098">
        <w:rPr>
          <w:rFonts w:ascii="Arial" w:hAnsi="Arial" w:cs="Arial"/>
        </w:rPr>
        <w:t>.</w:t>
      </w:r>
      <w:r w:rsidRPr="00060445">
        <w:rPr>
          <w:rFonts w:ascii="Arial" w:hAnsi="Arial" w:cs="Arial"/>
          <w:iCs/>
        </w:rPr>
        <w:t>’</w:t>
      </w:r>
      <w:r w:rsidR="00B0272C" w:rsidRPr="00060445">
        <w:rPr>
          <w:rFonts w:ascii="Arial" w:hAnsi="Arial" w:cs="Arial"/>
          <w:iCs/>
        </w:rPr>
        <w:t xml:space="preserve"> </w:t>
      </w:r>
      <w:r w:rsidR="00D07EE5" w:rsidRPr="00060445">
        <w:rPr>
          <w:rFonts w:ascii="Arial" w:hAnsi="Arial" w:cs="Arial"/>
          <w:iCs/>
        </w:rPr>
        <w:t>(</w:t>
      </w:r>
      <w:r w:rsidRPr="00060445">
        <w:rPr>
          <w:rFonts w:ascii="Arial" w:hAnsi="Arial" w:cs="Arial"/>
          <w:iCs/>
        </w:rPr>
        <w:t>M</w:t>
      </w:r>
      <w:r w:rsidR="00D07EE5" w:rsidRPr="00060445">
        <w:rPr>
          <w:rFonts w:ascii="Arial" w:hAnsi="Arial" w:cs="Arial"/>
          <w:iCs/>
        </w:rPr>
        <w:t>y emphasis</w:t>
      </w:r>
      <w:r w:rsidRPr="00060445">
        <w:rPr>
          <w:rFonts w:ascii="Arial" w:hAnsi="Arial" w:cs="Arial"/>
          <w:iCs/>
        </w:rPr>
        <w:t>.</w:t>
      </w:r>
      <w:r w:rsidR="00D07EE5" w:rsidRPr="00060445">
        <w:rPr>
          <w:rFonts w:ascii="Arial" w:hAnsi="Arial" w:cs="Arial"/>
          <w:iCs/>
        </w:rPr>
        <w:t>)</w:t>
      </w:r>
      <w:r w:rsidR="0094185B" w:rsidRPr="0094185B">
        <w:rPr>
          <w:rFonts w:ascii="Arial" w:hAnsi="Arial" w:cs="Arial"/>
        </w:rPr>
        <w:t xml:space="preserve"> </w:t>
      </w:r>
      <w:r w:rsidR="0094185B" w:rsidRPr="00A97AC1">
        <w:rPr>
          <w:rFonts w:ascii="Arial" w:hAnsi="Arial" w:cs="Arial"/>
        </w:rPr>
        <w:t>(</w:t>
      </w:r>
      <w:r w:rsidR="0094185B">
        <w:rPr>
          <w:rFonts w:ascii="Arial" w:hAnsi="Arial" w:cs="Arial"/>
        </w:rPr>
        <w:t>F</w:t>
      </w:r>
      <w:r w:rsidR="0094185B" w:rsidRPr="00A97AC1">
        <w:rPr>
          <w:rFonts w:ascii="Arial" w:hAnsi="Arial" w:cs="Arial"/>
        </w:rPr>
        <w:t>ootnote</w:t>
      </w:r>
      <w:r w:rsidR="0094185B">
        <w:rPr>
          <w:rFonts w:ascii="Arial" w:hAnsi="Arial" w:cs="Arial"/>
        </w:rPr>
        <w:t>s</w:t>
      </w:r>
      <w:r w:rsidR="0094185B" w:rsidRPr="00A97AC1">
        <w:rPr>
          <w:rFonts w:ascii="Arial" w:hAnsi="Arial" w:cs="Arial"/>
        </w:rPr>
        <w:t xml:space="preserve"> omitted.)</w:t>
      </w:r>
    </w:p>
    <w:p w14:paraId="58E1666C" w14:textId="77777777" w:rsidR="00D07EE5" w:rsidRPr="00A97AC1" w:rsidRDefault="00D07EE5" w:rsidP="00D44002">
      <w:pPr>
        <w:spacing w:after="0" w:line="360" w:lineRule="auto"/>
        <w:contextualSpacing/>
        <w:jc w:val="both"/>
        <w:rPr>
          <w:rFonts w:ascii="Arial" w:hAnsi="Arial" w:cs="Arial"/>
          <w:sz w:val="24"/>
          <w:szCs w:val="24"/>
        </w:rPr>
      </w:pPr>
      <w:r w:rsidRPr="00A97AC1">
        <w:rPr>
          <w:rFonts w:ascii="Arial" w:hAnsi="Arial" w:cs="Arial"/>
          <w:sz w:val="24"/>
          <w:szCs w:val="24"/>
        </w:rPr>
        <w:t>And at para 102:</w:t>
      </w:r>
    </w:p>
    <w:p w14:paraId="5A232559" w14:textId="2EFCD2DE" w:rsidR="00D07EE5" w:rsidRPr="00060445" w:rsidRDefault="00D07EE5" w:rsidP="0077220B">
      <w:pPr>
        <w:spacing w:after="0" w:line="360" w:lineRule="auto"/>
        <w:contextualSpacing/>
        <w:jc w:val="both"/>
        <w:rPr>
          <w:rFonts w:ascii="Arial" w:hAnsi="Arial" w:cs="Arial"/>
        </w:rPr>
      </w:pPr>
      <w:r w:rsidRPr="00A97AC1">
        <w:rPr>
          <w:rFonts w:ascii="Arial" w:hAnsi="Arial" w:cs="Arial"/>
        </w:rPr>
        <w:t xml:space="preserve">‘This court is clearly seized with the dilemma that </w:t>
      </w:r>
      <w:r w:rsidR="0077220B" w:rsidRPr="00A97AC1">
        <w:rPr>
          <w:rFonts w:ascii="Arial" w:hAnsi="Arial" w:cs="Arial"/>
        </w:rPr>
        <w:t>to find the</w:t>
      </w:r>
      <w:r w:rsidRPr="00A97AC1">
        <w:rPr>
          <w:rFonts w:ascii="Arial" w:hAnsi="Arial" w:cs="Arial"/>
        </w:rPr>
        <w:t xml:space="preserve"> existence or non-existence of an agreement between the accused [Pooe] and Keorapetse Shabalala [Chabi].</w:t>
      </w:r>
      <w:r w:rsidR="00CD7D25">
        <w:rPr>
          <w:rFonts w:ascii="Arial" w:hAnsi="Arial" w:cs="Arial"/>
        </w:rPr>
        <w:t xml:space="preserve"> </w:t>
      </w:r>
      <w:r w:rsidRPr="00A97AC1">
        <w:rPr>
          <w:rFonts w:ascii="Arial" w:hAnsi="Arial" w:cs="Arial"/>
        </w:rPr>
        <w:t>It would be important for the court to compare the nature and quality of the evidence of Keorapetse Shabalala</w:t>
      </w:r>
      <w:r w:rsidR="0077220B" w:rsidRPr="00BF50C0">
        <w:rPr>
          <w:rFonts w:ascii="Arial" w:hAnsi="Arial" w:cs="Arial"/>
        </w:rPr>
        <w:t xml:space="preserve"> </w:t>
      </w:r>
      <w:r w:rsidRPr="00060445">
        <w:rPr>
          <w:rFonts w:ascii="Arial" w:hAnsi="Arial" w:cs="Arial"/>
        </w:rPr>
        <w:t>[Chabi] with that of the accused</w:t>
      </w:r>
      <w:r w:rsidR="0077220B" w:rsidRPr="00060445">
        <w:rPr>
          <w:rFonts w:ascii="Arial" w:hAnsi="Arial" w:cs="Arial"/>
        </w:rPr>
        <w:t xml:space="preserve"> </w:t>
      </w:r>
      <w:r w:rsidRPr="00060445">
        <w:rPr>
          <w:rFonts w:ascii="Arial" w:hAnsi="Arial" w:cs="Arial"/>
        </w:rPr>
        <w:t>[Pooe]. This court draws some sol</w:t>
      </w:r>
      <w:r w:rsidR="00B65565">
        <w:rPr>
          <w:rFonts w:ascii="Arial" w:hAnsi="Arial" w:cs="Arial"/>
        </w:rPr>
        <w:t>[</w:t>
      </w:r>
      <w:r w:rsidRPr="00060445">
        <w:rPr>
          <w:rFonts w:ascii="Arial" w:hAnsi="Arial" w:cs="Arial"/>
        </w:rPr>
        <w:t>a</w:t>
      </w:r>
      <w:r w:rsidR="00B65565">
        <w:rPr>
          <w:rFonts w:ascii="Arial" w:hAnsi="Arial" w:cs="Arial"/>
        </w:rPr>
        <w:t>]</w:t>
      </w:r>
      <w:r w:rsidRPr="00060445">
        <w:rPr>
          <w:rFonts w:ascii="Arial" w:hAnsi="Arial" w:cs="Arial"/>
        </w:rPr>
        <w:t xml:space="preserve">ce from the matter of </w:t>
      </w:r>
      <w:r w:rsidRPr="00B0446D">
        <w:rPr>
          <w:rFonts w:ascii="Arial" w:hAnsi="Arial" w:cs="Arial"/>
          <w:bCs/>
          <w:i/>
        </w:rPr>
        <w:t>S</w:t>
      </w:r>
      <w:r w:rsidR="006820F7" w:rsidRPr="00B0446D">
        <w:rPr>
          <w:rFonts w:ascii="Arial" w:hAnsi="Arial" w:cs="Arial"/>
          <w:bCs/>
          <w:i/>
        </w:rPr>
        <w:t xml:space="preserve"> </w:t>
      </w:r>
      <w:r w:rsidRPr="00B0446D">
        <w:rPr>
          <w:rFonts w:ascii="Arial" w:hAnsi="Arial" w:cs="Arial"/>
          <w:bCs/>
          <w:i/>
        </w:rPr>
        <w:t>v Maake</w:t>
      </w:r>
      <w:r w:rsidRPr="00060445">
        <w:rPr>
          <w:rFonts w:ascii="Arial" w:hAnsi="Arial" w:cs="Arial"/>
        </w:rPr>
        <w:t xml:space="preserve"> where the court was satisfied that the magistrate had properly, cautiously and correctly approached the evidence of both the appellant and the complainant. His reasoning could not be faulted. He had properly assessed the quality and nature of the complainant’s evidence as well as the fact that her version of the events immediately after the alleged rape had been corroborated in material respects by an independent witness. This court however does not have the benefit of an independent witness when it comes to the existence or non-existence of an intimate agreement to kill the deceased and to take her motor vehicle and certain movable assets</w:t>
      </w:r>
      <w:r w:rsidR="0077220B" w:rsidRPr="00060445">
        <w:rPr>
          <w:rFonts w:ascii="Arial" w:hAnsi="Arial" w:cs="Arial"/>
        </w:rPr>
        <w:t>.’</w:t>
      </w:r>
      <w:r w:rsidR="00B8407F" w:rsidRPr="00B8407F">
        <w:rPr>
          <w:rFonts w:ascii="Arial" w:hAnsi="Arial" w:cs="Arial"/>
        </w:rPr>
        <w:t xml:space="preserve"> </w:t>
      </w:r>
      <w:r w:rsidR="00B8407F" w:rsidRPr="00A97AC1">
        <w:rPr>
          <w:rFonts w:ascii="Arial" w:hAnsi="Arial" w:cs="Arial"/>
        </w:rPr>
        <w:t>(</w:t>
      </w:r>
      <w:r w:rsidR="00B8407F">
        <w:rPr>
          <w:rFonts w:ascii="Arial" w:hAnsi="Arial" w:cs="Arial"/>
        </w:rPr>
        <w:t>F</w:t>
      </w:r>
      <w:r w:rsidR="00B8407F" w:rsidRPr="00A97AC1">
        <w:rPr>
          <w:rFonts w:ascii="Arial" w:hAnsi="Arial" w:cs="Arial"/>
        </w:rPr>
        <w:t>ootnote</w:t>
      </w:r>
      <w:r w:rsidR="00B8407F">
        <w:rPr>
          <w:rFonts w:ascii="Arial" w:hAnsi="Arial" w:cs="Arial"/>
        </w:rPr>
        <w:t>s</w:t>
      </w:r>
      <w:r w:rsidR="00B8407F" w:rsidRPr="00A97AC1">
        <w:rPr>
          <w:rFonts w:ascii="Arial" w:hAnsi="Arial" w:cs="Arial"/>
        </w:rPr>
        <w:t xml:space="preserve"> omitted.)</w:t>
      </w:r>
    </w:p>
    <w:p w14:paraId="46E6F040" w14:textId="77777777" w:rsidR="0077220B" w:rsidRPr="00B0446D" w:rsidRDefault="0077220B" w:rsidP="003F15DE">
      <w:pPr>
        <w:spacing w:after="0" w:line="360" w:lineRule="auto"/>
        <w:contextualSpacing/>
        <w:jc w:val="both"/>
        <w:rPr>
          <w:rFonts w:ascii="Arial" w:hAnsi="Arial" w:cs="Arial"/>
          <w:sz w:val="24"/>
          <w:szCs w:val="24"/>
        </w:rPr>
      </w:pPr>
    </w:p>
    <w:p w14:paraId="115C9CE7" w14:textId="13A7B593" w:rsidR="002079F4" w:rsidRPr="002560F3" w:rsidRDefault="00043CEB" w:rsidP="00DE7CEF">
      <w:pPr>
        <w:autoSpaceDE w:val="0"/>
        <w:autoSpaceDN w:val="0"/>
        <w:adjustRightInd w:val="0"/>
        <w:spacing w:after="0" w:line="360" w:lineRule="auto"/>
        <w:jc w:val="both"/>
        <w:rPr>
          <w:rFonts w:ascii="Arial" w:hAnsi="Arial" w:cs="Arial"/>
          <w:sz w:val="24"/>
          <w:szCs w:val="24"/>
        </w:rPr>
      </w:pPr>
      <w:r w:rsidRPr="002560F3">
        <w:rPr>
          <w:rFonts w:ascii="Arial" w:hAnsi="Arial" w:cs="Arial"/>
          <w:sz w:val="24"/>
          <w:szCs w:val="24"/>
        </w:rPr>
        <w:t>[33</w:t>
      </w:r>
      <w:r w:rsidR="0095759F" w:rsidRPr="002560F3">
        <w:rPr>
          <w:rFonts w:ascii="Arial" w:hAnsi="Arial" w:cs="Arial"/>
          <w:sz w:val="24"/>
          <w:szCs w:val="24"/>
        </w:rPr>
        <w:t>]</w:t>
      </w:r>
      <w:r w:rsidR="0077220B" w:rsidRPr="002560F3">
        <w:rPr>
          <w:rFonts w:ascii="Arial" w:hAnsi="Arial" w:cs="Arial"/>
          <w:sz w:val="24"/>
          <w:szCs w:val="24"/>
        </w:rPr>
        <w:tab/>
      </w:r>
      <w:r w:rsidR="0095759F" w:rsidRPr="002560F3">
        <w:rPr>
          <w:rFonts w:ascii="Arial" w:hAnsi="Arial" w:cs="Arial"/>
          <w:sz w:val="24"/>
          <w:szCs w:val="24"/>
        </w:rPr>
        <w:t xml:space="preserve">The </w:t>
      </w:r>
      <w:r w:rsidR="00060445">
        <w:rPr>
          <w:rFonts w:ascii="Arial" w:hAnsi="Arial" w:cs="Arial"/>
          <w:sz w:val="24"/>
          <w:szCs w:val="24"/>
        </w:rPr>
        <w:t>S</w:t>
      </w:r>
      <w:r w:rsidR="00060445" w:rsidRPr="002560F3">
        <w:rPr>
          <w:rFonts w:ascii="Arial" w:hAnsi="Arial" w:cs="Arial"/>
          <w:sz w:val="24"/>
          <w:szCs w:val="24"/>
        </w:rPr>
        <w:t xml:space="preserve">tate </w:t>
      </w:r>
      <w:r w:rsidR="0095759F" w:rsidRPr="002560F3">
        <w:rPr>
          <w:rFonts w:ascii="Arial" w:hAnsi="Arial" w:cs="Arial"/>
          <w:sz w:val="24"/>
          <w:szCs w:val="24"/>
        </w:rPr>
        <w:t>contended that there was a material misdirection in the trial court’s approac</w:t>
      </w:r>
      <w:r w:rsidR="00DE7CEF" w:rsidRPr="002560F3">
        <w:rPr>
          <w:rFonts w:ascii="Arial" w:hAnsi="Arial" w:cs="Arial"/>
          <w:sz w:val="24"/>
          <w:szCs w:val="24"/>
        </w:rPr>
        <w:t xml:space="preserve">h in the aforegoing paragraphs, as it expressly said it was excluding evidence. </w:t>
      </w:r>
      <w:r w:rsidR="0095759F" w:rsidRPr="002560F3">
        <w:rPr>
          <w:rFonts w:ascii="Arial" w:hAnsi="Arial" w:cs="Arial"/>
          <w:sz w:val="24"/>
          <w:szCs w:val="24"/>
        </w:rPr>
        <w:t xml:space="preserve">The trial court’s approach was based on the premise that the evidence of all </w:t>
      </w:r>
      <w:r w:rsidR="00060445">
        <w:rPr>
          <w:rFonts w:ascii="Arial" w:hAnsi="Arial" w:cs="Arial"/>
          <w:sz w:val="24"/>
          <w:szCs w:val="24"/>
        </w:rPr>
        <w:t>S</w:t>
      </w:r>
      <w:r w:rsidR="0095759F" w:rsidRPr="002560F3">
        <w:rPr>
          <w:rFonts w:ascii="Arial" w:hAnsi="Arial" w:cs="Arial"/>
          <w:sz w:val="24"/>
          <w:szCs w:val="24"/>
        </w:rPr>
        <w:t>tate witnesses apart from Chabi could b</w:t>
      </w:r>
      <w:r w:rsidR="00DE7CEF" w:rsidRPr="002560F3">
        <w:rPr>
          <w:rFonts w:ascii="Arial" w:hAnsi="Arial" w:cs="Arial"/>
          <w:sz w:val="24"/>
          <w:szCs w:val="24"/>
        </w:rPr>
        <w:t xml:space="preserve">e ignored and </w:t>
      </w:r>
      <w:r w:rsidR="0095759F" w:rsidRPr="002560F3">
        <w:rPr>
          <w:rFonts w:ascii="Arial" w:hAnsi="Arial" w:cs="Arial"/>
          <w:sz w:val="24"/>
          <w:szCs w:val="24"/>
        </w:rPr>
        <w:t>that it would not be considering such evidence</w:t>
      </w:r>
      <w:r w:rsidR="008E04F2">
        <w:rPr>
          <w:rFonts w:ascii="Arial" w:hAnsi="Arial" w:cs="Arial"/>
          <w:sz w:val="24"/>
          <w:szCs w:val="24"/>
        </w:rPr>
        <w:t>,</w:t>
      </w:r>
      <w:r w:rsidR="0095759F" w:rsidRPr="002560F3">
        <w:rPr>
          <w:rFonts w:ascii="Arial" w:hAnsi="Arial" w:cs="Arial"/>
          <w:sz w:val="24"/>
          <w:szCs w:val="24"/>
        </w:rPr>
        <w:t xml:space="preserve"> as the alleged private and personal agreement between Chabi and the respondent had been reached without any knowledge </w:t>
      </w:r>
      <w:r w:rsidR="00DE7CEF" w:rsidRPr="002560F3">
        <w:rPr>
          <w:rFonts w:ascii="Arial" w:hAnsi="Arial" w:cs="Arial"/>
          <w:sz w:val="24"/>
          <w:szCs w:val="24"/>
        </w:rPr>
        <w:t xml:space="preserve">of third parties. The court </w:t>
      </w:r>
      <w:r w:rsidR="0095759F" w:rsidRPr="002560F3">
        <w:rPr>
          <w:rFonts w:ascii="Arial" w:hAnsi="Arial" w:cs="Arial"/>
          <w:sz w:val="24"/>
          <w:szCs w:val="24"/>
        </w:rPr>
        <w:t>concluded</w:t>
      </w:r>
      <w:r w:rsidR="00616B49" w:rsidRPr="002560F3">
        <w:rPr>
          <w:rFonts w:ascii="Arial" w:hAnsi="Arial" w:cs="Arial"/>
          <w:sz w:val="24"/>
          <w:szCs w:val="24"/>
        </w:rPr>
        <w:t xml:space="preserve"> at paragraph 99</w:t>
      </w:r>
      <w:r w:rsidR="0095759F" w:rsidRPr="002560F3">
        <w:rPr>
          <w:rFonts w:ascii="Arial" w:hAnsi="Arial" w:cs="Arial"/>
          <w:sz w:val="24"/>
          <w:szCs w:val="24"/>
        </w:rPr>
        <w:t xml:space="preserve"> that </w:t>
      </w:r>
      <w:r w:rsidR="0077220B" w:rsidRPr="002560F3">
        <w:rPr>
          <w:rFonts w:ascii="Arial" w:hAnsi="Arial" w:cs="Arial"/>
          <w:sz w:val="24"/>
          <w:szCs w:val="24"/>
        </w:rPr>
        <w:t>‘[t]</w:t>
      </w:r>
      <w:r w:rsidR="0095759F" w:rsidRPr="002560F3">
        <w:rPr>
          <w:rFonts w:ascii="Arial" w:hAnsi="Arial" w:cs="Arial"/>
          <w:sz w:val="24"/>
          <w:szCs w:val="24"/>
        </w:rPr>
        <w:t>his clearly excludes the evidence aliunde and the court ha</w:t>
      </w:r>
      <w:r w:rsidR="00616B49" w:rsidRPr="002560F3">
        <w:rPr>
          <w:rFonts w:ascii="Arial" w:hAnsi="Arial" w:cs="Arial"/>
          <w:sz w:val="24"/>
          <w:szCs w:val="24"/>
        </w:rPr>
        <w:t xml:space="preserve">s to be almost exclusively reliant </w:t>
      </w:r>
      <w:r w:rsidR="0095759F" w:rsidRPr="002560F3">
        <w:rPr>
          <w:rFonts w:ascii="Arial" w:hAnsi="Arial" w:cs="Arial"/>
          <w:sz w:val="24"/>
          <w:szCs w:val="24"/>
        </w:rPr>
        <w:t xml:space="preserve">on the credibility finding of </w:t>
      </w:r>
      <w:r w:rsidR="00616B49" w:rsidRPr="002560F3">
        <w:rPr>
          <w:rFonts w:ascii="Arial" w:hAnsi="Arial" w:cs="Arial"/>
          <w:sz w:val="24"/>
          <w:szCs w:val="24"/>
        </w:rPr>
        <w:t>the accused [Pooe] and Keorapetse Shabalala [Chabi]</w:t>
      </w:r>
      <w:r w:rsidR="0095759F" w:rsidRPr="002560F3">
        <w:rPr>
          <w:rFonts w:ascii="Arial" w:hAnsi="Arial" w:cs="Arial"/>
          <w:sz w:val="24"/>
          <w:szCs w:val="24"/>
        </w:rPr>
        <w:t xml:space="preserve">, including an assessment of </w:t>
      </w:r>
      <w:r w:rsidR="005E0321" w:rsidRPr="002560F3">
        <w:rPr>
          <w:rFonts w:ascii="Arial" w:hAnsi="Arial" w:cs="Arial"/>
          <w:sz w:val="24"/>
          <w:szCs w:val="24"/>
        </w:rPr>
        <w:t>probabilities</w:t>
      </w:r>
      <w:r w:rsidR="00616B49" w:rsidRPr="002560F3">
        <w:rPr>
          <w:rFonts w:ascii="Arial" w:hAnsi="Arial" w:cs="Arial"/>
          <w:sz w:val="24"/>
          <w:szCs w:val="24"/>
        </w:rPr>
        <w:t>’</w:t>
      </w:r>
      <w:r w:rsidR="0095759F" w:rsidRPr="002560F3">
        <w:rPr>
          <w:rFonts w:ascii="Arial" w:hAnsi="Arial" w:cs="Arial"/>
          <w:sz w:val="24"/>
          <w:szCs w:val="24"/>
        </w:rPr>
        <w:t>. The same sentiment was also expressed in paragraph 102 of the trial court’s judgment as set out above, where the trial court said that there is no independent witness that can assist the court</w:t>
      </w:r>
      <w:r w:rsidR="0077220B" w:rsidRPr="002560F3">
        <w:rPr>
          <w:rFonts w:ascii="Arial" w:hAnsi="Arial" w:cs="Arial"/>
          <w:sz w:val="24"/>
          <w:szCs w:val="24"/>
        </w:rPr>
        <w:t xml:space="preserve"> </w:t>
      </w:r>
      <w:r w:rsidR="001F646D" w:rsidRPr="002560F3">
        <w:rPr>
          <w:rFonts w:ascii="Arial" w:hAnsi="Arial" w:cs="Arial"/>
          <w:sz w:val="24"/>
          <w:szCs w:val="24"/>
        </w:rPr>
        <w:t>‘</w:t>
      </w:r>
      <w:r w:rsidR="0095759F" w:rsidRPr="002560F3">
        <w:rPr>
          <w:rFonts w:ascii="Arial" w:hAnsi="Arial" w:cs="Arial"/>
          <w:sz w:val="24"/>
          <w:szCs w:val="24"/>
        </w:rPr>
        <w:t xml:space="preserve">when it comes to the existence or non-existence of an intimate agreement to kill the deceased and to take her motor vehicle and certain movable assets’. The </w:t>
      </w:r>
      <w:r w:rsidR="0077220B" w:rsidRPr="002560F3">
        <w:rPr>
          <w:rFonts w:ascii="Arial" w:hAnsi="Arial" w:cs="Arial"/>
          <w:sz w:val="24"/>
          <w:szCs w:val="24"/>
        </w:rPr>
        <w:t>State contended</w:t>
      </w:r>
      <w:r w:rsidR="00541807" w:rsidRPr="002560F3">
        <w:rPr>
          <w:rFonts w:ascii="Arial" w:hAnsi="Arial" w:cs="Arial"/>
          <w:sz w:val="24"/>
          <w:szCs w:val="24"/>
        </w:rPr>
        <w:t xml:space="preserve"> that other witnesses’</w:t>
      </w:r>
      <w:r w:rsidR="0095759F" w:rsidRPr="002560F3">
        <w:rPr>
          <w:rFonts w:ascii="Arial" w:hAnsi="Arial" w:cs="Arial"/>
          <w:sz w:val="24"/>
          <w:szCs w:val="24"/>
        </w:rPr>
        <w:t xml:space="preserve"> evidence which may have assisted the trial court in determining the objective probability of the respective versions, was simply </w:t>
      </w:r>
      <w:r w:rsidR="001F646D" w:rsidRPr="002560F3">
        <w:rPr>
          <w:rFonts w:ascii="Arial" w:hAnsi="Arial" w:cs="Arial"/>
          <w:sz w:val="24"/>
          <w:szCs w:val="24"/>
        </w:rPr>
        <w:t>ignored</w:t>
      </w:r>
      <w:r w:rsidR="00541807" w:rsidRPr="002560F3">
        <w:rPr>
          <w:rFonts w:ascii="Arial" w:hAnsi="Arial" w:cs="Arial"/>
          <w:sz w:val="24"/>
          <w:szCs w:val="24"/>
        </w:rPr>
        <w:t xml:space="preserve"> and </w:t>
      </w:r>
      <w:r w:rsidR="0095759F" w:rsidRPr="002560F3">
        <w:rPr>
          <w:rFonts w:ascii="Arial" w:hAnsi="Arial" w:cs="Arial"/>
          <w:sz w:val="24"/>
          <w:szCs w:val="24"/>
        </w:rPr>
        <w:t xml:space="preserve">not considered. </w:t>
      </w:r>
      <w:r w:rsidR="0077220B" w:rsidRPr="002560F3">
        <w:rPr>
          <w:rFonts w:ascii="Arial" w:hAnsi="Arial" w:cs="Arial"/>
          <w:sz w:val="24"/>
          <w:szCs w:val="24"/>
        </w:rPr>
        <w:t>Furthermore,</w:t>
      </w:r>
      <w:r w:rsidR="0095759F" w:rsidRPr="002560F3">
        <w:rPr>
          <w:rFonts w:ascii="Arial" w:hAnsi="Arial" w:cs="Arial"/>
          <w:sz w:val="24"/>
          <w:szCs w:val="24"/>
        </w:rPr>
        <w:t xml:space="preserve"> </w:t>
      </w:r>
      <w:r w:rsidR="00CA27C6" w:rsidRPr="002560F3">
        <w:rPr>
          <w:rFonts w:ascii="Arial" w:hAnsi="Arial" w:cs="Arial"/>
          <w:sz w:val="24"/>
          <w:szCs w:val="24"/>
        </w:rPr>
        <w:t xml:space="preserve">the trial court had failed to evaluate </w:t>
      </w:r>
      <w:r w:rsidR="0095759F" w:rsidRPr="002560F3">
        <w:rPr>
          <w:rFonts w:ascii="Arial" w:hAnsi="Arial" w:cs="Arial"/>
          <w:sz w:val="24"/>
          <w:szCs w:val="24"/>
        </w:rPr>
        <w:t>the probabilities of the respective versions</w:t>
      </w:r>
      <w:r w:rsidR="00CA27C6" w:rsidRPr="002560F3">
        <w:rPr>
          <w:rFonts w:ascii="Arial" w:hAnsi="Arial" w:cs="Arial"/>
          <w:sz w:val="24"/>
          <w:szCs w:val="24"/>
        </w:rPr>
        <w:t xml:space="preserve">. Failure to take into account relevant and admissible evidence constituted an error of law. </w:t>
      </w:r>
      <w:r w:rsidR="0095759F" w:rsidRPr="002560F3">
        <w:rPr>
          <w:rFonts w:ascii="Arial" w:hAnsi="Arial" w:cs="Arial"/>
          <w:sz w:val="24"/>
          <w:szCs w:val="24"/>
        </w:rPr>
        <w:t xml:space="preserve">The absence of any reference to any </w:t>
      </w:r>
      <w:r w:rsidR="0095759F" w:rsidRPr="002560F3">
        <w:rPr>
          <w:rFonts w:ascii="Arial" w:hAnsi="Arial" w:cs="Arial"/>
          <w:sz w:val="24"/>
          <w:szCs w:val="24"/>
        </w:rPr>
        <w:lastRenderedPageBreak/>
        <w:t>of these aspects in the trial court</w:t>
      </w:r>
      <w:r w:rsidR="0077220B" w:rsidRPr="002560F3">
        <w:rPr>
          <w:rFonts w:ascii="Arial" w:hAnsi="Arial" w:cs="Arial"/>
          <w:sz w:val="24"/>
          <w:szCs w:val="24"/>
        </w:rPr>
        <w:t>’</w:t>
      </w:r>
      <w:r w:rsidR="0095759F" w:rsidRPr="002560F3">
        <w:rPr>
          <w:rFonts w:ascii="Arial" w:hAnsi="Arial" w:cs="Arial"/>
          <w:sz w:val="24"/>
          <w:szCs w:val="24"/>
        </w:rPr>
        <w:t>s evaluation of the evidence constituted a materially flawed approach and an error in law. All the ev</w:t>
      </w:r>
      <w:r w:rsidR="00CA27C6" w:rsidRPr="002560F3">
        <w:rPr>
          <w:rFonts w:ascii="Arial" w:hAnsi="Arial" w:cs="Arial"/>
          <w:sz w:val="24"/>
          <w:szCs w:val="24"/>
        </w:rPr>
        <w:t>idence had to be accounted for in its totality, and no</w:t>
      </w:r>
      <w:r w:rsidR="0095759F" w:rsidRPr="002560F3">
        <w:rPr>
          <w:rFonts w:ascii="Arial" w:hAnsi="Arial" w:cs="Arial"/>
          <w:sz w:val="24"/>
          <w:szCs w:val="24"/>
        </w:rPr>
        <w:t xml:space="preserve"> evidence could simply be disregarded. </w:t>
      </w:r>
      <w:r w:rsidR="00E74F97" w:rsidRPr="002560F3">
        <w:rPr>
          <w:rFonts w:ascii="Arial" w:hAnsi="Arial" w:cs="Arial"/>
          <w:sz w:val="24"/>
          <w:szCs w:val="24"/>
        </w:rPr>
        <w:t xml:space="preserve">The State contended that </w:t>
      </w:r>
      <w:r w:rsidR="001F646D" w:rsidRPr="002560F3">
        <w:rPr>
          <w:rFonts w:ascii="Arial" w:hAnsi="Arial" w:cs="Arial"/>
          <w:sz w:val="24"/>
          <w:szCs w:val="24"/>
        </w:rPr>
        <w:t xml:space="preserve">the </w:t>
      </w:r>
      <w:r w:rsidR="008B27DD" w:rsidRPr="002560F3">
        <w:rPr>
          <w:rFonts w:ascii="Arial" w:hAnsi="Arial" w:cs="Arial"/>
          <w:sz w:val="24"/>
          <w:szCs w:val="24"/>
        </w:rPr>
        <w:t>trial court failed</w:t>
      </w:r>
      <w:r w:rsidR="001F646D" w:rsidRPr="002560F3">
        <w:rPr>
          <w:rFonts w:ascii="Arial" w:hAnsi="Arial" w:cs="Arial"/>
          <w:sz w:val="24"/>
          <w:szCs w:val="24"/>
        </w:rPr>
        <w:t xml:space="preserve"> to evaluate all the evidence in its totality</w:t>
      </w:r>
      <w:r w:rsidR="008B27DD" w:rsidRPr="002560F3">
        <w:rPr>
          <w:rFonts w:ascii="Arial" w:hAnsi="Arial" w:cs="Arial"/>
          <w:sz w:val="24"/>
          <w:szCs w:val="24"/>
        </w:rPr>
        <w:t>. The test for the evaluation of evidence in a criminal trial</w:t>
      </w:r>
      <w:r w:rsidR="008E04F2">
        <w:rPr>
          <w:rFonts w:ascii="Arial" w:hAnsi="Arial" w:cs="Arial"/>
          <w:sz w:val="24"/>
          <w:szCs w:val="24"/>
        </w:rPr>
        <w:t>,</w:t>
      </w:r>
      <w:r w:rsidR="008B27DD" w:rsidRPr="002560F3">
        <w:rPr>
          <w:rFonts w:ascii="Arial" w:hAnsi="Arial" w:cs="Arial"/>
          <w:sz w:val="24"/>
          <w:szCs w:val="24"/>
        </w:rPr>
        <w:t xml:space="preserve"> as set out in </w:t>
      </w:r>
      <w:r w:rsidR="008B27DD" w:rsidRPr="002560F3">
        <w:rPr>
          <w:rFonts w:ascii="Arial" w:hAnsi="Arial" w:cs="Arial"/>
          <w:i/>
          <w:iCs/>
          <w:sz w:val="24"/>
          <w:szCs w:val="24"/>
        </w:rPr>
        <w:t>S v Van der Meyden</w:t>
      </w:r>
      <w:r w:rsidR="008B27DD" w:rsidRPr="002560F3">
        <w:rPr>
          <w:rFonts w:ascii="Arial" w:hAnsi="Arial" w:cs="Arial"/>
          <w:sz w:val="24"/>
          <w:szCs w:val="24"/>
        </w:rPr>
        <w:t xml:space="preserve"> 1999 (1) SACR 447</w:t>
      </w:r>
      <w:r w:rsidR="008224F8">
        <w:rPr>
          <w:rFonts w:ascii="Arial" w:hAnsi="Arial" w:cs="Arial"/>
          <w:sz w:val="24"/>
          <w:szCs w:val="24"/>
        </w:rPr>
        <w:t xml:space="preserve"> (W)</w:t>
      </w:r>
      <w:r w:rsidR="00053D5B" w:rsidRPr="002560F3">
        <w:rPr>
          <w:rFonts w:ascii="Arial" w:hAnsi="Arial" w:cs="Arial"/>
          <w:sz w:val="24"/>
          <w:szCs w:val="24"/>
        </w:rPr>
        <w:t xml:space="preserve"> </w:t>
      </w:r>
      <w:r w:rsidR="00CA27C6" w:rsidRPr="002560F3">
        <w:rPr>
          <w:rFonts w:ascii="Arial" w:hAnsi="Arial" w:cs="Arial"/>
          <w:sz w:val="24"/>
          <w:szCs w:val="24"/>
        </w:rPr>
        <w:t>at 449j-450b</w:t>
      </w:r>
      <w:r w:rsidR="008E04F2">
        <w:rPr>
          <w:rFonts w:ascii="Arial" w:hAnsi="Arial" w:cs="Arial"/>
          <w:sz w:val="24"/>
          <w:szCs w:val="24"/>
        </w:rPr>
        <w:t>,</w:t>
      </w:r>
      <w:r w:rsidR="00CA27C6" w:rsidRPr="002560F3">
        <w:rPr>
          <w:rFonts w:ascii="Arial" w:hAnsi="Arial" w:cs="Arial"/>
          <w:sz w:val="24"/>
          <w:szCs w:val="24"/>
        </w:rPr>
        <w:t xml:space="preserve"> was</w:t>
      </w:r>
      <w:r w:rsidR="008B27DD" w:rsidRPr="002560F3">
        <w:rPr>
          <w:rFonts w:ascii="Arial" w:hAnsi="Arial" w:cs="Arial"/>
          <w:sz w:val="24"/>
          <w:szCs w:val="24"/>
        </w:rPr>
        <w:t xml:space="preserve"> the</w:t>
      </w:r>
      <w:r w:rsidR="00CA27C6" w:rsidRPr="002560F3">
        <w:rPr>
          <w:rFonts w:ascii="Arial" w:hAnsi="Arial" w:cs="Arial"/>
          <w:sz w:val="24"/>
          <w:szCs w:val="24"/>
        </w:rPr>
        <w:t xml:space="preserve"> accepted legal position. </w:t>
      </w:r>
      <w:r w:rsidR="008B27DD" w:rsidRPr="002560F3">
        <w:rPr>
          <w:rFonts w:ascii="Arial" w:hAnsi="Arial" w:cs="Arial"/>
          <w:sz w:val="24"/>
          <w:szCs w:val="24"/>
        </w:rPr>
        <w:t xml:space="preserve"> </w:t>
      </w:r>
    </w:p>
    <w:p w14:paraId="28FC0E08" w14:textId="77777777" w:rsidR="008B27DD" w:rsidRPr="002560F3" w:rsidRDefault="00D07EE5" w:rsidP="00C26298">
      <w:pPr>
        <w:spacing w:after="0" w:line="360" w:lineRule="auto"/>
        <w:jc w:val="both"/>
        <w:rPr>
          <w:rFonts w:ascii="Arial" w:hAnsi="Arial" w:cs="Arial"/>
          <w:sz w:val="24"/>
          <w:szCs w:val="24"/>
        </w:rPr>
      </w:pPr>
      <w:r w:rsidRPr="002560F3">
        <w:rPr>
          <w:rFonts w:ascii="Arial" w:hAnsi="Arial" w:cs="Arial"/>
          <w:sz w:val="24"/>
          <w:szCs w:val="24"/>
        </w:rPr>
        <w:t xml:space="preserve"> </w:t>
      </w:r>
    </w:p>
    <w:p w14:paraId="5897DA9A" w14:textId="3BA3D7EB" w:rsidR="003B68F3" w:rsidRPr="002560F3" w:rsidRDefault="00043CEB" w:rsidP="00C26298">
      <w:pPr>
        <w:spacing w:after="0" w:line="360" w:lineRule="auto"/>
        <w:jc w:val="both"/>
        <w:rPr>
          <w:rFonts w:ascii="Arial" w:hAnsi="Arial" w:cs="Arial"/>
          <w:sz w:val="24"/>
          <w:szCs w:val="24"/>
        </w:rPr>
      </w:pPr>
      <w:r w:rsidRPr="002560F3">
        <w:rPr>
          <w:rFonts w:ascii="Arial" w:hAnsi="Arial" w:cs="Arial"/>
          <w:sz w:val="24"/>
          <w:szCs w:val="24"/>
        </w:rPr>
        <w:t>[34</w:t>
      </w:r>
      <w:r w:rsidR="003B68F3" w:rsidRPr="002560F3">
        <w:rPr>
          <w:rFonts w:ascii="Arial" w:hAnsi="Arial" w:cs="Arial"/>
          <w:sz w:val="24"/>
          <w:szCs w:val="24"/>
        </w:rPr>
        <w:t>]</w:t>
      </w:r>
      <w:r w:rsidR="003B68F3" w:rsidRPr="002560F3">
        <w:rPr>
          <w:rFonts w:ascii="Arial" w:hAnsi="Arial" w:cs="Arial"/>
          <w:sz w:val="24"/>
          <w:szCs w:val="24"/>
        </w:rPr>
        <w:tab/>
        <w:t>In contrast, counsel for the respondent argued that the State had failed to comply with the requirements of s 319 of the CPA, and that all of the questions raised by the State were questions of fact. As the factual findings did not appear from the record, it was incumbent on the State to have approached the trial court to set out the findings of fact, which regrettably</w:t>
      </w:r>
      <w:r w:rsidR="008224F8">
        <w:rPr>
          <w:rFonts w:ascii="Arial" w:hAnsi="Arial" w:cs="Arial"/>
          <w:sz w:val="24"/>
          <w:szCs w:val="24"/>
        </w:rPr>
        <w:t xml:space="preserve"> it</w:t>
      </w:r>
      <w:r w:rsidR="003B68F3" w:rsidRPr="002560F3">
        <w:rPr>
          <w:rFonts w:ascii="Arial" w:hAnsi="Arial" w:cs="Arial"/>
          <w:sz w:val="24"/>
          <w:szCs w:val="24"/>
        </w:rPr>
        <w:t xml:space="preserve"> did not do. In the circumstances</w:t>
      </w:r>
      <w:r w:rsidR="008E04F2">
        <w:rPr>
          <w:rFonts w:ascii="Arial" w:hAnsi="Arial" w:cs="Arial"/>
          <w:sz w:val="24"/>
          <w:szCs w:val="24"/>
        </w:rPr>
        <w:t>,</w:t>
      </w:r>
      <w:r w:rsidR="003B68F3" w:rsidRPr="002560F3">
        <w:rPr>
          <w:rFonts w:ascii="Arial" w:hAnsi="Arial" w:cs="Arial"/>
          <w:sz w:val="24"/>
          <w:szCs w:val="24"/>
        </w:rPr>
        <w:t xml:space="preserve"> there were no points that could properly be reserved. The trial court had regard to all the evidence, and although the trial court had not mentioned all of the aspects it had taken into account in its judgment in acquitting the respondent, there was no misdirection in respect of the legal principles</w:t>
      </w:r>
      <w:r w:rsidR="008E04F2">
        <w:rPr>
          <w:rFonts w:ascii="Arial" w:hAnsi="Arial" w:cs="Arial"/>
          <w:sz w:val="24"/>
          <w:szCs w:val="24"/>
        </w:rPr>
        <w:t xml:space="preserve"> that</w:t>
      </w:r>
      <w:r w:rsidR="003B68F3" w:rsidRPr="002560F3">
        <w:rPr>
          <w:rFonts w:ascii="Arial" w:hAnsi="Arial" w:cs="Arial"/>
          <w:sz w:val="24"/>
          <w:szCs w:val="24"/>
        </w:rPr>
        <w:t xml:space="preserve"> the trial court had applied. The State could only appeal if there was an issue relating to a mistake of law</w:t>
      </w:r>
      <w:r w:rsidR="008E04F2">
        <w:rPr>
          <w:rFonts w:ascii="Arial" w:hAnsi="Arial" w:cs="Arial"/>
          <w:sz w:val="24"/>
          <w:szCs w:val="24"/>
        </w:rPr>
        <w:t>,</w:t>
      </w:r>
      <w:r w:rsidR="003B68F3" w:rsidRPr="002560F3">
        <w:rPr>
          <w:rFonts w:ascii="Arial" w:hAnsi="Arial" w:cs="Arial"/>
          <w:sz w:val="24"/>
          <w:szCs w:val="24"/>
        </w:rPr>
        <w:t xml:space="preserve"> and there was none in this case.</w:t>
      </w:r>
    </w:p>
    <w:p w14:paraId="3D76A419" w14:textId="77777777" w:rsidR="00E6023C" w:rsidRPr="002560F3" w:rsidRDefault="00E6023C" w:rsidP="003F15DE">
      <w:pPr>
        <w:spacing w:after="0" w:line="360" w:lineRule="auto"/>
        <w:contextualSpacing/>
        <w:jc w:val="both"/>
        <w:rPr>
          <w:rFonts w:ascii="Arial" w:hAnsi="Arial" w:cs="Arial"/>
          <w:b/>
          <w:bCs/>
          <w:sz w:val="24"/>
          <w:szCs w:val="24"/>
        </w:rPr>
      </w:pPr>
    </w:p>
    <w:p w14:paraId="313929EE" w14:textId="1E1210AF" w:rsidR="00053D5B" w:rsidRPr="00B85098" w:rsidRDefault="00053D5B" w:rsidP="003F15DE">
      <w:pPr>
        <w:spacing w:after="0" w:line="360" w:lineRule="auto"/>
        <w:contextualSpacing/>
        <w:jc w:val="both"/>
        <w:rPr>
          <w:rFonts w:ascii="Arial" w:hAnsi="Arial" w:cs="Arial"/>
          <w:i/>
          <w:iCs/>
          <w:sz w:val="24"/>
          <w:szCs w:val="24"/>
        </w:rPr>
      </w:pPr>
      <w:r w:rsidRPr="00B85098">
        <w:rPr>
          <w:rFonts w:ascii="Arial" w:hAnsi="Arial" w:cs="Arial"/>
          <w:b/>
          <w:bCs/>
          <w:i/>
          <w:iCs/>
          <w:sz w:val="24"/>
          <w:szCs w:val="24"/>
        </w:rPr>
        <w:t xml:space="preserve">Discussion </w:t>
      </w:r>
    </w:p>
    <w:p w14:paraId="362CE5E7" w14:textId="7446A67B" w:rsidR="006C327C" w:rsidRPr="002560F3" w:rsidRDefault="006C327C" w:rsidP="003F15DE">
      <w:pPr>
        <w:spacing w:after="0" w:line="360" w:lineRule="auto"/>
        <w:contextualSpacing/>
        <w:jc w:val="both"/>
        <w:rPr>
          <w:rFonts w:ascii="Arial" w:hAnsi="Arial" w:cs="Arial"/>
          <w:bCs/>
          <w:sz w:val="24"/>
          <w:szCs w:val="24"/>
        </w:rPr>
      </w:pPr>
      <w:r w:rsidRPr="002560F3">
        <w:rPr>
          <w:rFonts w:ascii="Arial" w:hAnsi="Arial" w:cs="Arial"/>
          <w:sz w:val="24"/>
          <w:szCs w:val="24"/>
        </w:rPr>
        <w:t>[</w:t>
      </w:r>
      <w:r w:rsidR="00043CEB" w:rsidRPr="002560F3">
        <w:rPr>
          <w:rFonts w:ascii="Arial" w:hAnsi="Arial" w:cs="Arial"/>
          <w:sz w:val="24"/>
          <w:szCs w:val="24"/>
        </w:rPr>
        <w:t>35</w:t>
      </w:r>
      <w:r w:rsidRPr="002560F3">
        <w:rPr>
          <w:rFonts w:ascii="Arial" w:hAnsi="Arial" w:cs="Arial"/>
          <w:sz w:val="24"/>
          <w:szCs w:val="24"/>
        </w:rPr>
        <w:t>]</w:t>
      </w:r>
      <w:r w:rsidR="00053D5B" w:rsidRPr="002560F3">
        <w:rPr>
          <w:rFonts w:ascii="Arial" w:hAnsi="Arial" w:cs="Arial"/>
          <w:sz w:val="24"/>
          <w:szCs w:val="24"/>
        </w:rPr>
        <w:tab/>
      </w:r>
      <w:r w:rsidRPr="002560F3">
        <w:rPr>
          <w:rFonts w:ascii="Arial" w:hAnsi="Arial" w:cs="Arial"/>
          <w:sz w:val="24"/>
          <w:szCs w:val="24"/>
        </w:rPr>
        <w:t>In many cases</w:t>
      </w:r>
      <w:r w:rsidR="00A379F5">
        <w:rPr>
          <w:rFonts w:ascii="Arial" w:hAnsi="Arial" w:cs="Arial"/>
          <w:sz w:val="24"/>
          <w:szCs w:val="24"/>
        </w:rPr>
        <w:t xml:space="preserve"> the decision of whether a question is one of fact or one of law poses considerable difficulty</w:t>
      </w:r>
      <w:r w:rsidRPr="002560F3">
        <w:rPr>
          <w:rFonts w:ascii="Arial" w:hAnsi="Arial" w:cs="Arial"/>
          <w:sz w:val="24"/>
          <w:szCs w:val="24"/>
        </w:rPr>
        <w:t xml:space="preserve">. This </w:t>
      </w:r>
      <w:r w:rsidR="00053D5B" w:rsidRPr="002560F3">
        <w:rPr>
          <w:rFonts w:ascii="Arial" w:hAnsi="Arial" w:cs="Arial"/>
          <w:sz w:val="24"/>
          <w:szCs w:val="24"/>
        </w:rPr>
        <w:t>Court</w:t>
      </w:r>
      <w:r w:rsidRPr="002560F3">
        <w:rPr>
          <w:rFonts w:ascii="Arial" w:hAnsi="Arial" w:cs="Arial"/>
          <w:sz w:val="24"/>
          <w:szCs w:val="24"/>
        </w:rPr>
        <w:t xml:space="preserve">, in </w:t>
      </w:r>
      <w:r w:rsidRPr="002560F3">
        <w:rPr>
          <w:rFonts w:ascii="Arial" w:hAnsi="Arial" w:cs="Arial"/>
          <w:i/>
          <w:sz w:val="24"/>
          <w:szCs w:val="24"/>
        </w:rPr>
        <w:t>Schoeman,</w:t>
      </w:r>
      <w:r w:rsidRPr="002560F3">
        <w:rPr>
          <w:rFonts w:ascii="Arial" w:hAnsi="Arial" w:cs="Arial"/>
          <w:sz w:val="24"/>
          <w:szCs w:val="24"/>
        </w:rPr>
        <w:t xml:space="preserve"> having found that the court had erred in the matter of </w:t>
      </w:r>
      <w:r w:rsidRPr="002560F3">
        <w:rPr>
          <w:rFonts w:ascii="Arial" w:hAnsi="Arial" w:cs="Arial"/>
          <w:i/>
          <w:sz w:val="24"/>
          <w:szCs w:val="24"/>
        </w:rPr>
        <w:t>D</w:t>
      </w:r>
      <w:r w:rsidR="00053D5B" w:rsidRPr="002560F3">
        <w:rPr>
          <w:rFonts w:ascii="Arial" w:hAnsi="Arial" w:cs="Arial"/>
          <w:i/>
          <w:sz w:val="24"/>
          <w:szCs w:val="24"/>
        </w:rPr>
        <w:t xml:space="preserve">irector of Public Prosecutions, </w:t>
      </w:r>
      <w:r w:rsidRPr="002560F3">
        <w:rPr>
          <w:rFonts w:ascii="Arial" w:hAnsi="Arial" w:cs="Arial"/>
          <w:i/>
          <w:sz w:val="24"/>
          <w:szCs w:val="24"/>
        </w:rPr>
        <w:t xml:space="preserve">Gauteng v </w:t>
      </w:r>
      <w:r w:rsidR="00053D5B" w:rsidRPr="002560F3">
        <w:rPr>
          <w:rFonts w:ascii="Arial" w:hAnsi="Arial" w:cs="Arial"/>
          <w:i/>
          <w:sz w:val="24"/>
          <w:szCs w:val="24"/>
        </w:rPr>
        <w:t>Pistorius</w:t>
      </w:r>
      <w:r w:rsidR="00053D5B" w:rsidRPr="002560F3">
        <w:rPr>
          <w:rFonts w:ascii="Arial" w:hAnsi="Arial" w:cs="Arial"/>
          <w:iCs/>
          <w:sz w:val="24"/>
          <w:szCs w:val="24"/>
        </w:rPr>
        <w:t xml:space="preserve"> </w:t>
      </w:r>
      <w:hyperlink r:id="rId11" w:tooltip="View LawCiteRecord" w:history="1">
        <w:r w:rsidR="00053D5B" w:rsidRPr="00B61C4E">
          <w:rPr>
            <w:rStyle w:val="Hyperlink"/>
            <w:rFonts w:ascii="Arial" w:hAnsi="Arial" w:cs="Arial"/>
            <w:color w:val="auto"/>
            <w:sz w:val="24"/>
            <w:szCs w:val="24"/>
            <w:u w:val="none"/>
            <w:shd w:val="clear" w:color="auto" w:fill="FFFFFF"/>
          </w:rPr>
          <w:t>[2015] ZASCA 204</w:t>
        </w:r>
      </w:hyperlink>
      <w:r w:rsidR="00053D5B" w:rsidRPr="00AD1EB1">
        <w:rPr>
          <w:rFonts w:ascii="Arial" w:hAnsi="Arial" w:cs="Arial"/>
          <w:sz w:val="24"/>
          <w:szCs w:val="24"/>
          <w:shd w:val="clear" w:color="auto" w:fill="FFFFFF"/>
        </w:rPr>
        <w:t>; </w:t>
      </w:r>
      <w:hyperlink r:id="rId12" w:tooltip="View LawCiteRecord" w:history="1">
        <w:r w:rsidR="00053D5B" w:rsidRPr="00B61C4E">
          <w:rPr>
            <w:rStyle w:val="Hyperlink"/>
            <w:rFonts w:ascii="Arial" w:hAnsi="Arial" w:cs="Arial"/>
            <w:color w:val="auto"/>
            <w:sz w:val="24"/>
            <w:szCs w:val="24"/>
            <w:u w:val="none"/>
            <w:shd w:val="clear" w:color="auto" w:fill="FFFFFF"/>
          </w:rPr>
          <w:t>2016 (2) SA 317</w:t>
        </w:r>
      </w:hyperlink>
      <w:r w:rsidR="000F4505" w:rsidRPr="00B85098">
        <w:rPr>
          <w:rFonts w:ascii="Arial" w:hAnsi="Arial" w:cs="Arial"/>
          <w:sz w:val="24"/>
          <w:szCs w:val="24"/>
          <w:shd w:val="clear" w:color="auto" w:fill="FFFFFF"/>
        </w:rPr>
        <w:t xml:space="preserve">; </w:t>
      </w:r>
      <w:r w:rsidR="000F4505" w:rsidRPr="002560F3">
        <w:rPr>
          <w:rStyle w:val="Hyperlink"/>
          <w:rFonts w:ascii="Arial" w:hAnsi="Arial" w:cs="Arial"/>
          <w:color w:val="auto"/>
          <w:sz w:val="24"/>
          <w:szCs w:val="24"/>
          <w:u w:val="none"/>
          <w:shd w:val="clear" w:color="auto" w:fill="FFFFFF"/>
        </w:rPr>
        <w:t>[2016] 1 All SA 346;</w:t>
      </w:r>
      <w:r w:rsidR="000112B7" w:rsidRPr="002560F3">
        <w:rPr>
          <w:rFonts w:ascii="Arial" w:hAnsi="Arial" w:cs="Arial"/>
          <w:sz w:val="24"/>
          <w:szCs w:val="24"/>
        </w:rPr>
        <w:t xml:space="preserve"> </w:t>
      </w:r>
      <w:r w:rsidR="000F4505" w:rsidRPr="002560F3">
        <w:rPr>
          <w:rFonts w:ascii="Arial" w:hAnsi="Arial" w:cs="Arial"/>
          <w:sz w:val="24"/>
          <w:szCs w:val="24"/>
        </w:rPr>
        <w:t xml:space="preserve">2016 (1) SACR 431 (SCA), </w:t>
      </w:r>
      <w:r w:rsidR="000112B7" w:rsidRPr="002560F3">
        <w:rPr>
          <w:rFonts w:ascii="Arial" w:hAnsi="Arial" w:cs="Arial"/>
          <w:sz w:val="24"/>
          <w:szCs w:val="24"/>
        </w:rPr>
        <w:t>said</w:t>
      </w:r>
      <w:r w:rsidRPr="002560F3">
        <w:rPr>
          <w:rFonts w:ascii="Arial" w:hAnsi="Arial" w:cs="Arial"/>
          <w:sz w:val="24"/>
          <w:szCs w:val="24"/>
        </w:rPr>
        <w:t xml:space="preserve"> the following at </w:t>
      </w:r>
      <w:r w:rsidR="00053D5B" w:rsidRPr="002560F3">
        <w:rPr>
          <w:rFonts w:ascii="Arial" w:hAnsi="Arial" w:cs="Arial"/>
          <w:sz w:val="24"/>
          <w:szCs w:val="24"/>
        </w:rPr>
        <w:t>paras 73-74:</w:t>
      </w:r>
    </w:p>
    <w:p w14:paraId="62F2BB92" w14:textId="68C497C3" w:rsidR="00053D5B" w:rsidRPr="00B85098" w:rsidRDefault="00053D5B" w:rsidP="003F15DE">
      <w:pPr>
        <w:spacing w:after="0" w:line="360" w:lineRule="auto"/>
        <w:contextualSpacing/>
        <w:jc w:val="both"/>
        <w:rPr>
          <w:rFonts w:ascii="Verdana" w:hAnsi="Verdana"/>
        </w:rPr>
      </w:pPr>
      <w:r w:rsidRPr="00B85098">
        <w:rPr>
          <w:rFonts w:ascii="Arial" w:hAnsi="Arial" w:cs="Arial"/>
        </w:rPr>
        <w:t>‘It seems, therefore, that this court in </w:t>
      </w:r>
      <w:r w:rsidRPr="00B85098">
        <w:rPr>
          <w:rFonts w:ascii="Arial" w:hAnsi="Arial" w:cs="Arial"/>
          <w:i/>
          <w:iCs/>
        </w:rPr>
        <w:t>Pistorius </w:t>
      </w:r>
      <w:r w:rsidRPr="00B85098">
        <w:rPr>
          <w:rFonts w:ascii="Arial" w:hAnsi="Arial" w:cs="Arial"/>
        </w:rPr>
        <w:t>erred, with respect, in finding, albeit obiter in our view, that where a trial court ignores evidence or displayed a lack of appreciation of its relevance, that this amounted to an error of law. As we have demonstrated, this conclusion is at odds with a long line of authority in this court, endorsed by the Constitutional Court. We do not agree that the test for the applicability of s 319 is whether the judicial process is adversely affected by the error made by the trial court. That test would have the effect of making almost every material error of fact an error of law. That is not what is envisaged by s 319. As Corbett CJ pointed out in </w:t>
      </w:r>
      <w:r w:rsidRPr="00B85098">
        <w:rPr>
          <w:rFonts w:ascii="Arial" w:hAnsi="Arial" w:cs="Arial"/>
          <w:i/>
          <w:iCs/>
        </w:rPr>
        <w:t>Magmoed</w:t>
      </w:r>
      <w:r w:rsidRPr="00B85098">
        <w:rPr>
          <w:rFonts w:ascii="Arial" w:hAnsi="Arial" w:cs="Arial"/>
        </w:rPr>
        <w:t xml:space="preserve">, even where there are </w:t>
      </w:r>
      <w:r w:rsidR="00B31447">
        <w:rPr>
          <w:rFonts w:ascii="Arial" w:hAnsi="Arial" w:cs="Arial"/>
        </w:rPr>
        <w:t>“</w:t>
      </w:r>
      <w:r w:rsidRPr="00B85098">
        <w:rPr>
          <w:rFonts w:ascii="Arial" w:hAnsi="Arial" w:cs="Arial"/>
        </w:rPr>
        <w:t>strong indications</w:t>
      </w:r>
      <w:r w:rsidR="00B31447">
        <w:rPr>
          <w:rFonts w:ascii="Arial" w:hAnsi="Arial" w:cs="Arial"/>
        </w:rPr>
        <w:t>”</w:t>
      </w:r>
      <w:r w:rsidRPr="00B85098">
        <w:rPr>
          <w:rFonts w:ascii="Arial" w:hAnsi="Arial" w:cs="Arial"/>
        </w:rPr>
        <w:t xml:space="preserve"> from the evidence that there were cogent reasons to convict an accused ‘[t]hese considerations must not</w:t>
      </w:r>
      <w:r w:rsidR="00CC19BB">
        <w:rPr>
          <w:rFonts w:ascii="Arial" w:hAnsi="Arial" w:cs="Arial"/>
        </w:rPr>
        <w:t xml:space="preserve"> </w:t>
      </w:r>
      <w:r w:rsidRPr="00B85098">
        <w:rPr>
          <w:rFonts w:ascii="Arial" w:hAnsi="Arial" w:cs="Arial"/>
        </w:rPr>
        <w:t xml:space="preserve">. . . be </w:t>
      </w:r>
      <w:r w:rsidRPr="00B85098">
        <w:rPr>
          <w:rFonts w:ascii="Arial" w:hAnsi="Arial" w:cs="Arial"/>
        </w:rPr>
        <w:lastRenderedPageBreak/>
        <w:t>allowed to obscure one’s perception of the legal and policy issues involved in permitting s 319 to be utilized in the manner the prosecution in this case wishes to use it; or to weaken one’s resolve to maintain what appears to be sound legal practice</w:t>
      </w:r>
      <w:r w:rsidR="00A62D0D">
        <w:rPr>
          <w:rFonts w:ascii="Arial" w:hAnsi="Arial" w:cs="Arial"/>
        </w:rPr>
        <w:t>.</w:t>
      </w:r>
    </w:p>
    <w:p w14:paraId="1512B259" w14:textId="134501E0" w:rsidR="00053D5B" w:rsidRPr="00B85098" w:rsidRDefault="00053D5B" w:rsidP="003F15DE">
      <w:pPr>
        <w:pStyle w:val="NormalWeb"/>
        <w:shd w:val="clear" w:color="auto" w:fill="FFFFFF"/>
        <w:spacing w:before="0" w:after="0" w:line="360" w:lineRule="auto"/>
        <w:contextualSpacing/>
        <w:jc w:val="both"/>
        <w:rPr>
          <w:rFonts w:ascii="Verdana" w:hAnsi="Verdana"/>
          <w:sz w:val="22"/>
          <w:szCs w:val="22"/>
        </w:rPr>
      </w:pPr>
      <w:r w:rsidRPr="00B85098">
        <w:rPr>
          <w:rFonts w:ascii="Arial" w:hAnsi="Arial" w:cs="Arial"/>
          <w:sz w:val="22"/>
          <w:szCs w:val="22"/>
        </w:rPr>
        <w:t>Put simply, the mere fact the judicial process has become flawed by the way a trial court goes about assessing the evidence before it, does not justify permitting s 319 to be used by the prosecution to reserve a point of law for what is in truth misdirection of fact. That impermissibly undermines the clear language of the section and the deliberate choice of the legislature to restrict appeals in terms of the section to questions of law. The law as reflected in Canadian cases cited in </w:t>
      </w:r>
      <w:r w:rsidRPr="00B85098">
        <w:rPr>
          <w:rFonts w:ascii="Arial" w:hAnsi="Arial" w:cs="Arial"/>
          <w:i/>
          <w:iCs/>
          <w:sz w:val="22"/>
          <w:szCs w:val="22"/>
        </w:rPr>
        <w:t>Pistorius </w:t>
      </w:r>
      <w:r w:rsidRPr="00B85098">
        <w:rPr>
          <w:rFonts w:ascii="Arial" w:hAnsi="Arial" w:cs="Arial"/>
          <w:sz w:val="22"/>
          <w:szCs w:val="22"/>
        </w:rPr>
        <w:t>does not reflect the position in our law.’</w:t>
      </w:r>
    </w:p>
    <w:p w14:paraId="4AD1A5FA" w14:textId="77777777" w:rsidR="00053D5B" w:rsidRPr="002560F3" w:rsidRDefault="00053D5B" w:rsidP="00833213">
      <w:pPr>
        <w:spacing w:after="0" w:line="360" w:lineRule="auto"/>
        <w:jc w:val="both"/>
        <w:rPr>
          <w:rFonts w:ascii="Arial" w:hAnsi="Arial" w:cs="Arial"/>
          <w:sz w:val="24"/>
          <w:szCs w:val="24"/>
        </w:rPr>
      </w:pPr>
    </w:p>
    <w:p w14:paraId="050FBCD1" w14:textId="27D22D3C" w:rsidR="0031496E" w:rsidRDefault="00043CEB" w:rsidP="00B0446D">
      <w:pPr>
        <w:autoSpaceDE w:val="0"/>
        <w:autoSpaceDN w:val="0"/>
        <w:adjustRightInd w:val="0"/>
        <w:spacing w:after="0" w:line="360" w:lineRule="auto"/>
        <w:contextualSpacing/>
        <w:jc w:val="both"/>
        <w:rPr>
          <w:rFonts w:ascii="Arial" w:hAnsi="Arial" w:cs="Arial"/>
          <w:sz w:val="24"/>
          <w:szCs w:val="24"/>
        </w:rPr>
      </w:pPr>
      <w:r w:rsidRPr="002560F3">
        <w:rPr>
          <w:rFonts w:ascii="Arial" w:hAnsi="Arial" w:cs="Arial"/>
          <w:sz w:val="24"/>
          <w:szCs w:val="24"/>
        </w:rPr>
        <w:t>[36</w:t>
      </w:r>
      <w:r w:rsidR="00AA6C53" w:rsidRPr="002560F3">
        <w:rPr>
          <w:rFonts w:ascii="Arial" w:hAnsi="Arial" w:cs="Arial"/>
          <w:sz w:val="24"/>
          <w:szCs w:val="24"/>
        </w:rPr>
        <w:t>]</w:t>
      </w:r>
      <w:r w:rsidR="00624502" w:rsidRPr="002560F3">
        <w:rPr>
          <w:rFonts w:ascii="Arial" w:hAnsi="Arial" w:cs="Arial"/>
          <w:sz w:val="24"/>
          <w:szCs w:val="24"/>
        </w:rPr>
        <w:tab/>
      </w:r>
      <w:r w:rsidR="00AA6C53" w:rsidRPr="002560F3">
        <w:rPr>
          <w:rFonts w:ascii="Arial" w:hAnsi="Arial" w:cs="Arial"/>
          <w:sz w:val="24"/>
          <w:szCs w:val="24"/>
        </w:rPr>
        <w:t xml:space="preserve"> In my view </w:t>
      </w:r>
      <w:r w:rsidR="000C607C" w:rsidRPr="002560F3">
        <w:rPr>
          <w:rFonts w:ascii="Arial" w:hAnsi="Arial" w:cs="Arial"/>
          <w:sz w:val="24"/>
          <w:szCs w:val="24"/>
        </w:rPr>
        <w:t xml:space="preserve">the </w:t>
      </w:r>
      <w:r w:rsidR="006C327C" w:rsidRPr="002560F3">
        <w:rPr>
          <w:rFonts w:ascii="Arial" w:hAnsi="Arial" w:cs="Arial"/>
          <w:sz w:val="24"/>
          <w:szCs w:val="24"/>
        </w:rPr>
        <w:t>answer to all of t</w:t>
      </w:r>
      <w:r w:rsidR="0031496E" w:rsidRPr="002560F3">
        <w:rPr>
          <w:rFonts w:ascii="Arial" w:hAnsi="Arial" w:cs="Arial"/>
          <w:sz w:val="24"/>
          <w:szCs w:val="24"/>
        </w:rPr>
        <w:t xml:space="preserve">he contentions raised by the </w:t>
      </w:r>
      <w:r w:rsidR="00053D5B" w:rsidRPr="002560F3">
        <w:rPr>
          <w:rFonts w:ascii="Arial" w:hAnsi="Arial" w:cs="Arial"/>
          <w:sz w:val="24"/>
          <w:szCs w:val="24"/>
        </w:rPr>
        <w:t>State lies</w:t>
      </w:r>
      <w:r w:rsidR="004A67C2" w:rsidRPr="002560F3">
        <w:rPr>
          <w:rFonts w:ascii="Arial" w:hAnsi="Arial" w:cs="Arial"/>
          <w:sz w:val="24"/>
          <w:szCs w:val="24"/>
        </w:rPr>
        <w:t xml:space="preserve"> in what was said by this </w:t>
      </w:r>
      <w:r w:rsidR="00A62D0D">
        <w:rPr>
          <w:rFonts w:ascii="Arial" w:hAnsi="Arial" w:cs="Arial"/>
          <w:sz w:val="24"/>
          <w:szCs w:val="24"/>
        </w:rPr>
        <w:t>C</w:t>
      </w:r>
      <w:r w:rsidR="004A67C2" w:rsidRPr="002560F3">
        <w:rPr>
          <w:rFonts w:ascii="Arial" w:hAnsi="Arial" w:cs="Arial"/>
          <w:sz w:val="24"/>
          <w:szCs w:val="24"/>
        </w:rPr>
        <w:t xml:space="preserve">ourt in </w:t>
      </w:r>
      <w:r w:rsidR="004A67C2" w:rsidRPr="002560F3">
        <w:rPr>
          <w:rFonts w:ascii="Arial" w:hAnsi="Arial" w:cs="Arial"/>
          <w:i/>
          <w:sz w:val="24"/>
          <w:szCs w:val="24"/>
        </w:rPr>
        <w:t>Schoeman</w:t>
      </w:r>
      <w:r w:rsidR="00A62D0D">
        <w:rPr>
          <w:rFonts w:ascii="Arial" w:hAnsi="Arial" w:cs="Arial"/>
          <w:sz w:val="24"/>
          <w:szCs w:val="24"/>
        </w:rPr>
        <w:t xml:space="preserve"> at </w:t>
      </w:r>
      <w:r w:rsidR="006820F7" w:rsidRPr="002560F3">
        <w:rPr>
          <w:rFonts w:ascii="Arial" w:hAnsi="Arial" w:cs="Arial"/>
          <w:sz w:val="24"/>
          <w:szCs w:val="24"/>
        </w:rPr>
        <w:t>para</w:t>
      </w:r>
      <w:r w:rsidR="00A62D0D">
        <w:rPr>
          <w:rFonts w:ascii="Arial" w:hAnsi="Arial" w:cs="Arial"/>
          <w:sz w:val="24"/>
          <w:szCs w:val="24"/>
        </w:rPr>
        <w:t xml:space="preserve">s </w:t>
      </w:r>
      <w:r w:rsidR="006820F7" w:rsidRPr="002560F3">
        <w:rPr>
          <w:rFonts w:ascii="Arial" w:hAnsi="Arial" w:cs="Arial"/>
          <w:sz w:val="24"/>
          <w:szCs w:val="24"/>
        </w:rPr>
        <w:t xml:space="preserve">73 and 74, </w:t>
      </w:r>
      <w:r w:rsidR="00053D5B" w:rsidRPr="002560F3">
        <w:rPr>
          <w:rFonts w:ascii="Arial" w:hAnsi="Arial" w:cs="Arial"/>
          <w:sz w:val="24"/>
          <w:szCs w:val="24"/>
        </w:rPr>
        <w:t>as</w:t>
      </w:r>
      <w:r w:rsidR="004A67C2" w:rsidRPr="002560F3">
        <w:rPr>
          <w:rFonts w:ascii="Arial" w:hAnsi="Arial" w:cs="Arial"/>
          <w:sz w:val="24"/>
          <w:szCs w:val="24"/>
        </w:rPr>
        <w:t xml:space="preserve"> </w:t>
      </w:r>
      <w:r w:rsidR="000112B7" w:rsidRPr="002560F3">
        <w:rPr>
          <w:rFonts w:ascii="Arial" w:hAnsi="Arial" w:cs="Arial"/>
          <w:sz w:val="24"/>
          <w:szCs w:val="24"/>
        </w:rPr>
        <w:t xml:space="preserve">quoted </w:t>
      </w:r>
      <w:r w:rsidR="003B68F3" w:rsidRPr="002560F3">
        <w:rPr>
          <w:rFonts w:ascii="Arial" w:hAnsi="Arial" w:cs="Arial"/>
          <w:sz w:val="24"/>
          <w:szCs w:val="24"/>
        </w:rPr>
        <w:t xml:space="preserve">in the aforegoing paragraph </w:t>
      </w:r>
      <w:r w:rsidR="000112B7" w:rsidRPr="002560F3">
        <w:rPr>
          <w:rFonts w:ascii="Arial" w:hAnsi="Arial" w:cs="Arial"/>
          <w:sz w:val="24"/>
          <w:szCs w:val="24"/>
        </w:rPr>
        <w:t xml:space="preserve">above. </w:t>
      </w:r>
      <w:r w:rsidR="004A67C2" w:rsidRPr="002560F3">
        <w:rPr>
          <w:rFonts w:ascii="Arial" w:hAnsi="Arial" w:cs="Arial"/>
          <w:sz w:val="24"/>
          <w:szCs w:val="24"/>
        </w:rPr>
        <w:t xml:space="preserve">It is clear </w:t>
      </w:r>
      <w:r w:rsidR="00B27145" w:rsidRPr="002560F3">
        <w:rPr>
          <w:rFonts w:ascii="Arial" w:hAnsi="Arial" w:cs="Arial"/>
          <w:sz w:val="24"/>
          <w:szCs w:val="24"/>
        </w:rPr>
        <w:t xml:space="preserve">from </w:t>
      </w:r>
      <w:r w:rsidR="00B27145" w:rsidRPr="002560F3">
        <w:rPr>
          <w:rFonts w:ascii="Arial" w:hAnsi="Arial" w:cs="Arial"/>
          <w:i/>
          <w:iCs/>
          <w:sz w:val="24"/>
          <w:szCs w:val="24"/>
        </w:rPr>
        <w:t>Schoeman</w:t>
      </w:r>
      <w:r w:rsidR="00B27145" w:rsidRPr="002560F3">
        <w:rPr>
          <w:rFonts w:ascii="Arial" w:hAnsi="Arial" w:cs="Arial"/>
          <w:sz w:val="24"/>
          <w:szCs w:val="24"/>
        </w:rPr>
        <w:t xml:space="preserve"> that even if a trial court ignore</w:t>
      </w:r>
      <w:r w:rsidR="00053D5B" w:rsidRPr="002560F3">
        <w:rPr>
          <w:rFonts w:ascii="Arial" w:hAnsi="Arial" w:cs="Arial"/>
          <w:sz w:val="24"/>
          <w:szCs w:val="24"/>
        </w:rPr>
        <w:t>d</w:t>
      </w:r>
      <w:r w:rsidR="00B27145" w:rsidRPr="002560F3">
        <w:rPr>
          <w:rFonts w:ascii="Arial" w:hAnsi="Arial" w:cs="Arial"/>
          <w:sz w:val="24"/>
          <w:szCs w:val="24"/>
        </w:rPr>
        <w:t xml:space="preserve"> evidence or display</w:t>
      </w:r>
      <w:r w:rsidR="00053D5B" w:rsidRPr="002560F3">
        <w:rPr>
          <w:rFonts w:ascii="Arial" w:hAnsi="Arial" w:cs="Arial"/>
          <w:sz w:val="24"/>
          <w:szCs w:val="24"/>
        </w:rPr>
        <w:t>ed</w:t>
      </w:r>
      <w:r w:rsidR="00B27145" w:rsidRPr="002560F3">
        <w:rPr>
          <w:rFonts w:ascii="Arial" w:hAnsi="Arial" w:cs="Arial"/>
          <w:sz w:val="24"/>
          <w:szCs w:val="24"/>
        </w:rPr>
        <w:t xml:space="preserve"> a lack of appreciation for its relevance</w:t>
      </w:r>
      <w:r w:rsidR="003B68F3" w:rsidRPr="002560F3">
        <w:rPr>
          <w:rFonts w:ascii="Arial" w:hAnsi="Arial" w:cs="Arial"/>
          <w:sz w:val="24"/>
          <w:szCs w:val="24"/>
        </w:rPr>
        <w:t>,</w:t>
      </w:r>
      <w:r w:rsidR="00B27145" w:rsidRPr="002560F3">
        <w:rPr>
          <w:rFonts w:ascii="Arial" w:hAnsi="Arial" w:cs="Arial"/>
          <w:sz w:val="24"/>
          <w:szCs w:val="24"/>
        </w:rPr>
        <w:t xml:space="preserve"> this does </w:t>
      </w:r>
      <w:r w:rsidR="000C607C" w:rsidRPr="002560F3">
        <w:rPr>
          <w:rFonts w:ascii="Arial" w:hAnsi="Arial" w:cs="Arial"/>
          <w:sz w:val="24"/>
          <w:szCs w:val="24"/>
        </w:rPr>
        <w:t xml:space="preserve">not amount to an error of law. </w:t>
      </w:r>
      <w:r w:rsidR="00B27145" w:rsidRPr="002560F3">
        <w:rPr>
          <w:rFonts w:ascii="Arial" w:hAnsi="Arial" w:cs="Arial"/>
          <w:sz w:val="24"/>
          <w:szCs w:val="24"/>
        </w:rPr>
        <w:t xml:space="preserve">Furthermore, </w:t>
      </w:r>
      <w:r w:rsidR="00856BBD" w:rsidRPr="002560F3">
        <w:rPr>
          <w:rFonts w:ascii="Arial" w:hAnsi="Arial" w:cs="Arial"/>
          <w:sz w:val="24"/>
          <w:szCs w:val="24"/>
        </w:rPr>
        <w:t xml:space="preserve">even if the trial court </w:t>
      </w:r>
      <w:r w:rsidR="00053D5B" w:rsidRPr="002560F3">
        <w:rPr>
          <w:rFonts w:ascii="Arial" w:hAnsi="Arial" w:cs="Arial"/>
          <w:sz w:val="24"/>
          <w:szCs w:val="24"/>
        </w:rPr>
        <w:t xml:space="preserve">did </w:t>
      </w:r>
      <w:r w:rsidR="00856BBD" w:rsidRPr="002560F3">
        <w:rPr>
          <w:rFonts w:ascii="Arial" w:hAnsi="Arial" w:cs="Arial"/>
          <w:sz w:val="24"/>
          <w:szCs w:val="24"/>
        </w:rPr>
        <w:t xml:space="preserve">not mention something specifically in its judgment, </w:t>
      </w:r>
      <w:r w:rsidR="00DC21FE" w:rsidRPr="002560F3">
        <w:rPr>
          <w:rFonts w:ascii="Arial" w:hAnsi="Arial" w:cs="Arial"/>
          <w:sz w:val="24"/>
          <w:szCs w:val="24"/>
        </w:rPr>
        <w:t xml:space="preserve">this </w:t>
      </w:r>
      <w:r w:rsidR="00D9111E" w:rsidRPr="002560F3">
        <w:rPr>
          <w:rFonts w:ascii="Arial" w:hAnsi="Arial" w:cs="Arial"/>
          <w:sz w:val="24"/>
          <w:szCs w:val="24"/>
        </w:rPr>
        <w:t xml:space="preserve">also </w:t>
      </w:r>
      <w:r w:rsidR="00DC21FE" w:rsidRPr="002560F3">
        <w:rPr>
          <w:rFonts w:ascii="Arial" w:hAnsi="Arial" w:cs="Arial"/>
          <w:sz w:val="24"/>
          <w:szCs w:val="24"/>
        </w:rPr>
        <w:t>did</w:t>
      </w:r>
      <w:r w:rsidR="00856BBD" w:rsidRPr="002560F3">
        <w:rPr>
          <w:rFonts w:ascii="Arial" w:hAnsi="Arial" w:cs="Arial"/>
          <w:sz w:val="24"/>
          <w:szCs w:val="24"/>
        </w:rPr>
        <w:t xml:space="preserve"> </w:t>
      </w:r>
      <w:r w:rsidR="000112B7" w:rsidRPr="002560F3">
        <w:rPr>
          <w:rFonts w:ascii="Arial" w:hAnsi="Arial" w:cs="Arial"/>
          <w:sz w:val="24"/>
          <w:szCs w:val="24"/>
        </w:rPr>
        <w:t>not amount to an erro</w:t>
      </w:r>
      <w:r w:rsidR="00DC21FE" w:rsidRPr="002560F3">
        <w:rPr>
          <w:rFonts w:ascii="Arial" w:hAnsi="Arial" w:cs="Arial"/>
          <w:sz w:val="24"/>
          <w:szCs w:val="24"/>
        </w:rPr>
        <w:t xml:space="preserve">r of law. </w:t>
      </w:r>
      <w:r w:rsidR="0027714F" w:rsidRPr="002560F3">
        <w:rPr>
          <w:rFonts w:ascii="Arial" w:hAnsi="Arial" w:cs="Arial"/>
          <w:sz w:val="24"/>
          <w:szCs w:val="24"/>
        </w:rPr>
        <w:t xml:space="preserve">In any event, this </w:t>
      </w:r>
      <w:r w:rsidR="00474D18" w:rsidRPr="002560F3">
        <w:rPr>
          <w:rFonts w:ascii="Arial" w:hAnsi="Arial" w:cs="Arial"/>
          <w:sz w:val="24"/>
          <w:szCs w:val="24"/>
        </w:rPr>
        <w:t xml:space="preserve">Court </w:t>
      </w:r>
      <w:r w:rsidR="008761A9" w:rsidRPr="002560F3">
        <w:rPr>
          <w:rFonts w:ascii="Arial" w:hAnsi="Arial" w:cs="Arial"/>
          <w:sz w:val="24"/>
          <w:szCs w:val="24"/>
        </w:rPr>
        <w:t>cannot rule out that the tria</w:t>
      </w:r>
      <w:r w:rsidR="000112B7" w:rsidRPr="002560F3">
        <w:rPr>
          <w:rFonts w:ascii="Arial" w:hAnsi="Arial" w:cs="Arial"/>
          <w:sz w:val="24"/>
          <w:szCs w:val="24"/>
        </w:rPr>
        <w:t xml:space="preserve">l court </w:t>
      </w:r>
      <w:r w:rsidR="00B31447">
        <w:rPr>
          <w:rFonts w:ascii="Arial" w:hAnsi="Arial" w:cs="Arial"/>
          <w:sz w:val="24"/>
          <w:szCs w:val="24"/>
        </w:rPr>
        <w:t xml:space="preserve">actually did </w:t>
      </w:r>
      <w:r w:rsidR="000112B7" w:rsidRPr="002560F3">
        <w:rPr>
          <w:rFonts w:ascii="Arial" w:hAnsi="Arial" w:cs="Arial"/>
          <w:sz w:val="24"/>
          <w:szCs w:val="24"/>
        </w:rPr>
        <w:t xml:space="preserve">consider all </w:t>
      </w:r>
      <w:r w:rsidR="00B27145" w:rsidRPr="002560F3">
        <w:rPr>
          <w:rFonts w:ascii="Arial" w:hAnsi="Arial" w:cs="Arial"/>
          <w:sz w:val="24"/>
          <w:szCs w:val="24"/>
        </w:rPr>
        <w:t xml:space="preserve">of the evidence when it said </w:t>
      </w:r>
      <w:r w:rsidR="00B31447">
        <w:rPr>
          <w:rFonts w:ascii="Arial" w:hAnsi="Arial" w:cs="Arial"/>
          <w:sz w:val="24"/>
          <w:szCs w:val="24"/>
        </w:rPr>
        <w:t xml:space="preserve">that </w:t>
      </w:r>
      <w:r w:rsidR="00B27145" w:rsidRPr="002560F3">
        <w:rPr>
          <w:rFonts w:ascii="Arial" w:hAnsi="Arial" w:cs="Arial"/>
          <w:sz w:val="24"/>
          <w:szCs w:val="24"/>
        </w:rPr>
        <w:t>it had considered the totality of the evidence,</w:t>
      </w:r>
      <w:r w:rsidR="008761A9" w:rsidRPr="002560F3">
        <w:rPr>
          <w:rFonts w:ascii="Arial" w:hAnsi="Arial" w:cs="Arial"/>
          <w:sz w:val="24"/>
          <w:szCs w:val="24"/>
        </w:rPr>
        <w:t xml:space="preserve"> and that the defence of duress was considered when the </w:t>
      </w:r>
      <w:r w:rsidR="00DC21FE" w:rsidRPr="002560F3">
        <w:rPr>
          <w:rFonts w:ascii="Arial" w:hAnsi="Arial" w:cs="Arial"/>
          <w:sz w:val="24"/>
          <w:szCs w:val="24"/>
        </w:rPr>
        <w:t>trial court said that the respondent had</w:t>
      </w:r>
      <w:r w:rsidR="0031496E" w:rsidRPr="002560F3">
        <w:rPr>
          <w:rFonts w:ascii="Arial" w:hAnsi="Arial" w:cs="Arial"/>
          <w:sz w:val="24"/>
          <w:szCs w:val="24"/>
        </w:rPr>
        <w:t xml:space="preserve"> </w:t>
      </w:r>
      <w:r w:rsidR="00D9111E" w:rsidRPr="002560F3">
        <w:rPr>
          <w:rFonts w:ascii="Arial" w:hAnsi="Arial" w:cs="Arial"/>
          <w:sz w:val="24"/>
          <w:szCs w:val="24"/>
        </w:rPr>
        <w:t>testified that he was scared of Chabi, feared for his life and that of his family.</w:t>
      </w:r>
      <w:r w:rsidR="008761A9" w:rsidRPr="002560F3">
        <w:rPr>
          <w:rFonts w:ascii="Arial" w:hAnsi="Arial" w:cs="Arial"/>
          <w:sz w:val="24"/>
          <w:szCs w:val="24"/>
        </w:rPr>
        <w:t xml:space="preserve"> </w:t>
      </w:r>
      <w:r w:rsidR="006820F7" w:rsidRPr="002560F3">
        <w:rPr>
          <w:rFonts w:ascii="Arial" w:hAnsi="Arial" w:cs="Arial"/>
          <w:sz w:val="24"/>
          <w:szCs w:val="24"/>
        </w:rPr>
        <w:t>In addition, i</w:t>
      </w:r>
      <w:r w:rsidR="00DC21FE" w:rsidRPr="002560F3">
        <w:rPr>
          <w:rFonts w:ascii="Arial" w:hAnsi="Arial" w:cs="Arial"/>
          <w:sz w:val="24"/>
          <w:szCs w:val="24"/>
        </w:rPr>
        <w:t xml:space="preserve">t </w:t>
      </w:r>
      <w:r w:rsidR="006820F7" w:rsidRPr="002560F3">
        <w:rPr>
          <w:rFonts w:ascii="Arial" w:hAnsi="Arial" w:cs="Arial"/>
          <w:sz w:val="24"/>
          <w:szCs w:val="24"/>
        </w:rPr>
        <w:t xml:space="preserve">also </w:t>
      </w:r>
      <w:r w:rsidR="00DC21FE" w:rsidRPr="002560F3">
        <w:rPr>
          <w:rFonts w:ascii="Arial" w:hAnsi="Arial" w:cs="Arial"/>
          <w:sz w:val="24"/>
          <w:szCs w:val="24"/>
        </w:rPr>
        <w:t xml:space="preserve">does not appear from the judgment of the trial court that it </w:t>
      </w:r>
      <w:r w:rsidR="0031496E" w:rsidRPr="002560F3">
        <w:rPr>
          <w:rFonts w:ascii="Arial" w:hAnsi="Arial" w:cs="Arial"/>
          <w:sz w:val="24"/>
          <w:szCs w:val="24"/>
        </w:rPr>
        <w:t>focu</w:t>
      </w:r>
      <w:r w:rsidR="00DC21FE" w:rsidRPr="002560F3">
        <w:rPr>
          <w:rFonts w:ascii="Arial" w:hAnsi="Arial" w:cs="Arial"/>
          <w:sz w:val="24"/>
          <w:szCs w:val="24"/>
        </w:rPr>
        <w:t xml:space="preserve">sed only </w:t>
      </w:r>
      <w:r w:rsidR="0031496E" w:rsidRPr="002560F3">
        <w:rPr>
          <w:rFonts w:ascii="Arial" w:hAnsi="Arial" w:cs="Arial"/>
          <w:sz w:val="24"/>
          <w:szCs w:val="24"/>
        </w:rPr>
        <w:t>on the existence of a prior agreement between the respondent and Chabi.</w:t>
      </w:r>
      <w:r w:rsidR="00474D18" w:rsidRPr="002560F3">
        <w:rPr>
          <w:rFonts w:ascii="Arial" w:hAnsi="Arial" w:cs="Arial"/>
          <w:sz w:val="24"/>
          <w:szCs w:val="24"/>
        </w:rPr>
        <w:t xml:space="preserve"> </w:t>
      </w:r>
      <w:r w:rsidR="0031496E" w:rsidRPr="002560F3">
        <w:rPr>
          <w:rFonts w:ascii="Arial" w:hAnsi="Arial" w:cs="Arial"/>
          <w:sz w:val="24"/>
          <w:szCs w:val="24"/>
        </w:rPr>
        <w:t xml:space="preserve">The </w:t>
      </w:r>
      <w:r w:rsidR="00DC21FE" w:rsidRPr="002560F3">
        <w:rPr>
          <w:rFonts w:ascii="Arial" w:hAnsi="Arial" w:cs="Arial"/>
          <w:sz w:val="24"/>
          <w:szCs w:val="24"/>
        </w:rPr>
        <w:t xml:space="preserve">prior </w:t>
      </w:r>
      <w:r w:rsidR="0031496E" w:rsidRPr="002560F3">
        <w:rPr>
          <w:rFonts w:ascii="Arial" w:hAnsi="Arial" w:cs="Arial"/>
          <w:sz w:val="24"/>
          <w:szCs w:val="24"/>
        </w:rPr>
        <w:t xml:space="preserve">agreement had </w:t>
      </w:r>
      <w:r w:rsidR="00D41762" w:rsidRPr="002560F3">
        <w:rPr>
          <w:rFonts w:ascii="Arial" w:hAnsi="Arial" w:cs="Arial"/>
          <w:sz w:val="24"/>
          <w:szCs w:val="24"/>
        </w:rPr>
        <w:t xml:space="preserve">been raised by Chabi in </w:t>
      </w:r>
      <w:r w:rsidR="00E93B8F" w:rsidRPr="002560F3">
        <w:rPr>
          <w:rFonts w:ascii="Arial" w:hAnsi="Arial" w:cs="Arial"/>
          <w:sz w:val="24"/>
          <w:szCs w:val="24"/>
        </w:rPr>
        <w:t>his</w:t>
      </w:r>
      <w:r w:rsidR="0031496E" w:rsidRPr="002560F3">
        <w:rPr>
          <w:rFonts w:ascii="Arial" w:hAnsi="Arial" w:cs="Arial"/>
          <w:sz w:val="24"/>
          <w:szCs w:val="24"/>
        </w:rPr>
        <w:t xml:space="preserve"> </w:t>
      </w:r>
      <w:r w:rsidR="00DC21FE" w:rsidRPr="002560F3">
        <w:rPr>
          <w:rFonts w:ascii="Arial" w:hAnsi="Arial" w:cs="Arial"/>
          <w:sz w:val="24"/>
          <w:szCs w:val="24"/>
        </w:rPr>
        <w:t xml:space="preserve">s 112 </w:t>
      </w:r>
      <w:r w:rsidR="0031496E" w:rsidRPr="002560F3">
        <w:rPr>
          <w:rFonts w:ascii="Arial" w:hAnsi="Arial" w:cs="Arial"/>
          <w:sz w:val="24"/>
          <w:szCs w:val="24"/>
        </w:rPr>
        <w:t>statement and had to be dea</w:t>
      </w:r>
      <w:r w:rsidR="00DC21FE" w:rsidRPr="002560F3">
        <w:rPr>
          <w:rFonts w:ascii="Arial" w:hAnsi="Arial" w:cs="Arial"/>
          <w:sz w:val="24"/>
          <w:szCs w:val="24"/>
        </w:rPr>
        <w:t>lt with.</w:t>
      </w:r>
      <w:r w:rsidR="003B68F3" w:rsidRPr="002560F3">
        <w:rPr>
          <w:rFonts w:ascii="Arial" w:hAnsi="Arial" w:cs="Arial"/>
          <w:sz w:val="24"/>
          <w:szCs w:val="24"/>
        </w:rPr>
        <w:t xml:space="preserve"> </w:t>
      </w:r>
    </w:p>
    <w:p w14:paraId="76CA8C2D" w14:textId="77777777" w:rsidR="006A6E38" w:rsidRPr="002560F3" w:rsidRDefault="006A6E38" w:rsidP="00B0446D">
      <w:pPr>
        <w:autoSpaceDE w:val="0"/>
        <w:autoSpaceDN w:val="0"/>
        <w:adjustRightInd w:val="0"/>
        <w:spacing w:after="0" w:line="360" w:lineRule="auto"/>
        <w:contextualSpacing/>
        <w:jc w:val="both"/>
        <w:rPr>
          <w:rFonts w:ascii="Arial" w:hAnsi="Arial" w:cs="Arial"/>
          <w:sz w:val="24"/>
          <w:szCs w:val="24"/>
        </w:rPr>
      </w:pPr>
    </w:p>
    <w:p w14:paraId="53CE3536" w14:textId="451E2ED6" w:rsidR="00DC21FE" w:rsidRDefault="00043CEB" w:rsidP="00B0446D">
      <w:pPr>
        <w:spacing w:after="0" w:line="360" w:lineRule="auto"/>
        <w:contextualSpacing/>
        <w:jc w:val="both"/>
        <w:rPr>
          <w:rFonts w:ascii="Arial" w:hAnsi="Arial" w:cs="Arial"/>
          <w:bCs/>
          <w:sz w:val="24"/>
          <w:szCs w:val="24"/>
        </w:rPr>
      </w:pPr>
      <w:r w:rsidRPr="002560F3">
        <w:rPr>
          <w:rFonts w:ascii="Arial" w:hAnsi="Arial" w:cs="Arial"/>
          <w:bCs/>
          <w:sz w:val="24"/>
          <w:szCs w:val="24"/>
        </w:rPr>
        <w:t>[37</w:t>
      </w:r>
      <w:r w:rsidR="00DC21FE" w:rsidRPr="002560F3">
        <w:rPr>
          <w:rFonts w:ascii="Arial" w:hAnsi="Arial" w:cs="Arial"/>
          <w:bCs/>
          <w:sz w:val="24"/>
          <w:szCs w:val="24"/>
        </w:rPr>
        <w:t>]</w:t>
      </w:r>
      <w:r w:rsidR="00624502" w:rsidRPr="002560F3">
        <w:rPr>
          <w:rFonts w:ascii="Arial" w:hAnsi="Arial" w:cs="Arial"/>
          <w:bCs/>
          <w:sz w:val="24"/>
          <w:szCs w:val="24"/>
        </w:rPr>
        <w:tab/>
      </w:r>
      <w:r w:rsidR="00DC21FE" w:rsidRPr="002560F3">
        <w:rPr>
          <w:rFonts w:ascii="Arial" w:hAnsi="Arial" w:cs="Arial"/>
          <w:bCs/>
          <w:sz w:val="24"/>
          <w:szCs w:val="24"/>
        </w:rPr>
        <w:t>In my view it was</w:t>
      </w:r>
      <w:r w:rsidR="003B68F3" w:rsidRPr="002560F3">
        <w:rPr>
          <w:rFonts w:ascii="Arial" w:hAnsi="Arial" w:cs="Arial"/>
          <w:bCs/>
          <w:sz w:val="24"/>
          <w:szCs w:val="24"/>
        </w:rPr>
        <w:t xml:space="preserve"> clear from the judgment of </w:t>
      </w:r>
      <w:r w:rsidR="00DC21FE" w:rsidRPr="002560F3">
        <w:rPr>
          <w:rFonts w:ascii="Arial" w:hAnsi="Arial" w:cs="Arial"/>
          <w:bCs/>
          <w:sz w:val="24"/>
          <w:szCs w:val="24"/>
        </w:rPr>
        <w:t xml:space="preserve">the trial court </w:t>
      </w:r>
      <w:r w:rsidR="003B68F3" w:rsidRPr="002560F3">
        <w:rPr>
          <w:rFonts w:ascii="Arial" w:hAnsi="Arial" w:cs="Arial"/>
          <w:bCs/>
          <w:sz w:val="24"/>
          <w:szCs w:val="24"/>
        </w:rPr>
        <w:t xml:space="preserve">that it </w:t>
      </w:r>
      <w:r w:rsidR="00DC21FE" w:rsidRPr="002560F3">
        <w:rPr>
          <w:rFonts w:ascii="Arial" w:hAnsi="Arial" w:cs="Arial"/>
          <w:bCs/>
          <w:sz w:val="24"/>
          <w:szCs w:val="24"/>
        </w:rPr>
        <w:t xml:space="preserve">was satisfied from a totality of the evidence that the State had not proved its case beyond </w:t>
      </w:r>
      <w:r w:rsidR="003E67A7" w:rsidRPr="002560F3">
        <w:rPr>
          <w:rFonts w:ascii="Arial" w:hAnsi="Arial" w:cs="Arial"/>
          <w:bCs/>
          <w:sz w:val="24"/>
          <w:szCs w:val="24"/>
        </w:rPr>
        <w:t xml:space="preserve">a </w:t>
      </w:r>
      <w:r w:rsidR="00DC21FE" w:rsidRPr="002560F3">
        <w:rPr>
          <w:rFonts w:ascii="Arial" w:hAnsi="Arial" w:cs="Arial"/>
          <w:bCs/>
          <w:sz w:val="24"/>
          <w:szCs w:val="24"/>
        </w:rPr>
        <w:t xml:space="preserve">reasonable doubt against the respondent. It is trite that the onus rests on the State to prove the respondent’s guilt. Failing that the respondent must be acquitted. It was not for the </w:t>
      </w:r>
      <w:r w:rsidR="0027714F" w:rsidRPr="002560F3">
        <w:rPr>
          <w:rFonts w:ascii="Arial" w:hAnsi="Arial" w:cs="Arial"/>
          <w:bCs/>
          <w:sz w:val="24"/>
          <w:szCs w:val="24"/>
        </w:rPr>
        <w:t xml:space="preserve">trial </w:t>
      </w:r>
      <w:r w:rsidR="00DC21FE" w:rsidRPr="002560F3">
        <w:rPr>
          <w:rFonts w:ascii="Arial" w:hAnsi="Arial" w:cs="Arial"/>
          <w:bCs/>
          <w:sz w:val="24"/>
          <w:szCs w:val="24"/>
        </w:rPr>
        <w:t>court to go further and evaluate the respondent’s case if there were shortcomings</w:t>
      </w:r>
      <w:r w:rsidR="00446023">
        <w:rPr>
          <w:rFonts w:ascii="Arial" w:hAnsi="Arial" w:cs="Arial"/>
          <w:bCs/>
          <w:sz w:val="24"/>
          <w:szCs w:val="24"/>
        </w:rPr>
        <w:t xml:space="preserve"> therein</w:t>
      </w:r>
      <w:r w:rsidR="00DC21FE" w:rsidRPr="002560F3">
        <w:rPr>
          <w:rFonts w:ascii="Arial" w:hAnsi="Arial" w:cs="Arial"/>
          <w:bCs/>
          <w:sz w:val="24"/>
          <w:szCs w:val="24"/>
        </w:rPr>
        <w:t xml:space="preserve"> to convict.</w:t>
      </w:r>
    </w:p>
    <w:p w14:paraId="69784C61" w14:textId="77777777" w:rsidR="006A6E38" w:rsidRDefault="006A6E38" w:rsidP="00B85098">
      <w:pPr>
        <w:spacing w:after="0" w:line="360" w:lineRule="auto"/>
        <w:contextualSpacing/>
        <w:jc w:val="both"/>
        <w:rPr>
          <w:rFonts w:ascii="Arial" w:hAnsi="Arial" w:cs="Arial"/>
          <w:sz w:val="24"/>
          <w:szCs w:val="24"/>
        </w:rPr>
      </w:pPr>
    </w:p>
    <w:p w14:paraId="7214653C" w14:textId="31F7B1FE" w:rsidR="00AE43FE" w:rsidRDefault="00043CEB" w:rsidP="00B85098">
      <w:pPr>
        <w:spacing w:after="0" w:line="360" w:lineRule="auto"/>
        <w:contextualSpacing/>
        <w:jc w:val="both"/>
        <w:rPr>
          <w:rFonts w:ascii="Arial" w:hAnsi="Arial" w:cs="Arial"/>
          <w:sz w:val="24"/>
          <w:szCs w:val="24"/>
        </w:rPr>
      </w:pPr>
      <w:r w:rsidRPr="002560F3">
        <w:rPr>
          <w:rFonts w:ascii="Arial" w:hAnsi="Arial" w:cs="Arial"/>
          <w:sz w:val="24"/>
          <w:szCs w:val="24"/>
        </w:rPr>
        <w:t>[38</w:t>
      </w:r>
      <w:r w:rsidR="001C7A1F" w:rsidRPr="002560F3">
        <w:rPr>
          <w:rFonts w:ascii="Arial" w:hAnsi="Arial" w:cs="Arial"/>
          <w:sz w:val="24"/>
          <w:szCs w:val="24"/>
        </w:rPr>
        <w:t>]</w:t>
      </w:r>
      <w:r w:rsidR="00624502" w:rsidRPr="002560F3">
        <w:rPr>
          <w:rFonts w:ascii="Arial" w:hAnsi="Arial" w:cs="Arial"/>
          <w:sz w:val="24"/>
          <w:szCs w:val="24"/>
        </w:rPr>
        <w:tab/>
      </w:r>
      <w:r w:rsidR="001C7A1F" w:rsidRPr="002560F3">
        <w:rPr>
          <w:rFonts w:ascii="Arial" w:hAnsi="Arial" w:cs="Arial"/>
          <w:bCs/>
          <w:sz w:val="24"/>
          <w:szCs w:val="24"/>
        </w:rPr>
        <w:t xml:space="preserve">Furthermore even if this Court were to determine that the trial court has incorrectly applied legal principles in its evaluation of the evidence and the respondent’s guilt, this </w:t>
      </w:r>
      <w:r w:rsidR="00D42FD6">
        <w:rPr>
          <w:rFonts w:ascii="Arial" w:hAnsi="Arial" w:cs="Arial"/>
          <w:bCs/>
          <w:sz w:val="24"/>
          <w:szCs w:val="24"/>
        </w:rPr>
        <w:t>C</w:t>
      </w:r>
      <w:r w:rsidR="001C7A1F" w:rsidRPr="002560F3">
        <w:rPr>
          <w:rFonts w:ascii="Arial" w:hAnsi="Arial" w:cs="Arial"/>
          <w:bCs/>
          <w:sz w:val="24"/>
          <w:szCs w:val="24"/>
        </w:rPr>
        <w:t xml:space="preserve">ourt could only reserve questions of law and not questions of </w:t>
      </w:r>
      <w:r w:rsidR="001C7A1F" w:rsidRPr="002560F3">
        <w:rPr>
          <w:rFonts w:ascii="Arial" w:hAnsi="Arial" w:cs="Arial"/>
          <w:bCs/>
          <w:sz w:val="24"/>
          <w:szCs w:val="24"/>
        </w:rPr>
        <w:lastRenderedPageBreak/>
        <w:t xml:space="preserve">fact. </w:t>
      </w:r>
      <w:r w:rsidR="002251E1" w:rsidRPr="002560F3">
        <w:rPr>
          <w:rFonts w:ascii="Arial" w:hAnsi="Arial" w:cs="Arial"/>
          <w:sz w:val="24"/>
          <w:szCs w:val="24"/>
        </w:rPr>
        <w:t xml:space="preserve">As decided by this Court in </w:t>
      </w:r>
      <w:r w:rsidR="002251E1" w:rsidRPr="002560F3">
        <w:rPr>
          <w:rFonts w:ascii="Arial" w:hAnsi="Arial" w:cs="Arial"/>
          <w:i/>
          <w:sz w:val="24"/>
          <w:szCs w:val="24"/>
        </w:rPr>
        <w:t>S v Basson</w:t>
      </w:r>
      <w:r w:rsidR="002251E1" w:rsidRPr="002560F3">
        <w:rPr>
          <w:rFonts w:ascii="Arial" w:hAnsi="Arial" w:cs="Arial"/>
          <w:sz w:val="24"/>
          <w:szCs w:val="24"/>
        </w:rPr>
        <w:t xml:space="preserve"> 2003 (2) SACR 373 (SCA) paras 10-11: </w:t>
      </w:r>
      <w:r w:rsidR="002251E1" w:rsidRPr="00AE43FE">
        <w:rPr>
          <w:rFonts w:ascii="Arial" w:hAnsi="Arial" w:cs="Arial"/>
        </w:rPr>
        <w:t>‘When a question of law arises</w:t>
      </w:r>
      <w:r w:rsidR="00CF6C10" w:rsidRPr="00AE43FE">
        <w:rPr>
          <w:rFonts w:ascii="Arial" w:hAnsi="Arial" w:cs="Arial"/>
        </w:rPr>
        <w:t xml:space="preserve"> as aforesaid</w:t>
      </w:r>
      <w:r w:rsidR="002251E1" w:rsidRPr="00AE43FE">
        <w:rPr>
          <w:rFonts w:ascii="Arial" w:hAnsi="Arial" w:cs="Arial"/>
        </w:rPr>
        <w:t>, the trial court, or, where it refuses to do so, this court has to decide on application by the state whether to reserve a question of law for consideration by this court. When this court considers an application by the state for leave to appeal against a refusal to reserve a question of law by the trial court, as with any other application for leave to appeal, it will only exercise its discretion in favour of the state where there is a reasonable prospect that if the mistake of law had not been made, the ac</w:t>
      </w:r>
      <w:r w:rsidR="00AC75E3">
        <w:rPr>
          <w:rFonts w:ascii="Arial" w:hAnsi="Arial" w:cs="Arial"/>
        </w:rPr>
        <w:t>cused would have been convicted</w:t>
      </w:r>
      <w:r w:rsidR="00D42FD6" w:rsidRPr="00AE43FE">
        <w:rPr>
          <w:rFonts w:ascii="Arial" w:hAnsi="Arial" w:cs="Arial"/>
        </w:rPr>
        <w:t>.</w:t>
      </w:r>
      <w:r w:rsidR="00AC75E3">
        <w:rPr>
          <w:rFonts w:ascii="Arial" w:hAnsi="Arial" w:cs="Arial"/>
        </w:rPr>
        <w:t>’</w:t>
      </w:r>
      <w:r w:rsidR="002251E1" w:rsidRPr="002560F3">
        <w:rPr>
          <w:rFonts w:ascii="Arial" w:hAnsi="Arial" w:cs="Arial"/>
          <w:sz w:val="24"/>
          <w:szCs w:val="24"/>
        </w:rPr>
        <w:t xml:space="preserve"> </w:t>
      </w:r>
    </w:p>
    <w:p w14:paraId="6EA5CA94" w14:textId="137CB5BF" w:rsidR="0055455B" w:rsidRPr="002560F3" w:rsidRDefault="006820F7" w:rsidP="00B85098">
      <w:pPr>
        <w:spacing w:after="0" w:line="360" w:lineRule="auto"/>
        <w:contextualSpacing/>
        <w:jc w:val="both"/>
        <w:rPr>
          <w:rFonts w:ascii="Arial" w:hAnsi="Arial" w:cs="Arial"/>
          <w:sz w:val="24"/>
          <w:szCs w:val="24"/>
        </w:rPr>
      </w:pPr>
      <w:r w:rsidRPr="002560F3">
        <w:rPr>
          <w:rFonts w:ascii="Arial" w:hAnsi="Arial" w:cs="Arial"/>
          <w:sz w:val="24"/>
          <w:szCs w:val="24"/>
        </w:rPr>
        <w:t>And at para 6</w:t>
      </w:r>
      <w:r w:rsidR="00552D7E">
        <w:rPr>
          <w:rFonts w:ascii="Arial" w:hAnsi="Arial" w:cs="Arial"/>
          <w:sz w:val="24"/>
          <w:szCs w:val="24"/>
        </w:rPr>
        <w:t xml:space="preserve"> </w:t>
      </w:r>
      <w:r w:rsidRPr="002560F3">
        <w:rPr>
          <w:rFonts w:ascii="Arial" w:hAnsi="Arial" w:cs="Arial"/>
          <w:sz w:val="24"/>
          <w:szCs w:val="24"/>
        </w:rPr>
        <w:t xml:space="preserve">of </w:t>
      </w:r>
      <w:r w:rsidRPr="002560F3">
        <w:rPr>
          <w:rFonts w:ascii="Arial" w:hAnsi="Arial" w:cs="Arial"/>
          <w:i/>
          <w:sz w:val="24"/>
          <w:szCs w:val="24"/>
        </w:rPr>
        <w:t>Basson</w:t>
      </w:r>
      <w:r w:rsidRPr="002560F3">
        <w:rPr>
          <w:rFonts w:ascii="Arial" w:hAnsi="Arial" w:cs="Arial"/>
          <w:sz w:val="24"/>
          <w:szCs w:val="24"/>
        </w:rPr>
        <w:t xml:space="preserve">, this </w:t>
      </w:r>
      <w:r w:rsidR="00552D7E">
        <w:rPr>
          <w:rFonts w:ascii="Arial" w:hAnsi="Arial" w:cs="Arial"/>
          <w:sz w:val="24"/>
          <w:szCs w:val="24"/>
        </w:rPr>
        <w:t>C</w:t>
      </w:r>
      <w:r w:rsidRPr="002560F3">
        <w:rPr>
          <w:rFonts w:ascii="Arial" w:hAnsi="Arial" w:cs="Arial"/>
          <w:sz w:val="24"/>
          <w:szCs w:val="24"/>
        </w:rPr>
        <w:t>ourt sai</w:t>
      </w:r>
      <w:r w:rsidR="00711CA8" w:rsidRPr="002560F3">
        <w:rPr>
          <w:rFonts w:ascii="Arial" w:hAnsi="Arial" w:cs="Arial"/>
          <w:sz w:val="24"/>
          <w:szCs w:val="24"/>
        </w:rPr>
        <w:t xml:space="preserve">d: </w:t>
      </w:r>
    </w:p>
    <w:p w14:paraId="19289D8A" w14:textId="2E3A6A27" w:rsidR="00BF50C0" w:rsidRPr="00F837EB" w:rsidRDefault="0055455B" w:rsidP="00BF50C0">
      <w:pPr>
        <w:spacing w:after="0" w:line="360" w:lineRule="auto"/>
        <w:contextualSpacing/>
        <w:jc w:val="both"/>
        <w:rPr>
          <w:rFonts w:ascii="Arial" w:hAnsi="Arial" w:cs="Arial"/>
          <w:lang w:val="af-ZA"/>
        </w:rPr>
      </w:pPr>
      <w:r w:rsidRPr="00BF50C0">
        <w:rPr>
          <w:rFonts w:ascii="Arial" w:hAnsi="Arial" w:cs="Arial"/>
          <w:lang w:val="af-ZA"/>
        </w:rPr>
        <w:t>‘</w:t>
      </w:r>
      <w:r w:rsidRPr="00F837EB">
        <w:rPr>
          <w:rFonts w:ascii="Arial" w:hAnsi="Arial" w:cs="Arial"/>
          <w:lang w:val="af-ZA"/>
        </w:rPr>
        <w:t xml:space="preserve">The only way in which the state can appeal against the decision of the trial court in terms of the Act is therefore by way of the reservation of a question of law in terms of section 319. The state has no right of appeal </w:t>
      </w:r>
      <w:r w:rsidR="004015A4" w:rsidRPr="00F837EB">
        <w:rPr>
          <w:rFonts w:ascii="Arial" w:hAnsi="Arial" w:cs="Arial"/>
          <w:lang w:val="af-ZA"/>
        </w:rPr>
        <w:t>in terms of the Act</w:t>
      </w:r>
      <w:r w:rsidR="004015A4">
        <w:rPr>
          <w:rFonts w:ascii="Arial" w:hAnsi="Arial" w:cs="Arial"/>
          <w:lang w:val="af-ZA"/>
        </w:rPr>
        <w:t xml:space="preserve"> </w:t>
      </w:r>
      <w:r w:rsidRPr="00F837EB">
        <w:rPr>
          <w:rFonts w:ascii="Arial" w:hAnsi="Arial" w:cs="Arial"/>
          <w:lang w:val="af-ZA"/>
        </w:rPr>
        <w:t xml:space="preserve">in </w:t>
      </w:r>
      <w:r w:rsidR="004015A4">
        <w:rPr>
          <w:rFonts w:ascii="Arial" w:hAnsi="Arial" w:cs="Arial"/>
          <w:lang w:val="af-ZA"/>
        </w:rPr>
        <w:t>respect</w:t>
      </w:r>
      <w:r w:rsidRPr="00F837EB">
        <w:rPr>
          <w:rFonts w:ascii="Arial" w:hAnsi="Arial" w:cs="Arial"/>
          <w:lang w:val="af-ZA"/>
        </w:rPr>
        <w:t xml:space="preserve"> of erroneous findings of </w:t>
      </w:r>
      <w:r w:rsidR="00222513">
        <w:rPr>
          <w:rFonts w:ascii="Arial" w:hAnsi="Arial" w:cs="Arial"/>
          <w:lang w:val="af-ZA"/>
        </w:rPr>
        <w:t xml:space="preserve">fact </w:t>
      </w:r>
      <w:r w:rsidRPr="00F837EB">
        <w:rPr>
          <w:rFonts w:ascii="Arial" w:hAnsi="Arial" w:cs="Arial"/>
          <w:lang w:val="af-ZA"/>
        </w:rPr>
        <w:t>by the trial judge. Only if the trial court has given a wrong decision due to a legal error can the state appeal. In order to determine whether the trial court committed an error of law, it must be determined on what factual basis it based its decision. After all, another factual basis cannot give an indication as to whether the judge committed a legal error. Whether the trial court's findings of fact are right or wrong is therefore totally irrelevant in order to determine whether he erred in law. It follows that a legal question arises only when the facts on which the trial court bases its ruling may have a different legal consequence than the legal consequence that the trial court found. For the aforesaid reasons (a) there must be certainty as to the point of law at issue and of the facts on which the trial judge based his finding; and (b) when a question of law is reserved, it must be clearly stated, not only which point of law is involved, but also the facts on which the trial court based its finding (see </w:t>
      </w:r>
      <w:r w:rsidRPr="00F837EB">
        <w:rPr>
          <w:rFonts w:ascii="Arial" w:hAnsi="Arial" w:cs="Arial"/>
          <w:i/>
          <w:iCs/>
          <w:lang w:val="af-ZA"/>
        </w:rPr>
        <w:t>Director of Public Prosecutions, Natal v Magidela and Another </w:t>
      </w:r>
      <w:r w:rsidRPr="00BD1115">
        <w:rPr>
          <w:rStyle w:val="Hyperlink"/>
          <w:rFonts w:ascii="Arial" w:hAnsi="Arial" w:cs="Arial"/>
          <w:color w:val="auto"/>
          <w:u w:val="none"/>
          <w:lang w:val="af-ZA"/>
        </w:rPr>
        <w:t>2000 (1) SACR 458</w:t>
      </w:r>
      <w:r w:rsidRPr="00F837EB">
        <w:rPr>
          <w:rFonts w:ascii="Arial" w:hAnsi="Arial" w:cs="Arial"/>
          <w:lang w:val="af-ZA"/>
        </w:rPr>
        <w:t> at para 462g-463c). When the state has such a legal question reserved, it is therefore necessary for the state to compile the specific facts properly and in full as part of the exposition of the</w:t>
      </w:r>
      <w:r w:rsidR="00552D7E">
        <w:rPr>
          <w:rFonts w:ascii="Arial" w:hAnsi="Arial" w:cs="Arial"/>
          <w:lang w:val="af-ZA"/>
        </w:rPr>
        <w:t xml:space="preserve"> </w:t>
      </w:r>
      <w:r w:rsidRPr="00F837EB">
        <w:rPr>
          <w:rFonts w:ascii="Arial" w:hAnsi="Arial" w:cs="Arial"/>
          <w:lang w:val="af-ZA"/>
        </w:rPr>
        <w:t>question</w:t>
      </w:r>
      <w:r w:rsidR="00552D7E">
        <w:rPr>
          <w:rFonts w:ascii="Arial" w:hAnsi="Arial" w:cs="Arial"/>
          <w:lang w:val="af-ZA"/>
        </w:rPr>
        <w:t xml:space="preserve"> of law</w:t>
      </w:r>
      <w:r w:rsidRPr="00F837EB">
        <w:rPr>
          <w:rFonts w:ascii="Arial" w:hAnsi="Arial" w:cs="Arial"/>
          <w:lang w:val="af-ZA"/>
        </w:rPr>
        <w:t xml:space="preserve"> (see </w:t>
      </w:r>
      <w:r w:rsidRPr="00F837EB">
        <w:rPr>
          <w:rFonts w:ascii="Arial" w:hAnsi="Arial" w:cs="Arial"/>
          <w:i/>
          <w:iCs/>
          <w:lang w:val="af-ZA"/>
        </w:rPr>
        <w:t>S v Goliath </w:t>
      </w:r>
      <w:r w:rsidRPr="00BD1115">
        <w:rPr>
          <w:rStyle w:val="Hyperlink"/>
          <w:rFonts w:ascii="Arial" w:hAnsi="Arial" w:cs="Arial"/>
          <w:color w:val="auto"/>
          <w:u w:val="none"/>
          <w:lang w:val="af-ZA"/>
        </w:rPr>
        <w:t>1972 (3) SA 1</w:t>
      </w:r>
      <w:r w:rsidRPr="00F837EB">
        <w:rPr>
          <w:rFonts w:ascii="Arial" w:hAnsi="Arial" w:cs="Arial"/>
          <w:lang w:val="af-ZA"/>
        </w:rPr>
        <w:t> (A) at 9H).</w:t>
      </w:r>
      <w:r w:rsidR="00AC75E3">
        <w:rPr>
          <w:rFonts w:ascii="Arial" w:hAnsi="Arial" w:cs="Arial"/>
          <w:lang w:val="af-ZA"/>
        </w:rPr>
        <w:t>’</w:t>
      </w:r>
    </w:p>
    <w:p w14:paraId="7FABD737" w14:textId="77777777" w:rsidR="0055455B" w:rsidRPr="002560F3" w:rsidRDefault="0055455B" w:rsidP="002251E1">
      <w:pPr>
        <w:spacing w:after="0" w:line="360" w:lineRule="auto"/>
        <w:jc w:val="both"/>
        <w:rPr>
          <w:rFonts w:ascii="Arial" w:hAnsi="Arial" w:cs="Arial"/>
          <w:sz w:val="24"/>
          <w:szCs w:val="24"/>
        </w:rPr>
      </w:pPr>
    </w:p>
    <w:p w14:paraId="7D21BD89" w14:textId="397441A0" w:rsidR="00EB400A" w:rsidRPr="002560F3" w:rsidRDefault="00043CEB" w:rsidP="00EB400A">
      <w:pPr>
        <w:spacing w:after="0" w:line="360" w:lineRule="auto"/>
        <w:jc w:val="both"/>
        <w:rPr>
          <w:rFonts w:ascii="Arial" w:hAnsi="Arial" w:cs="Arial"/>
          <w:bCs/>
          <w:sz w:val="24"/>
          <w:szCs w:val="24"/>
        </w:rPr>
      </w:pPr>
      <w:r w:rsidRPr="002560F3">
        <w:rPr>
          <w:rFonts w:ascii="Arial" w:hAnsi="Arial" w:cs="Arial"/>
          <w:sz w:val="24"/>
          <w:szCs w:val="24"/>
        </w:rPr>
        <w:t>[39</w:t>
      </w:r>
      <w:r w:rsidR="001C7A1F" w:rsidRPr="002560F3">
        <w:rPr>
          <w:rFonts w:ascii="Arial" w:hAnsi="Arial" w:cs="Arial"/>
          <w:sz w:val="24"/>
          <w:szCs w:val="24"/>
        </w:rPr>
        <w:t>]</w:t>
      </w:r>
      <w:r w:rsidR="00624502" w:rsidRPr="002560F3">
        <w:rPr>
          <w:rFonts w:ascii="Arial" w:hAnsi="Arial" w:cs="Arial"/>
          <w:sz w:val="24"/>
          <w:szCs w:val="24"/>
        </w:rPr>
        <w:tab/>
      </w:r>
      <w:r w:rsidR="003E0723" w:rsidRPr="002560F3">
        <w:rPr>
          <w:rFonts w:ascii="Arial" w:hAnsi="Arial" w:cs="Arial"/>
          <w:bCs/>
          <w:sz w:val="24"/>
          <w:szCs w:val="24"/>
        </w:rPr>
        <w:t>The gravam</w:t>
      </w:r>
      <w:r w:rsidR="00470457" w:rsidRPr="002560F3">
        <w:rPr>
          <w:rFonts w:ascii="Arial" w:hAnsi="Arial" w:cs="Arial"/>
          <w:bCs/>
          <w:sz w:val="24"/>
          <w:szCs w:val="24"/>
        </w:rPr>
        <w:t>e</w:t>
      </w:r>
      <w:r w:rsidR="003E0723" w:rsidRPr="002560F3">
        <w:rPr>
          <w:rFonts w:ascii="Arial" w:hAnsi="Arial" w:cs="Arial"/>
          <w:bCs/>
          <w:sz w:val="24"/>
          <w:szCs w:val="24"/>
        </w:rPr>
        <w:t xml:space="preserve">n of the State’s complaint is that the respondent has been acquitted when he ought to have been convicted for very heinous and serious crimes. </w:t>
      </w:r>
      <w:r w:rsidR="001C7A1F" w:rsidRPr="002560F3">
        <w:rPr>
          <w:rFonts w:ascii="Arial" w:hAnsi="Arial" w:cs="Arial"/>
          <w:sz w:val="24"/>
          <w:szCs w:val="24"/>
        </w:rPr>
        <w:t>Undoubtedly, there are aspects of the trial court</w:t>
      </w:r>
      <w:r w:rsidR="00F837EB">
        <w:rPr>
          <w:rFonts w:ascii="Arial" w:hAnsi="Arial" w:cs="Arial"/>
          <w:sz w:val="24"/>
          <w:szCs w:val="24"/>
        </w:rPr>
        <w:t>’</w:t>
      </w:r>
      <w:r w:rsidR="001C7A1F" w:rsidRPr="002560F3">
        <w:rPr>
          <w:rFonts w:ascii="Arial" w:hAnsi="Arial" w:cs="Arial"/>
          <w:sz w:val="24"/>
          <w:szCs w:val="24"/>
        </w:rPr>
        <w:t xml:space="preserve">s judgment that are troubling. </w:t>
      </w:r>
      <w:r w:rsidR="001C7A1F" w:rsidRPr="002560F3">
        <w:rPr>
          <w:rFonts w:ascii="Arial" w:hAnsi="Arial" w:cs="Arial"/>
          <w:bCs/>
          <w:sz w:val="24"/>
          <w:szCs w:val="24"/>
        </w:rPr>
        <w:t>Given the circumstances, it is disquieting that the trial court</w:t>
      </w:r>
      <w:r w:rsidR="004015A4">
        <w:rPr>
          <w:rFonts w:ascii="Arial" w:hAnsi="Arial" w:cs="Arial"/>
          <w:bCs/>
          <w:sz w:val="24"/>
          <w:szCs w:val="24"/>
        </w:rPr>
        <w:t>,</w:t>
      </w:r>
      <w:r w:rsidR="001C7A1F" w:rsidRPr="002560F3">
        <w:rPr>
          <w:rFonts w:ascii="Arial" w:hAnsi="Arial" w:cs="Arial"/>
          <w:bCs/>
          <w:sz w:val="24"/>
          <w:szCs w:val="24"/>
        </w:rPr>
        <w:t xml:space="preserve"> having found </w:t>
      </w:r>
      <w:r w:rsidR="00F837EB" w:rsidRPr="002560F3">
        <w:rPr>
          <w:rFonts w:ascii="Arial" w:hAnsi="Arial" w:cs="Arial"/>
          <w:bCs/>
          <w:sz w:val="24"/>
          <w:szCs w:val="24"/>
        </w:rPr>
        <w:t>that the</w:t>
      </w:r>
      <w:r w:rsidR="001C7A1F" w:rsidRPr="002560F3">
        <w:rPr>
          <w:rFonts w:ascii="Arial" w:hAnsi="Arial" w:cs="Arial"/>
          <w:bCs/>
          <w:sz w:val="24"/>
          <w:szCs w:val="24"/>
        </w:rPr>
        <w:t xml:space="preserve"> respondent did not disassociate himself from the crime, and that there were inconsistencies in his evidence, nevertheless appeared not to pay much attention to the conduct of the respondent. </w:t>
      </w:r>
      <w:r w:rsidR="00EB400A" w:rsidRPr="002560F3">
        <w:rPr>
          <w:rFonts w:ascii="Arial" w:hAnsi="Arial" w:cs="Arial"/>
          <w:sz w:val="24"/>
          <w:szCs w:val="24"/>
        </w:rPr>
        <w:t xml:space="preserve">So viewed, and in the light of the evidence, as well as the judgment of the </w:t>
      </w:r>
      <w:r w:rsidR="00EB400A" w:rsidRPr="002560F3">
        <w:rPr>
          <w:rFonts w:ascii="Arial" w:hAnsi="Arial" w:cs="Arial"/>
          <w:sz w:val="24"/>
          <w:szCs w:val="24"/>
        </w:rPr>
        <w:lastRenderedPageBreak/>
        <w:t>trial court, the State’s complaint may justifiably be valid. However</w:t>
      </w:r>
      <w:r w:rsidR="00C711C1" w:rsidRPr="002560F3">
        <w:rPr>
          <w:rFonts w:ascii="Arial" w:hAnsi="Arial" w:cs="Arial"/>
          <w:sz w:val="24"/>
          <w:szCs w:val="24"/>
        </w:rPr>
        <w:t xml:space="preserve">, </w:t>
      </w:r>
      <w:r w:rsidR="00EB400A" w:rsidRPr="002560F3">
        <w:rPr>
          <w:rFonts w:ascii="Arial" w:hAnsi="Arial" w:cs="Arial"/>
          <w:sz w:val="24"/>
          <w:szCs w:val="24"/>
        </w:rPr>
        <w:t xml:space="preserve">as stated by this </w:t>
      </w:r>
      <w:r w:rsidR="004015A4">
        <w:rPr>
          <w:rFonts w:ascii="Arial" w:hAnsi="Arial" w:cs="Arial"/>
          <w:sz w:val="24"/>
          <w:szCs w:val="24"/>
        </w:rPr>
        <w:t>C</w:t>
      </w:r>
      <w:r w:rsidR="00EB400A" w:rsidRPr="002560F3">
        <w:rPr>
          <w:rFonts w:ascii="Arial" w:hAnsi="Arial" w:cs="Arial"/>
          <w:sz w:val="24"/>
          <w:szCs w:val="24"/>
        </w:rPr>
        <w:t xml:space="preserve">ourt in </w:t>
      </w:r>
      <w:r w:rsidR="00EB400A" w:rsidRPr="002560F3">
        <w:rPr>
          <w:rFonts w:ascii="Arial" w:hAnsi="Arial" w:cs="Arial"/>
          <w:i/>
          <w:sz w:val="24"/>
          <w:szCs w:val="24"/>
        </w:rPr>
        <w:t>Molope</w:t>
      </w:r>
      <w:r w:rsidR="00EB400A" w:rsidRPr="002560F3">
        <w:rPr>
          <w:rFonts w:ascii="Arial" w:hAnsi="Arial" w:cs="Arial"/>
          <w:sz w:val="24"/>
          <w:szCs w:val="24"/>
        </w:rPr>
        <w:t xml:space="preserve"> at para 55: </w:t>
      </w:r>
    </w:p>
    <w:p w14:paraId="12711D32" w14:textId="17279E8C" w:rsidR="00EB400A" w:rsidRDefault="00EB400A" w:rsidP="00EB400A">
      <w:pPr>
        <w:spacing w:after="0" w:line="360" w:lineRule="auto"/>
        <w:contextualSpacing/>
        <w:jc w:val="both"/>
        <w:rPr>
          <w:rFonts w:ascii="Arial" w:hAnsi="Arial" w:cs="Arial"/>
          <w:bCs/>
        </w:rPr>
      </w:pPr>
      <w:r w:rsidRPr="002560F3">
        <w:rPr>
          <w:rFonts w:ascii="Arial" w:hAnsi="Arial" w:cs="Arial"/>
          <w:bCs/>
        </w:rPr>
        <w:t xml:space="preserve">‘This is a court of appeal, its function is not to seek to discover reasons adverse to the conclusions of the trial judge. The inquiry before this </w:t>
      </w:r>
      <w:r w:rsidR="00CD5CCE">
        <w:rPr>
          <w:rFonts w:ascii="Arial" w:hAnsi="Arial" w:cs="Arial"/>
          <w:bCs/>
        </w:rPr>
        <w:t>C</w:t>
      </w:r>
      <w:r w:rsidRPr="002560F3">
        <w:rPr>
          <w:rFonts w:ascii="Arial" w:hAnsi="Arial" w:cs="Arial"/>
          <w:bCs/>
        </w:rPr>
        <w:t>ourt is whether the question of law was properly reserved, which question, in view of all the aforegoing, must be answered in the negative. It is true that no judgment is perfect and all</w:t>
      </w:r>
      <w:r w:rsidR="00CD5CCE">
        <w:rPr>
          <w:rFonts w:ascii="Arial" w:hAnsi="Arial" w:cs="Arial"/>
          <w:bCs/>
        </w:rPr>
        <w:t>-</w:t>
      </w:r>
      <w:r w:rsidRPr="002560F3">
        <w:rPr>
          <w:rFonts w:ascii="Arial" w:hAnsi="Arial" w:cs="Arial"/>
          <w:bCs/>
        </w:rPr>
        <w:t>embracing</w:t>
      </w:r>
      <w:r w:rsidR="00CD5CCE">
        <w:rPr>
          <w:rFonts w:ascii="Arial" w:hAnsi="Arial" w:cs="Arial"/>
          <w:bCs/>
        </w:rPr>
        <w:t>,</w:t>
      </w:r>
      <w:r w:rsidRPr="002560F3">
        <w:rPr>
          <w:rFonts w:ascii="Arial" w:hAnsi="Arial" w:cs="Arial"/>
          <w:bCs/>
        </w:rPr>
        <w:t xml:space="preserve"> but it does not necessarily follow that, because certain aspects were not mentioned in the judgments, they were not considered</w:t>
      </w:r>
      <w:r w:rsidR="004E5CD0" w:rsidRPr="002560F3">
        <w:rPr>
          <w:rFonts w:ascii="Arial" w:hAnsi="Arial" w:cs="Arial"/>
          <w:bCs/>
        </w:rPr>
        <w:t>.</w:t>
      </w:r>
      <w:r w:rsidRPr="002560F3">
        <w:rPr>
          <w:rFonts w:ascii="Arial" w:hAnsi="Arial" w:cs="Arial"/>
          <w:bCs/>
        </w:rPr>
        <w:t xml:space="preserve">’ </w:t>
      </w:r>
    </w:p>
    <w:p w14:paraId="3332471F" w14:textId="77777777" w:rsidR="00D42FD6" w:rsidRPr="002560F3" w:rsidRDefault="00D42FD6" w:rsidP="00EB400A">
      <w:pPr>
        <w:spacing w:after="0" w:line="360" w:lineRule="auto"/>
        <w:contextualSpacing/>
        <w:jc w:val="both"/>
        <w:rPr>
          <w:rFonts w:ascii="Arial" w:hAnsi="Arial" w:cs="Arial"/>
          <w:bCs/>
        </w:rPr>
      </w:pPr>
    </w:p>
    <w:p w14:paraId="4F9F0F4D" w14:textId="1F364B7F" w:rsidR="00EB400A" w:rsidRPr="00B61C4E" w:rsidRDefault="004607D8" w:rsidP="001C7A1F">
      <w:pPr>
        <w:spacing w:after="0" w:line="360" w:lineRule="auto"/>
        <w:jc w:val="both"/>
        <w:rPr>
          <w:rFonts w:ascii="Arial" w:hAnsi="Arial" w:cs="Arial"/>
          <w:b/>
          <w:sz w:val="24"/>
          <w:szCs w:val="24"/>
        </w:rPr>
      </w:pPr>
      <w:r w:rsidRPr="00B61C4E">
        <w:rPr>
          <w:rFonts w:ascii="Arial" w:hAnsi="Arial" w:cs="Arial"/>
          <w:b/>
          <w:sz w:val="24"/>
          <w:szCs w:val="24"/>
        </w:rPr>
        <w:t>Conclusion</w:t>
      </w:r>
    </w:p>
    <w:p w14:paraId="5D7BBC59" w14:textId="484F3D5E" w:rsidR="003E0723" w:rsidRDefault="00043CEB" w:rsidP="00B0446D">
      <w:pPr>
        <w:spacing w:after="0" w:line="360" w:lineRule="auto"/>
        <w:contextualSpacing/>
        <w:jc w:val="both"/>
        <w:rPr>
          <w:rFonts w:ascii="Arial" w:hAnsi="Arial" w:cs="Arial"/>
          <w:sz w:val="24"/>
          <w:szCs w:val="24"/>
        </w:rPr>
      </w:pPr>
      <w:r w:rsidRPr="002560F3">
        <w:rPr>
          <w:rFonts w:ascii="Arial" w:hAnsi="Arial" w:cs="Arial"/>
          <w:bCs/>
          <w:sz w:val="24"/>
          <w:szCs w:val="24"/>
        </w:rPr>
        <w:t>[40</w:t>
      </w:r>
      <w:r w:rsidR="003E0723" w:rsidRPr="002560F3">
        <w:rPr>
          <w:rFonts w:ascii="Arial" w:hAnsi="Arial" w:cs="Arial"/>
          <w:bCs/>
          <w:sz w:val="24"/>
          <w:szCs w:val="24"/>
        </w:rPr>
        <w:t>]</w:t>
      </w:r>
      <w:r w:rsidR="004E5CD0" w:rsidRPr="002560F3">
        <w:rPr>
          <w:rFonts w:ascii="Arial" w:hAnsi="Arial" w:cs="Arial"/>
          <w:bCs/>
          <w:sz w:val="24"/>
          <w:szCs w:val="24"/>
        </w:rPr>
        <w:tab/>
      </w:r>
      <w:r w:rsidR="001C7A1F" w:rsidRPr="002560F3">
        <w:rPr>
          <w:rFonts w:ascii="Arial" w:hAnsi="Arial" w:cs="Arial"/>
          <w:bCs/>
          <w:sz w:val="24"/>
          <w:szCs w:val="24"/>
        </w:rPr>
        <w:t xml:space="preserve">This court is precluded from entertaining an appeal from the State on the </w:t>
      </w:r>
      <w:r w:rsidR="00A46A5B" w:rsidRPr="002560F3">
        <w:rPr>
          <w:rFonts w:ascii="Arial" w:hAnsi="Arial" w:cs="Arial"/>
          <w:bCs/>
          <w:sz w:val="24"/>
          <w:szCs w:val="24"/>
        </w:rPr>
        <w:t xml:space="preserve">facts. As an appellate </w:t>
      </w:r>
      <w:r w:rsidR="001C7A1F" w:rsidRPr="002560F3">
        <w:rPr>
          <w:rFonts w:ascii="Arial" w:hAnsi="Arial" w:cs="Arial"/>
          <w:bCs/>
          <w:sz w:val="24"/>
          <w:szCs w:val="24"/>
        </w:rPr>
        <w:t xml:space="preserve">court, it is not sitting in judgment on the factual circumstances of this </w:t>
      </w:r>
      <w:r w:rsidR="004E5CD0" w:rsidRPr="002560F3">
        <w:rPr>
          <w:rFonts w:ascii="Arial" w:hAnsi="Arial" w:cs="Arial"/>
          <w:bCs/>
          <w:sz w:val="24"/>
          <w:szCs w:val="24"/>
        </w:rPr>
        <w:t>case</w:t>
      </w:r>
      <w:r w:rsidR="00427A61">
        <w:rPr>
          <w:rFonts w:ascii="Arial" w:hAnsi="Arial" w:cs="Arial"/>
          <w:bCs/>
          <w:sz w:val="24"/>
          <w:szCs w:val="24"/>
        </w:rPr>
        <w:t>,</w:t>
      </w:r>
      <w:r w:rsidR="004E5CD0" w:rsidRPr="002560F3">
        <w:rPr>
          <w:rFonts w:ascii="Arial" w:hAnsi="Arial" w:cs="Arial"/>
          <w:bCs/>
          <w:sz w:val="24"/>
          <w:szCs w:val="24"/>
        </w:rPr>
        <w:t xml:space="preserve"> but</w:t>
      </w:r>
      <w:r w:rsidR="001C7A1F" w:rsidRPr="002560F3">
        <w:rPr>
          <w:rFonts w:ascii="Arial" w:hAnsi="Arial" w:cs="Arial"/>
          <w:bCs/>
          <w:sz w:val="24"/>
          <w:szCs w:val="24"/>
        </w:rPr>
        <w:t xml:space="preserve"> adjudicating on whether the questions raised by the State are questions of law. </w:t>
      </w:r>
      <w:r w:rsidR="00A46A5B" w:rsidRPr="002560F3">
        <w:rPr>
          <w:rFonts w:ascii="Arial" w:hAnsi="Arial" w:cs="Arial"/>
          <w:bCs/>
          <w:sz w:val="24"/>
          <w:szCs w:val="24"/>
        </w:rPr>
        <w:t xml:space="preserve">For all the reasons </w:t>
      </w:r>
      <w:r w:rsidR="00427A61">
        <w:rPr>
          <w:rFonts w:ascii="Arial" w:hAnsi="Arial" w:cs="Arial"/>
          <w:bCs/>
          <w:sz w:val="24"/>
          <w:szCs w:val="24"/>
        </w:rPr>
        <w:t xml:space="preserve">set out </w:t>
      </w:r>
      <w:r w:rsidR="00A46A5B" w:rsidRPr="002560F3">
        <w:rPr>
          <w:rFonts w:ascii="Arial" w:hAnsi="Arial" w:cs="Arial"/>
          <w:bCs/>
          <w:sz w:val="24"/>
          <w:szCs w:val="24"/>
        </w:rPr>
        <w:t>above, all</w:t>
      </w:r>
      <w:r w:rsidR="001C7A1F" w:rsidRPr="002560F3">
        <w:rPr>
          <w:rFonts w:ascii="Arial" w:hAnsi="Arial" w:cs="Arial"/>
          <w:sz w:val="24"/>
          <w:szCs w:val="24"/>
        </w:rPr>
        <w:t xml:space="preserve"> of the questions </w:t>
      </w:r>
      <w:r w:rsidR="00A46A5B" w:rsidRPr="002560F3">
        <w:rPr>
          <w:rFonts w:ascii="Arial" w:hAnsi="Arial" w:cs="Arial"/>
          <w:sz w:val="24"/>
          <w:szCs w:val="24"/>
        </w:rPr>
        <w:t xml:space="preserve">raised by the State are </w:t>
      </w:r>
      <w:r w:rsidR="001C7A1F" w:rsidRPr="002560F3">
        <w:rPr>
          <w:rFonts w:ascii="Arial" w:hAnsi="Arial" w:cs="Arial"/>
          <w:sz w:val="24"/>
          <w:szCs w:val="24"/>
        </w:rPr>
        <w:t>questions of facts and not of law</w:t>
      </w:r>
      <w:r w:rsidR="001C7A1F" w:rsidRPr="002560F3">
        <w:rPr>
          <w:rFonts w:ascii="Arial" w:hAnsi="Arial" w:cs="Arial"/>
          <w:bCs/>
        </w:rPr>
        <w:t>.</w:t>
      </w:r>
      <w:r w:rsidR="001C7A1F" w:rsidRPr="002560F3">
        <w:rPr>
          <w:rFonts w:ascii="Arial" w:hAnsi="Arial" w:cs="Arial"/>
          <w:sz w:val="24"/>
          <w:szCs w:val="24"/>
        </w:rPr>
        <w:t xml:space="preserve"> </w:t>
      </w:r>
      <w:r w:rsidR="003E0723" w:rsidRPr="002560F3">
        <w:rPr>
          <w:rFonts w:ascii="Arial" w:hAnsi="Arial" w:cs="Arial"/>
          <w:sz w:val="24"/>
          <w:szCs w:val="24"/>
        </w:rPr>
        <w:t>In view of all the aforegoing</w:t>
      </w:r>
      <w:r w:rsidR="00D64DA8">
        <w:rPr>
          <w:rFonts w:ascii="Arial" w:hAnsi="Arial" w:cs="Arial"/>
          <w:sz w:val="24"/>
          <w:szCs w:val="24"/>
        </w:rPr>
        <w:t>,</w:t>
      </w:r>
      <w:r w:rsidR="003E0723" w:rsidRPr="002560F3">
        <w:rPr>
          <w:rFonts w:ascii="Arial" w:hAnsi="Arial" w:cs="Arial"/>
          <w:sz w:val="24"/>
          <w:szCs w:val="24"/>
        </w:rPr>
        <w:t xml:space="preserve"> the State’s application in terms of s 319 </w:t>
      </w:r>
      <w:r w:rsidR="00F837EB">
        <w:rPr>
          <w:rFonts w:ascii="Arial" w:hAnsi="Arial" w:cs="Arial"/>
          <w:sz w:val="24"/>
          <w:szCs w:val="24"/>
        </w:rPr>
        <w:t xml:space="preserve">of the CPA </w:t>
      </w:r>
      <w:r w:rsidR="003E0723" w:rsidRPr="002560F3">
        <w:rPr>
          <w:rFonts w:ascii="Arial" w:hAnsi="Arial" w:cs="Arial"/>
          <w:sz w:val="24"/>
          <w:szCs w:val="24"/>
        </w:rPr>
        <w:t>falls short of what is required</w:t>
      </w:r>
      <w:r w:rsidR="00D64DA8">
        <w:rPr>
          <w:rFonts w:ascii="Arial" w:hAnsi="Arial" w:cs="Arial"/>
          <w:sz w:val="24"/>
          <w:szCs w:val="24"/>
        </w:rPr>
        <w:t>,</w:t>
      </w:r>
      <w:r w:rsidR="003E0723" w:rsidRPr="002560F3">
        <w:rPr>
          <w:rFonts w:ascii="Arial" w:hAnsi="Arial" w:cs="Arial"/>
          <w:sz w:val="24"/>
          <w:szCs w:val="24"/>
        </w:rPr>
        <w:t xml:space="preserve"> and </w:t>
      </w:r>
      <w:r w:rsidR="00D64DA8">
        <w:rPr>
          <w:rFonts w:ascii="Arial" w:hAnsi="Arial" w:cs="Arial"/>
          <w:sz w:val="24"/>
          <w:szCs w:val="24"/>
        </w:rPr>
        <w:t xml:space="preserve">therefore </w:t>
      </w:r>
      <w:r w:rsidR="00F837EB">
        <w:rPr>
          <w:rFonts w:ascii="Arial" w:hAnsi="Arial" w:cs="Arial"/>
          <w:sz w:val="24"/>
          <w:szCs w:val="24"/>
        </w:rPr>
        <w:t>must be</w:t>
      </w:r>
      <w:r w:rsidR="003E0723" w:rsidRPr="002560F3">
        <w:rPr>
          <w:rFonts w:ascii="Arial" w:hAnsi="Arial" w:cs="Arial"/>
          <w:sz w:val="24"/>
          <w:szCs w:val="24"/>
        </w:rPr>
        <w:t xml:space="preserve"> dismissed. </w:t>
      </w:r>
    </w:p>
    <w:p w14:paraId="6F87B0F9" w14:textId="77777777" w:rsidR="00FB7B5D" w:rsidRPr="002560F3" w:rsidRDefault="00FB7B5D" w:rsidP="00B0446D">
      <w:pPr>
        <w:spacing w:after="0" w:line="360" w:lineRule="auto"/>
        <w:contextualSpacing/>
        <w:jc w:val="both"/>
        <w:rPr>
          <w:rFonts w:ascii="Arial" w:hAnsi="Arial" w:cs="Arial"/>
          <w:sz w:val="24"/>
          <w:szCs w:val="24"/>
        </w:rPr>
      </w:pPr>
    </w:p>
    <w:p w14:paraId="4B6A8A88" w14:textId="22F21D1C" w:rsidR="00903A82" w:rsidRDefault="00043CEB" w:rsidP="00B0446D">
      <w:pPr>
        <w:spacing w:after="0" w:line="360" w:lineRule="auto"/>
        <w:contextualSpacing/>
        <w:jc w:val="both"/>
        <w:rPr>
          <w:rFonts w:ascii="Arial" w:hAnsi="Arial" w:cs="Arial"/>
          <w:sz w:val="24"/>
          <w:szCs w:val="24"/>
        </w:rPr>
      </w:pPr>
      <w:r w:rsidRPr="002560F3">
        <w:rPr>
          <w:rFonts w:ascii="Arial" w:hAnsi="Arial" w:cs="Arial"/>
          <w:sz w:val="24"/>
          <w:szCs w:val="24"/>
        </w:rPr>
        <w:t>[41</w:t>
      </w:r>
      <w:r w:rsidR="00E012B8" w:rsidRPr="002560F3">
        <w:rPr>
          <w:rFonts w:ascii="Arial" w:hAnsi="Arial" w:cs="Arial"/>
          <w:sz w:val="24"/>
          <w:szCs w:val="24"/>
        </w:rPr>
        <w:t>]</w:t>
      </w:r>
      <w:r w:rsidR="00474D18" w:rsidRPr="002560F3">
        <w:rPr>
          <w:rFonts w:ascii="Arial" w:hAnsi="Arial" w:cs="Arial"/>
          <w:sz w:val="24"/>
          <w:szCs w:val="24"/>
        </w:rPr>
        <w:tab/>
      </w:r>
      <w:r w:rsidR="003E0723" w:rsidRPr="002560F3">
        <w:rPr>
          <w:rFonts w:ascii="Arial" w:hAnsi="Arial" w:cs="Arial"/>
          <w:sz w:val="24"/>
          <w:szCs w:val="24"/>
        </w:rPr>
        <w:t>What must be borne in mind is that a</w:t>
      </w:r>
      <w:r w:rsidR="00027395" w:rsidRPr="002560F3">
        <w:rPr>
          <w:rFonts w:ascii="Arial" w:hAnsi="Arial" w:cs="Arial"/>
          <w:sz w:val="24"/>
          <w:szCs w:val="24"/>
        </w:rPr>
        <w:t xml:space="preserve">n innocent </w:t>
      </w:r>
      <w:r w:rsidR="00474D18" w:rsidRPr="002560F3">
        <w:rPr>
          <w:rFonts w:ascii="Arial" w:hAnsi="Arial" w:cs="Arial"/>
          <w:sz w:val="24"/>
          <w:szCs w:val="24"/>
        </w:rPr>
        <w:t>woman lost</w:t>
      </w:r>
      <w:r w:rsidR="005F6029" w:rsidRPr="002560F3">
        <w:rPr>
          <w:rFonts w:ascii="Arial" w:hAnsi="Arial" w:cs="Arial"/>
          <w:sz w:val="24"/>
          <w:szCs w:val="24"/>
        </w:rPr>
        <w:t xml:space="preserve"> her life in very tragic </w:t>
      </w:r>
      <w:r w:rsidR="00027395" w:rsidRPr="002560F3">
        <w:rPr>
          <w:rFonts w:ascii="Arial" w:hAnsi="Arial" w:cs="Arial"/>
          <w:sz w:val="24"/>
          <w:szCs w:val="24"/>
        </w:rPr>
        <w:t xml:space="preserve">and violent </w:t>
      </w:r>
      <w:r w:rsidR="005F6029" w:rsidRPr="002560F3">
        <w:rPr>
          <w:rFonts w:ascii="Arial" w:hAnsi="Arial" w:cs="Arial"/>
          <w:sz w:val="24"/>
          <w:szCs w:val="24"/>
        </w:rPr>
        <w:t xml:space="preserve">circumstances. </w:t>
      </w:r>
      <w:r w:rsidR="00027395" w:rsidRPr="002560F3">
        <w:rPr>
          <w:rFonts w:ascii="Arial" w:hAnsi="Arial" w:cs="Arial"/>
          <w:sz w:val="24"/>
          <w:szCs w:val="24"/>
        </w:rPr>
        <w:t>Her mu</w:t>
      </w:r>
      <w:r w:rsidR="009A36FA" w:rsidRPr="002560F3">
        <w:rPr>
          <w:rFonts w:ascii="Arial" w:hAnsi="Arial" w:cs="Arial"/>
          <w:sz w:val="24"/>
          <w:szCs w:val="24"/>
        </w:rPr>
        <w:t>r</w:t>
      </w:r>
      <w:r w:rsidR="00027395" w:rsidRPr="002560F3">
        <w:rPr>
          <w:rFonts w:ascii="Arial" w:hAnsi="Arial" w:cs="Arial"/>
          <w:sz w:val="24"/>
          <w:szCs w:val="24"/>
        </w:rPr>
        <w:t>der was carried out with complete disregard for human life. It was a callous and</w:t>
      </w:r>
      <w:r w:rsidR="009A36FA" w:rsidRPr="002560F3">
        <w:rPr>
          <w:rFonts w:ascii="Arial" w:hAnsi="Arial" w:cs="Arial"/>
          <w:sz w:val="24"/>
          <w:szCs w:val="24"/>
        </w:rPr>
        <w:t xml:space="preserve"> </w:t>
      </w:r>
      <w:r w:rsidR="00027395" w:rsidRPr="002560F3">
        <w:rPr>
          <w:rFonts w:ascii="Arial" w:hAnsi="Arial" w:cs="Arial"/>
          <w:sz w:val="24"/>
          <w:szCs w:val="24"/>
        </w:rPr>
        <w:t xml:space="preserve">senseless </w:t>
      </w:r>
      <w:r w:rsidR="00D42FD6" w:rsidRPr="002560F3">
        <w:rPr>
          <w:rFonts w:ascii="Arial" w:hAnsi="Arial" w:cs="Arial"/>
          <w:sz w:val="24"/>
          <w:szCs w:val="24"/>
        </w:rPr>
        <w:t>killing</w:t>
      </w:r>
      <w:r w:rsidR="00D42FD6">
        <w:rPr>
          <w:rFonts w:ascii="Arial" w:hAnsi="Arial" w:cs="Arial"/>
          <w:sz w:val="24"/>
          <w:szCs w:val="24"/>
        </w:rPr>
        <w:t>.</w:t>
      </w:r>
      <w:r w:rsidR="00D42FD6" w:rsidRPr="002560F3">
        <w:rPr>
          <w:rFonts w:ascii="Arial" w:hAnsi="Arial" w:cs="Arial"/>
          <w:sz w:val="24"/>
          <w:szCs w:val="24"/>
        </w:rPr>
        <w:t xml:space="preserve"> The</w:t>
      </w:r>
      <w:r w:rsidR="00422F6B" w:rsidRPr="002560F3">
        <w:rPr>
          <w:rFonts w:ascii="Arial" w:hAnsi="Arial" w:cs="Arial"/>
          <w:sz w:val="24"/>
          <w:szCs w:val="24"/>
        </w:rPr>
        <w:t xml:space="preserve"> </w:t>
      </w:r>
      <w:r w:rsidR="006D6B4D" w:rsidRPr="002560F3">
        <w:rPr>
          <w:rFonts w:ascii="Arial" w:hAnsi="Arial" w:cs="Arial"/>
          <w:sz w:val="24"/>
          <w:szCs w:val="24"/>
        </w:rPr>
        <w:t>S</w:t>
      </w:r>
      <w:r w:rsidR="00422F6B" w:rsidRPr="002560F3">
        <w:rPr>
          <w:rFonts w:ascii="Arial" w:hAnsi="Arial" w:cs="Arial"/>
          <w:sz w:val="24"/>
          <w:szCs w:val="24"/>
        </w:rPr>
        <w:t>tate did not bring a frivo</w:t>
      </w:r>
      <w:r w:rsidR="00C75885" w:rsidRPr="002560F3">
        <w:rPr>
          <w:rFonts w:ascii="Arial" w:hAnsi="Arial" w:cs="Arial"/>
          <w:sz w:val="24"/>
          <w:szCs w:val="24"/>
        </w:rPr>
        <w:t>lous or vexatious application.</w:t>
      </w:r>
      <w:r w:rsidR="00D64DA8">
        <w:rPr>
          <w:rFonts w:ascii="Arial" w:hAnsi="Arial" w:cs="Arial"/>
          <w:sz w:val="24"/>
          <w:szCs w:val="24"/>
        </w:rPr>
        <w:t xml:space="preserve"> Therefore,</w:t>
      </w:r>
      <w:r w:rsidR="00C75885" w:rsidRPr="002560F3">
        <w:rPr>
          <w:rFonts w:ascii="Arial" w:hAnsi="Arial" w:cs="Arial"/>
          <w:sz w:val="24"/>
          <w:szCs w:val="24"/>
        </w:rPr>
        <w:t xml:space="preserve"> </w:t>
      </w:r>
      <w:r w:rsidR="00D64DA8">
        <w:rPr>
          <w:rFonts w:ascii="Arial" w:hAnsi="Arial" w:cs="Arial"/>
          <w:sz w:val="24"/>
          <w:szCs w:val="24"/>
        </w:rPr>
        <w:t>i</w:t>
      </w:r>
      <w:r w:rsidR="009C6BD3" w:rsidRPr="002560F3">
        <w:rPr>
          <w:rFonts w:ascii="Arial" w:hAnsi="Arial" w:cs="Arial"/>
          <w:sz w:val="24"/>
          <w:szCs w:val="24"/>
        </w:rPr>
        <w:t>n the circumstances, t</w:t>
      </w:r>
      <w:r w:rsidR="00B47A76" w:rsidRPr="002560F3">
        <w:rPr>
          <w:rFonts w:ascii="Arial" w:hAnsi="Arial" w:cs="Arial"/>
          <w:sz w:val="24"/>
          <w:szCs w:val="24"/>
        </w:rPr>
        <w:t xml:space="preserve">here appears to be no good reason to mulct it with costs. </w:t>
      </w:r>
    </w:p>
    <w:p w14:paraId="3A017AA4" w14:textId="77777777" w:rsidR="00FB7B5D" w:rsidRPr="002560F3" w:rsidRDefault="00FB7B5D" w:rsidP="00FB7B5D">
      <w:pPr>
        <w:spacing w:after="0" w:line="360" w:lineRule="auto"/>
        <w:jc w:val="both"/>
        <w:rPr>
          <w:rFonts w:ascii="Arial" w:hAnsi="Arial" w:cs="Arial"/>
          <w:sz w:val="24"/>
          <w:szCs w:val="24"/>
        </w:rPr>
      </w:pPr>
    </w:p>
    <w:p w14:paraId="3AD77B86" w14:textId="7688BA41" w:rsidR="00197728" w:rsidRDefault="00E012B8" w:rsidP="00EC1099">
      <w:pPr>
        <w:spacing w:line="360" w:lineRule="auto"/>
        <w:contextualSpacing/>
        <w:jc w:val="both"/>
        <w:rPr>
          <w:rFonts w:ascii="Arial" w:hAnsi="Arial" w:cs="Arial"/>
          <w:sz w:val="24"/>
          <w:szCs w:val="24"/>
        </w:rPr>
      </w:pPr>
      <w:r w:rsidRPr="002560F3">
        <w:rPr>
          <w:rFonts w:ascii="Arial" w:hAnsi="Arial" w:cs="Arial"/>
          <w:sz w:val="24"/>
          <w:szCs w:val="24"/>
        </w:rPr>
        <w:t>[</w:t>
      </w:r>
      <w:r w:rsidR="00043CEB" w:rsidRPr="002560F3">
        <w:rPr>
          <w:rFonts w:ascii="Arial" w:hAnsi="Arial" w:cs="Arial"/>
          <w:sz w:val="24"/>
          <w:szCs w:val="24"/>
        </w:rPr>
        <w:t>42</w:t>
      </w:r>
      <w:r w:rsidRPr="002560F3">
        <w:rPr>
          <w:rFonts w:ascii="Arial" w:hAnsi="Arial" w:cs="Arial"/>
          <w:sz w:val="24"/>
          <w:szCs w:val="24"/>
        </w:rPr>
        <w:t>]</w:t>
      </w:r>
      <w:r w:rsidR="00697612" w:rsidRPr="002560F3">
        <w:rPr>
          <w:rFonts w:ascii="Arial" w:hAnsi="Arial" w:cs="Arial"/>
          <w:sz w:val="24"/>
          <w:szCs w:val="24"/>
        </w:rPr>
        <w:tab/>
      </w:r>
      <w:r w:rsidR="005F6029" w:rsidRPr="002560F3">
        <w:rPr>
          <w:rFonts w:ascii="Arial" w:hAnsi="Arial" w:cs="Arial"/>
          <w:sz w:val="24"/>
          <w:szCs w:val="24"/>
        </w:rPr>
        <w:t>In the result</w:t>
      </w:r>
      <w:r w:rsidR="00D64DA8">
        <w:rPr>
          <w:rFonts w:ascii="Arial" w:hAnsi="Arial" w:cs="Arial"/>
          <w:sz w:val="24"/>
          <w:szCs w:val="24"/>
        </w:rPr>
        <w:t>,</w:t>
      </w:r>
      <w:r w:rsidR="00EC1099">
        <w:rPr>
          <w:rFonts w:ascii="Arial" w:hAnsi="Arial" w:cs="Arial"/>
          <w:sz w:val="24"/>
          <w:szCs w:val="24"/>
        </w:rPr>
        <w:t xml:space="preserve"> I would dismiss the application for leave to appeal.</w:t>
      </w:r>
      <w:r w:rsidR="00851582" w:rsidRPr="002560F3">
        <w:rPr>
          <w:rFonts w:ascii="Arial" w:hAnsi="Arial" w:cs="Arial"/>
          <w:sz w:val="24"/>
          <w:szCs w:val="24"/>
        </w:rPr>
        <w:t xml:space="preserve"> </w:t>
      </w:r>
    </w:p>
    <w:p w14:paraId="62757DFC" w14:textId="77777777" w:rsidR="00CA4456" w:rsidRDefault="00CA4456" w:rsidP="003F15DE">
      <w:pPr>
        <w:spacing w:after="0" w:line="360" w:lineRule="auto"/>
        <w:contextualSpacing/>
        <w:jc w:val="both"/>
        <w:rPr>
          <w:rFonts w:ascii="Arial" w:hAnsi="Arial" w:cs="Arial"/>
          <w:sz w:val="24"/>
          <w:szCs w:val="24"/>
        </w:rPr>
      </w:pPr>
    </w:p>
    <w:p w14:paraId="506F1DC3" w14:textId="70F916E9" w:rsidR="00CA4456" w:rsidRDefault="00CA4456" w:rsidP="003F15DE">
      <w:pPr>
        <w:spacing w:after="0" w:line="360" w:lineRule="auto"/>
        <w:contextualSpacing/>
        <w:jc w:val="both"/>
        <w:rPr>
          <w:rFonts w:ascii="Arial" w:hAnsi="Arial" w:cs="Arial"/>
          <w:sz w:val="24"/>
          <w:szCs w:val="24"/>
        </w:rPr>
      </w:pPr>
    </w:p>
    <w:p w14:paraId="77AA90C7" w14:textId="54F223AE" w:rsidR="006750B5" w:rsidRPr="002560F3" w:rsidRDefault="00F71645" w:rsidP="00FA4493">
      <w:pPr>
        <w:autoSpaceDE w:val="0"/>
        <w:autoSpaceDN w:val="0"/>
        <w:adjustRightInd w:val="0"/>
        <w:spacing w:after="0" w:line="360" w:lineRule="auto"/>
        <w:jc w:val="right"/>
        <w:rPr>
          <w:rFonts w:ascii="Arial" w:hAnsi="Arial" w:cs="Arial"/>
          <w:b/>
          <w:sz w:val="24"/>
          <w:szCs w:val="24"/>
        </w:rPr>
      </w:pPr>
      <w:r w:rsidRPr="002560F3">
        <w:rPr>
          <w:rFonts w:ascii="Arial" w:hAnsi="Arial" w:cs="Arial"/>
          <w:sz w:val="24"/>
          <w:szCs w:val="24"/>
        </w:rPr>
        <w:t xml:space="preserve">                                                                      </w:t>
      </w:r>
      <w:r w:rsidR="00697612" w:rsidRPr="002560F3">
        <w:rPr>
          <w:rFonts w:ascii="Arial" w:hAnsi="Arial" w:cs="Arial"/>
          <w:sz w:val="24"/>
          <w:szCs w:val="24"/>
        </w:rPr>
        <w:tab/>
      </w:r>
      <w:r w:rsidR="00697612" w:rsidRPr="002560F3">
        <w:rPr>
          <w:rFonts w:ascii="Arial" w:hAnsi="Arial" w:cs="Arial"/>
          <w:sz w:val="24"/>
          <w:szCs w:val="24"/>
        </w:rPr>
        <w:tab/>
      </w:r>
      <w:r w:rsidR="00CA4456">
        <w:rPr>
          <w:rFonts w:ascii="Arial" w:hAnsi="Arial" w:cs="Arial"/>
          <w:sz w:val="24"/>
          <w:szCs w:val="24"/>
        </w:rPr>
        <w:t xml:space="preserve">  </w:t>
      </w:r>
      <w:r w:rsidR="000911F0">
        <w:rPr>
          <w:rFonts w:ascii="Arial" w:hAnsi="Arial" w:cs="Arial"/>
          <w:sz w:val="24"/>
          <w:szCs w:val="24"/>
        </w:rPr>
        <w:t xml:space="preserve"> </w:t>
      </w:r>
      <w:r w:rsidR="00FA4493">
        <w:rPr>
          <w:rFonts w:ascii="Arial" w:hAnsi="Arial" w:cs="Arial"/>
          <w:sz w:val="24"/>
          <w:szCs w:val="24"/>
        </w:rPr>
        <w:t>________________</w:t>
      </w:r>
      <w:r w:rsidRPr="002560F3">
        <w:rPr>
          <w:rFonts w:ascii="Arial" w:hAnsi="Arial" w:cs="Arial"/>
          <w:sz w:val="24"/>
          <w:szCs w:val="24"/>
        </w:rPr>
        <w:t xml:space="preserve">            </w:t>
      </w:r>
      <w:r w:rsidRPr="002560F3">
        <w:rPr>
          <w:rFonts w:ascii="Arial" w:hAnsi="Arial" w:cs="Arial"/>
          <w:b/>
          <w:sz w:val="24"/>
          <w:szCs w:val="24"/>
        </w:rPr>
        <w:t xml:space="preserve">                                                                    </w:t>
      </w:r>
    </w:p>
    <w:p w14:paraId="65811EF9" w14:textId="5EA8DDD6" w:rsidR="006A466A" w:rsidRPr="002560F3" w:rsidRDefault="00F71645" w:rsidP="00FA4493">
      <w:pPr>
        <w:spacing w:after="0" w:line="360" w:lineRule="auto"/>
        <w:jc w:val="right"/>
        <w:outlineLvl w:val="0"/>
        <w:rPr>
          <w:rFonts w:ascii="Arial" w:eastAsiaTheme="minorEastAsia" w:hAnsi="Arial" w:cs="Arial"/>
          <w:sz w:val="24"/>
          <w:szCs w:val="24"/>
          <w:lang w:val="en-US"/>
        </w:rPr>
      </w:pPr>
      <w:r w:rsidRPr="002560F3">
        <w:rPr>
          <w:rFonts w:ascii="Arial" w:eastAsiaTheme="minorEastAsia" w:hAnsi="Arial" w:cs="Arial"/>
          <w:sz w:val="24"/>
          <w:szCs w:val="24"/>
          <w:lang w:val="en-US"/>
        </w:rPr>
        <w:t xml:space="preserve">                                                                      </w:t>
      </w:r>
      <w:r w:rsidR="00697612" w:rsidRPr="002560F3">
        <w:rPr>
          <w:rFonts w:ascii="Arial" w:eastAsiaTheme="minorEastAsia" w:hAnsi="Arial" w:cs="Arial"/>
          <w:sz w:val="24"/>
          <w:szCs w:val="24"/>
          <w:lang w:val="en-US"/>
        </w:rPr>
        <w:tab/>
      </w:r>
      <w:r w:rsidR="00697612" w:rsidRPr="002560F3">
        <w:rPr>
          <w:rFonts w:ascii="Arial" w:eastAsiaTheme="minorEastAsia" w:hAnsi="Arial" w:cs="Arial"/>
          <w:sz w:val="24"/>
          <w:szCs w:val="24"/>
          <w:lang w:val="en-US"/>
        </w:rPr>
        <w:tab/>
      </w:r>
      <w:r w:rsidR="00697612" w:rsidRPr="002560F3">
        <w:rPr>
          <w:rFonts w:ascii="Arial" w:eastAsiaTheme="minorEastAsia" w:hAnsi="Arial" w:cs="Arial"/>
          <w:sz w:val="24"/>
          <w:szCs w:val="24"/>
          <w:lang w:val="en-US"/>
        </w:rPr>
        <w:tab/>
        <w:t xml:space="preserve">         </w:t>
      </w:r>
      <w:r w:rsidRPr="002560F3">
        <w:rPr>
          <w:rFonts w:ascii="Arial" w:eastAsiaTheme="minorEastAsia" w:hAnsi="Arial" w:cs="Arial"/>
          <w:sz w:val="24"/>
          <w:szCs w:val="24"/>
          <w:lang w:val="en-US"/>
        </w:rPr>
        <w:t xml:space="preserve"> </w:t>
      </w:r>
      <w:r w:rsidR="00030C9D">
        <w:rPr>
          <w:rFonts w:ascii="Arial" w:eastAsiaTheme="minorEastAsia" w:hAnsi="Arial" w:cs="Arial"/>
          <w:sz w:val="24"/>
          <w:szCs w:val="24"/>
          <w:lang w:val="en-US"/>
        </w:rPr>
        <w:t xml:space="preserve">H </w:t>
      </w:r>
      <w:r w:rsidRPr="002560F3">
        <w:rPr>
          <w:rFonts w:ascii="Arial" w:eastAsiaTheme="minorEastAsia" w:hAnsi="Arial" w:cs="Arial"/>
          <w:sz w:val="24"/>
          <w:szCs w:val="24"/>
          <w:lang w:val="en-US"/>
        </w:rPr>
        <w:t>SALDULKER</w:t>
      </w:r>
      <w:r w:rsidR="00624502" w:rsidRPr="002560F3">
        <w:rPr>
          <w:rFonts w:ascii="Arial" w:eastAsiaTheme="minorEastAsia" w:hAnsi="Arial" w:cs="Arial"/>
          <w:sz w:val="24"/>
          <w:szCs w:val="24"/>
          <w:lang w:val="en-US"/>
        </w:rPr>
        <w:t xml:space="preserve"> </w:t>
      </w:r>
    </w:p>
    <w:p w14:paraId="580DA3DB" w14:textId="3D538C78" w:rsidR="003D5202" w:rsidRDefault="00F71645" w:rsidP="00FA4493">
      <w:pPr>
        <w:spacing w:after="0" w:line="360" w:lineRule="auto"/>
        <w:jc w:val="right"/>
        <w:outlineLvl w:val="0"/>
        <w:rPr>
          <w:rFonts w:ascii="Arial" w:eastAsiaTheme="minorEastAsia" w:hAnsi="Arial" w:cs="Arial"/>
          <w:sz w:val="24"/>
          <w:szCs w:val="24"/>
          <w:lang w:val="en-US"/>
        </w:rPr>
      </w:pPr>
      <w:r w:rsidRPr="002560F3">
        <w:rPr>
          <w:rFonts w:ascii="Arial" w:eastAsiaTheme="minorEastAsia" w:hAnsi="Arial" w:cs="Arial"/>
          <w:sz w:val="24"/>
          <w:szCs w:val="24"/>
          <w:lang w:val="en-US"/>
        </w:rPr>
        <w:t xml:space="preserve">                                                                       </w:t>
      </w:r>
      <w:r w:rsidR="00697612" w:rsidRPr="002560F3">
        <w:rPr>
          <w:rFonts w:ascii="Arial" w:eastAsiaTheme="minorEastAsia" w:hAnsi="Arial" w:cs="Arial"/>
          <w:sz w:val="24"/>
          <w:szCs w:val="24"/>
          <w:lang w:val="en-US"/>
        </w:rPr>
        <w:t xml:space="preserve">                               </w:t>
      </w:r>
      <w:r w:rsidRPr="002560F3">
        <w:rPr>
          <w:rFonts w:ascii="Arial" w:eastAsiaTheme="minorEastAsia" w:hAnsi="Arial" w:cs="Arial"/>
          <w:sz w:val="24"/>
          <w:szCs w:val="24"/>
          <w:lang w:val="en-US"/>
        </w:rPr>
        <w:t>JUDGE OF APPEAL</w:t>
      </w:r>
    </w:p>
    <w:p w14:paraId="0D65B57F" w14:textId="77777777" w:rsidR="00CA4456" w:rsidRDefault="00CA4456" w:rsidP="00B0446D">
      <w:pPr>
        <w:spacing w:after="0" w:line="360" w:lineRule="auto"/>
        <w:jc w:val="right"/>
        <w:outlineLvl w:val="0"/>
        <w:rPr>
          <w:rFonts w:ascii="Arial" w:eastAsiaTheme="minorEastAsia" w:hAnsi="Arial" w:cs="Arial"/>
          <w:sz w:val="24"/>
          <w:szCs w:val="24"/>
          <w:lang w:val="en-US"/>
        </w:rPr>
      </w:pPr>
    </w:p>
    <w:p w14:paraId="6BDD7A44" w14:textId="77777777" w:rsidR="00114305" w:rsidRDefault="00114305" w:rsidP="00B0446D">
      <w:pPr>
        <w:spacing w:after="0" w:line="360" w:lineRule="auto"/>
        <w:contextualSpacing/>
        <w:rPr>
          <w:rFonts w:ascii="Arial" w:hAnsi="Arial" w:cs="Arial"/>
          <w:b/>
          <w:sz w:val="24"/>
          <w:szCs w:val="24"/>
        </w:rPr>
      </w:pPr>
    </w:p>
    <w:p w14:paraId="18D06836" w14:textId="77777777" w:rsidR="00114305" w:rsidRDefault="00114305" w:rsidP="00B0446D">
      <w:pPr>
        <w:spacing w:after="0" w:line="360" w:lineRule="auto"/>
        <w:contextualSpacing/>
        <w:rPr>
          <w:rFonts w:ascii="Arial" w:hAnsi="Arial" w:cs="Arial"/>
          <w:b/>
          <w:sz w:val="24"/>
          <w:szCs w:val="24"/>
        </w:rPr>
      </w:pPr>
    </w:p>
    <w:p w14:paraId="1D1B03F1" w14:textId="2AA86250" w:rsidR="00CA4456" w:rsidRDefault="00CA4456" w:rsidP="00B0446D">
      <w:pPr>
        <w:spacing w:after="0" w:line="360" w:lineRule="auto"/>
        <w:contextualSpacing/>
        <w:rPr>
          <w:rFonts w:ascii="Arial" w:hAnsi="Arial" w:cs="Arial"/>
          <w:sz w:val="24"/>
          <w:szCs w:val="24"/>
        </w:rPr>
      </w:pPr>
      <w:r w:rsidRPr="00AF06FA">
        <w:rPr>
          <w:rFonts w:ascii="Arial" w:hAnsi="Arial" w:cs="Arial"/>
          <w:b/>
          <w:sz w:val="24"/>
          <w:szCs w:val="24"/>
        </w:rPr>
        <w:t>Mabindla-Boqwana AJA</w:t>
      </w:r>
      <w:r>
        <w:rPr>
          <w:rFonts w:ascii="Arial" w:hAnsi="Arial" w:cs="Arial"/>
          <w:b/>
          <w:sz w:val="24"/>
          <w:szCs w:val="24"/>
        </w:rPr>
        <w:t xml:space="preserve"> (Mbha JA and Ledwaba AJA concurring)</w:t>
      </w:r>
      <w:r w:rsidRPr="00AF06FA">
        <w:rPr>
          <w:rFonts w:ascii="Arial" w:hAnsi="Arial" w:cs="Arial"/>
          <w:sz w:val="24"/>
          <w:szCs w:val="24"/>
        </w:rPr>
        <w:t xml:space="preserve"> </w:t>
      </w:r>
    </w:p>
    <w:p w14:paraId="2E808244" w14:textId="77777777" w:rsidR="00D11E32" w:rsidRPr="00AF06FA" w:rsidRDefault="00D11E32" w:rsidP="00B0446D">
      <w:pPr>
        <w:spacing w:after="0" w:line="360" w:lineRule="auto"/>
        <w:contextualSpacing/>
        <w:rPr>
          <w:rFonts w:ascii="Arial" w:hAnsi="Arial" w:cs="Arial"/>
          <w:sz w:val="24"/>
          <w:szCs w:val="24"/>
        </w:rPr>
      </w:pPr>
    </w:p>
    <w:p w14:paraId="3072F597" w14:textId="20BF6E06" w:rsidR="00CA4456" w:rsidRPr="00AF06FA" w:rsidRDefault="00CA4456" w:rsidP="00B0446D">
      <w:pPr>
        <w:tabs>
          <w:tab w:val="left" w:pos="0"/>
        </w:tabs>
        <w:spacing w:after="0" w:line="360" w:lineRule="auto"/>
        <w:contextualSpacing/>
        <w:jc w:val="both"/>
        <w:rPr>
          <w:rFonts w:ascii="Arial" w:hAnsi="Arial" w:cs="Arial"/>
          <w:sz w:val="24"/>
          <w:szCs w:val="24"/>
        </w:rPr>
      </w:pPr>
      <w:r>
        <w:rPr>
          <w:rFonts w:ascii="Arial" w:hAnsi="Arial" w:cs="Arial"/>
          <w:sz w:val="24"/>
          <w:szCs w:val="24"/>
        </w:rPr>
        <w:t>[</w:t>
      </w:r>
      <w:r w:rsidR="00ED4378">
        <w:rPr>
          <w:rFonts w:ascii="Arial" w:hAnsi="Arial" w:cs="Arial"/>
          <w:sz w:val="24"/>
          <w:szCs w:val="24"/>
        </w:rPr>
        <w:t>43</w:t>
      </w:r>
      <w:r>
        <w:rPr>
          <w:rFonts w:ascii="Arial" w:hAnsi="Arial" w:cs="Arial"/>
          <w:sz w:val="24"/>
          <w:szCs w:val="24"/>
        </w:rPr>
        <w:t>]</w:t>
      </w:r>
      <w:r>
        <w:rPr>
          <w:rFonts w:ascii="Arial" w:hAnsi="Arial" w:cs="Arial"/>
          <w:sz w:val="24"/>
          <w:szCs w:val="24"/>
        </w:rPr>
        <w:tab/>
      </w:r>
      <w:r w:rsidRPr="00AF06FA">
        <w:rPr>
          <w:rFonts w:ascii="Arial" w:hAnsi="Arial" w:cs="Arial"/>
          <w:sz w:val="24"/>
          <w:szCs w:val="24"/>
        </w:rPr>
        <w:t>I have read the judgment prepared by my colleague, Saldulker JA. W</w:t>
      </w:r>
      <w:r w:rsidRPr="00AF06FA">
        <w:rPr>
          <w:rFonts w:ascii="Arial" w:hAnsi="Arial" w:cs="Arial"/>
          <w:color w:val="242121"/>
          <w:sz w:val="24"/>
          <w:szCs w:val="24"/>
        </w:rPr>
        <w:t>hile I agree with my colleague that the application for leave to appeal should fail, in my view, such failure should not be on the grounds of non-compliance with s 319(1)</w:t>
      </w:r>
      <w:r w:rsidR="00FC1D51">
        <w:rPr>
          <w:rFonts w:ascii="Arial" w:hAnsi="Arial" w:cs="Arial"/>
          <w:color w:val="242121"/>
          <w:sz w:val="24"/>
          <w:szCs w:val="24"/>
        </w:rPr>
        <w:t>,</w:t>
      </w:r>
      <w:r w:rsidRPr="00AF06FA">
        <w:rPr>
          <w:rFonts w:ascii="Arial" w:hAnsi="Arial" w:cs="Arial"/>
          <w:color w:val="242121"/>
          <w:sz w:val="24"/>
          <w:szCs w:val="24"/>
        </w:rPr>
        <w:t xml:space="preserve"> but on the basis of the merits of the application.  </w:t>
      </w:r>
    </w:p>
    <w:p w14:paraId="45446ECF" w14:textId="77777777" w:rsidR="00CA4456" w:rsidRPr="00AF06FA" w:rsidRDefault="00CA4456" w:rsidP="00CA4456">
      <w:pPr>
        <w:tabs>
          <w:tab w:val="left" w:pos="0"/>
        </w:tabs>
        <w:spacing w:after="0" w:line="360" w:lineRule="auto"/>
        <w:jc w:val="both"/>
        <w:rPr>
          <w:rFonts w:ascii="Arial" w:hAnsi="Arial" w:cs="Arial"/>
          <w:sz w:val="24"/>
          <w:szCs w:val="24"/>
        </w:rPr>
      </w:pPr>
    </w:p>
    <w:p w14:paraId="6D5BC394" w14:textId="769A8B7A" w:rsidR="00CA4456" w:rsidRPr="00CA4456" w:rsidRDefault="00CA4456" w:rsidP="00CA4456">
      <w:pPr>
        <w:tabs>
          <w:tab w:val="left" w:pos="0"/>
        </w:tabs>
        <w:spacing w:after="0" w:line="360" w:lineRule="auto"/>
        <w:jc w:val="both"/>
        <w:rPr>
          <w:rFonts w:ascii="Arial" w:hAnsi="Arial" w:cs="Arial"/>
          <w:sz w:val="24"/>
          <w:szCs w:val="24"/>
        </w:rPr>
      </w:pPr>
      <w:r w:rsidRPr="00CA4456">
        <w:rPr>
          <w:rFonts w:ascii="Arial" w:hAnsi="Arial" w:cs="Arial"/>
          <w:sz w:val="24"/>
          <w:szCs w:val="24"/>
        </w:rPr>
        <w:t>[</w:t>
      </w:r>
      <w:r w:rsidR="00ED4378">
        <w:rPr>
          <w:rFonts w:ascii="Arial" w:hAnsi="Arial" w:cs="Arial"/>
          <w:sz w:val="24"/>
          <w:szCs w:val="24"/>
        </w:rPr>
        <w:t>44</w:t>
      </w:r>
      <w:r w:rsidRPr="00CA4456">
        <w:rPr>
          <w:rFonts w:ascii="Arial" w:hAnsi="Arial" w:cs="Arial"/>
          <w:sz w:val="24"/>
          <w:szCs w:val="24"/>
        </w:rPr>
        <w:t>]</w:t>
      </w:r>
      <w:r w:rsidRPr="00CA4456">
        <w:rPr>
          <w:rFonts w:ascii="Arial" w:hAnsi="Arial" w:cs="Arial"/>
          <w:sz w:val="24"/>
          <w:szCs w:val="24"/>
        </w:rPr>
        <w:tab/>
        <w:t>Section 319(1) of the CPA provides:</w:t>
      </w:r>
    </w:p>
    <w:p w14:paraId="746AF06F" w14:textId="52599BB1" w:rsidR="00CA4456" w:rsidRPr="00CA4456" w:rsidRDefault="00CA4456" w:rsidP="00CA4456">
      <w:pPr>
        <w:spacing w:after="0" w:line="360" w:lineRule="auto"/>
        <w:contextualSpacing/>
        <w:jc w:val="both"/>
        <w:rPr>
          <w:rFonts w:ascii="Arial" w:hAnsi="Arial" w:cs="Arial"/>
        </w:rPr>
      </w:pPr>
      <w:bookmarkStart w:id="2" w:name="0-0-0-199685"/>
      <w:bookmarkEnd w:id="2"/>
      <w:r w:rsidRPr="00CA4456">
        <w:rPr>
          <w:rFonts w:ascii="Arial" w:hAnsi="Arial" w:cs="Arial"/>
        </w:rPr>
        <w:t>‘(1) If any question of law arises on the trial in the superior court of any person for any offence</w:t>
      </w:r>
      <w:r w:rsidR="000D516F">
        <w:rPr>
          <w:rFonts w:ascii="Arial" w:hAnsi="Arial" w:cs="Arial"/>
        </w:rPr>
        <w:t>,</w:t>
      </w:r>
      <w:r w:rsidRPr="00CA4456">
        <w:rPr>
          <w:rFonts w:ascii="Arial" w:hAnsi="Arial" w:cs="Arial"/>
        </w:rPr>
        <w:t xml:space="preserve"> </w:t>
      </w:r>
      <w:r w:rsidRPr="00CA4456">
        <w:rPr>
          <w:rFonts w:ascii="Arial" w:hAnsi="Arial" w:cs="Arial"/>
          <w:i/>
        </w:rPr>
        <w:t>that court</w:t>
      </w:r>
      <w:r w:rsidRPr="00CA4456">
        <w:rPr>
          <w:rFonts w:ascii="Arial" w:hAnsi="Arial" w:cs="Arial"/>
        </w:rPr>
        <w:t xml:space="preserve"> may of its own motion or at the request either of the prosecutor or the accused </w:t>
      </w:r>
      <w:r w:rsidRPr="00CA4456">
        <w:rPr>
          <w:rFonts w:ascii="Arial" w:hAnsi="Arial" w:cs="Arial"/>
          <w:i/>
        </w:rPr>
        <w:t>reserve that question</w:t>
      </w:r>
      <w:r w:rsidRPr="00CA4456">
        <w:rPr>
          <w:rFonts w:ascii="Arial" w:hAnsi="Arial" w:cs="Arial"/>
        </w:rPr>
        <w:t xml:space="preserve"> for the consideration of the Appellate Division, and thereupon </w:t>
      </w:r>
      <w:r w:rsidRPr="00CA4456">
        <w:rPr>
          <w:rFonts w:ascii="Arial" w:hAnsi="Arial" w:cs="Arial"/>
          <w:i/>
        </w:rPr>
        <w:t>the first-mentioned court shall state the question reserved</w:t>
      </w:r>
      <w:r w:rsidRPr="00CA4456">
        <w:rPr>
          <w:rFonts w:ascii="Arial" w:hAnsi="Arial" w:cs="Arial"/>
        </w:rPr>
        <w:t xml:space="preserve"> and </w:t>
      </w:r>
      <w:r w:rsidRPr="00CA4456">
        <w:rPr>
          <w:rFonts w:ascii="Arial" w:hAnsi="Arial" w:cs="Arial"/>
          <w:i/>
        </w:rPr>
        <w:t>shall direct that it be specially entered in the record</w:t>
      </w:r>
      <w:r w:rsidRPr="00CA4456">
        <w:rPr>
          <w:rFonts w:ascii="Arial" w:hAnsi="Arial" w:cs="Arial"/>
        </w:rPr>
        <w:t xml:space="preserve"> and that a copy thereof be transmitted to the registrar of the Appellate Division.’ </w:t>
      </w:r>
      <w:r w:rsidR="00FC1D51">
        <w:rPr>
          <w:rFonts w:ascii="Arial" w:hAnsi="Arial" w:cs="Arial"/>
        </w:rPr>
        <w:t>(</w:t>
      </w:r>
      <w:r w:rsidRPr="00CA4456">
        <w:rPr>
          <w:rFonts w:ascii="Arial" w:hAnsi="Arial" w:cs="Arial"/>
        </w:rPr>
        <w:t>Emphasis added.</w:t>
      </w:r>
      <w:r w:rsidR="00FC1D51">
        <w:rPr>
          <w:rFonts w:ascii="Arial" w:hAnsi="Arial" w:cs="Arial"/>
        </w:rPr>
        <w:t>)</w:t>
      </w:r>
    </w:p>
    <w:p w14:paraId="4596D347" w14:textId="77777777" w:rsidR="00CA4456" w:rsidRPr="00AF06FA" w:rsidRDefault="00CA4456" w:rsidP="00CA4456">
      <w:pPr>
        <w:spacing w:after="0" w:line="360" w:lineRule="auto"/>
        <w:contextualSpacing/>
        <w:jc w:val="both"/>
        <w:rPr>
          <w:rFonts w:ascii="Arial" w:hAnsi="Arial" w:cs="Arial"/>
          <w:sz w:val="24"/>
          <w:szCs w:val="24"/>
        </w:rPr>
      </w:pPr>
    </w:p>
    <w:p w14:paraId="4634157F" w14:textId="5CB28522" w:rsidR="00CA4456" w:rsidRPr="00CA4456" w:rsidRDefault="00CA4456" w:rsidP="00CA4456">
      <w:pPr>
        <w:spacing w:after="0" w:line="360" w:lineRule="auto"/>
        <w:jc w:val="both"/>
        <w:rPr>
          <w:rFonts w:ascii="Arial" w:hAnsi="Arial" w:cs="Arial"/>
          <w:sz w:val="24"/>
          <w:szCs w:val="24"/>
        </w:rPr>
      </w:pPr>
      <w:r>
        <w:rPr>
          <w:rFonts w:ascii="Arial" w:hAnsi="Arial" w:cs="Arial"/>
          <w:sz w:val="24"/>
          <w:szCs w:val="24"/>
        </w:rPr>
        <w:t>[</w:t>
      </w:r>
      <w:r w:rsidR="00ED4378">
        <w:rPr>
          <w:rFonts w:ascii="Arial" w:hAnsi="Arial" w:cs="Arial"/>
          <w:sz w:val="24"/>
          <w:szCs w:val="24"/>
        </w:rPr>
        <w:t>45</w:t>
      </w:r>
      <w:r>
        <w:rPr>
          <w:rFonts w:ascii="Arial" w:hAnsi="Arial" w:cs="Arial"/>
          <w:sz w:val="24"/>
          <w:szCs w:val="24"/>
        </w:rPr>
        <w:t>]</w:t>
      </w:r>
      <w:r>
        <w:rPr>
          <w:rFonts w:ascii="Arial" w:hAnsi="Arial" w:cs="Arial"/>
          <w:sz w:val="24"/>
          <w:szCs w:val="24"/>
        </w:rPr>
        <w:tab/>
      </w:r>
      <w:r w:rsidRPr="00CA4456">
        <w:rPr>
          <w:rFonts w:ascii="Arial" w:hAnsi="Arial" w:cs="Arial"/>
          <w:sz w:val="24"/>
          <w:szCs w:val="24"/>
        </w:rPr>
        <w:t>This section does not permit the framing of questions of fact as questions of law. It has been stated however that ‘the distinction between questions of law and questions of fact is notoriously difficult to draw’.</w:t>
      </w:r>
      <w:r w:rsidRPr="00CA4456">
        <w:rPr>
          <w:rStyle w:val="FootnoteReference"/>
          <w:rFonts w:ascii="Arial" w:hAnsi="Arial" w:cs="Arial"/>
          <w:sz w:val="24"/>
          <w:szCs w:val="24"/>
        </w:rPr>
        <w:footnoteReference w:id="7"/>
      </w:r>
      <w:r w:rsidRPr="00CA4456">
        <w:rPr>
          <w:rFonts w:ascii="Arial" w:hAnsi="Arial" w:cs="Arial"/>
          <w:sz w:val="24"/>
          <w:szCs w:val="24"/>
        </w:rPr>
        <w:t xml:space="preserve"> The requirements to be met when seeking reservation of </w:t>
      </w:r>
      <w:r w:rsidR="00A154CF">
        <w:rPr>
          <w:rFonts w:ascii="Arial" w:hAnsi="Arial" w:cs="Arial"/>
          <w:sz w:val="24"/>
          <w:szCs w:val="24"/>
        </w:rPr>
        <w:t xml:space="preserve">a </w:t>
      </w:r>
      <w:r w:rsidRPr="00CA4456">
        <w:rPr>
          <w:rFonts w:ascii="Arial" w:hAnsi="Arial" w:cs="Arial"/>
          <w:sz w:val="24"/>
          <w:szCs w:val="24"/>
        </w:rPr>
        <w:t xml:space="preserve">question of law were restated in </w:t>
      </w:r>
      <w:r w:rsidRPr="00CA4456">
        <w:rPr>
          <w:rFonts w:ascii="Arial" w:hAnsi="Arial" w:cs="Arial"/>
          <w:i/>
          <w:sz w:val="24"/>
          <w:szCs w:val="24"/>
        </w:rPr>
        <w:t xml:space="preserve">Schoeman </w:t>
      </w:r>
      <w:r w:rsidRPr="00CA4456">
        <w:rPr>
          <w:rFonts w:ascii="Arial" w:hAnsi="Arial" w:cs="Arial"/>
          <w:sz w:val="24"/>
          <w:szCs w:val="24"/>
        </w:rPr>
        <w:t xml:space="preserve">as: </w:t>
      </w:r>
    </w:p>
    <w:p w14:paraId="572986A5" w14:textId="116073EF" w:rsidR="00CA4456" w:rsidRDefault="00CA4456" w:rsidP="00CA4456">
      <w:pPr>
        <w:spacing w:after="0" w:line="360" w:lineRule="auto"/>
        <w:contextualSpacing/>
        <w:jc w:val="both"/>
        <w:rPr>
          <w:rFonts w:ascii="Arial" w:hAnsi="Arial" w:cs="Arial"/>
        </w:rPr>
      </w:pPr>
      <w:r w:rsidRPr="00CA4456">
        <w:rPr>
          <w:rFonts w:ascii="Arial" w:hAnsi="Arial" w:cs="Arial"/>
        </w:rPr>
        <w:t>‘</w:t>
      </w:r>
      <w:r w:rsidRPr="00CA4456">
        <w:rPr>
          <w:rFonts w:ascii="Arial" w:hAnsi="Arial" w:cs="Arial"/>
          <w:color w:val="000000"/>
        </w:rPr>
        <w:t>Before a question of law may be reserved under s 319 three requisites must be met. First, it is essential that the question is framed accurately leaving no doubt what the legal point is. Secondly, the facts upon which the point hinges must be clear. Thirdly, they should be set out fully in the record together with the question of law</w:t>
      </w:r>
      <w:r w:rsidRPr="00CA4456">
        <w:rPr>
          <w:rFonts w:ascii="Arial" w:hAnsi="Arial" w:cs="Arial"/>
        </w:rPr>
        <w:t>.’</w:t>
      </w:r>
      <w:r w:rsidR="00286299" w:rsidRPr="00CA4456">
        <w:rPr>
          <w:rStyle w:val="FootnoteReference"/>
          <w:rFonts w:ascii="Arial" w:hAnsi="Arial" w:cs="Arial"/>
          <w:sz w:val="24"/>
          <w:szCs w:val="24"/>
        </w:rPr>
        <w:footnoteReference w:id="8"/>
      </w:r>
      <w:r w:rsidR="00286299" w:rsidRPr="00CA4456">
        <w:rPr>
          <w:rFonts w:ascii="Arial" w:hAnsi="Arial" w:cs="Arial"/>
        </w:rPr>
        <w:t xml:space="preserve"> </w:t>
      </w:r>
      <w:r w:rsidRPr="00CA4456">
        <w:rPr>
          <w:rFonts w:ascii="Arial" w:hAnsi="Arial" w:cs="Arial"/>
        </w:rPr>
        <w:t xml:space="preserve"> </w:t>
      </w:r>
    </w:p>
    <w:p w14:paraId="2F6F6534" w14:textId="77777777" w:rsidR="003D5202" w:rsidRPr="00114305" w:rsidRDefault="003D5202" w:rsidP="00CA4456">
      <w:pPr>
        <w:spacing w:after="0" w:line="360" w:lineRule="auto"/>
        <w:contextualSpacing/>
        <w:jc w:val="both"/>
        <w:rPr>
          <w:rFonts w:ascii="Arial" w:hAnsi="Arial" w:cs="Arial"/>
          <w:sz w:val="24"/>
          <w:szCs w:val="24"/>
        </w:rPr>
      </w:pPr>
    </w:p>
    <w:p w14:paraId="45F97491" w14:textId="4B0CDC6D" w:rsidR="00CA4456" w:rsidRPr="00CA4456" w:rsidRDefault="00CA4456" w:rsidP="00CA4456">
      <w:pPr>
        <w:spacing w:after="0" w:line="360" w:lineRule="auto"/>
        <w:jc w:val="both"/>
        <w:rPr>
          <w:rFonts w:ascii="Arial" w:hAnsi="Arial" w:cs="Arial"/>
          <w:sz w:val="24"/>
          <w:szCs w:val="24"/>
        </w:rPr>
      </w:pPr>
      <w:r w:rsidRPr="00CA4456">
        <w:rPr>
          <w:rFonts w:ascii="Arial" w:hAnsi="Arial" w:cs="Arial"/>
          <w:sz w:val="24"/>
          <w:szCs w:val="24"/>
        </w:rPr>
        <w:t>[4</w:t>
      </w:r>
      <w:r w:rsidR="00ED4378">
        <w:rPr>
          <w:rFonts w:ascii="Arial" w:hAnsi="Arial" w:cs="Arial"/>
          <w:sz w:val="24"/>
          <w:szCs w:val="24"/>
        </w:rPr>
        <w:t>6</w:t>
      </w:r>
      <w:r w:rsidRPr="00CA4456">
        <w:rPr>
          <w:rFonts w:ascii="Arial" w:hAnsi="Arial" w:cs="Arial"/>
          <w:sz w:val="24"/>
          <w:szCs w:val="24"/>
        </w:rPr>
        <w:t>]</w:t>
      </w:r>
      <w:r w:rsidRPr="00CA4456">
        <w:rPr>
          <w:rFonts w:ascii="Arial" w:hAnsi="Arial" w:cs="Arial"/>
          <w:sz w:val="24"/>
          <w:szCs w:val="24"/>
        </w:rPr>
        <w:tab/>
        <w:t>In terms of s 319</w:t>
      </w:r>
      <w:r w:rsidR="003D5202">
        <w:rPr>
          <w:rFonts w:ascii="Arial" w:hAnsi="Arial" w:cs="Arial"/>
          <w:sz w:val="24"/>
          <w:szCs w:val="24"/>
        </w:rPr>
        <w:t>,</w:t>
      </w:r>
      <w:r w:rsidRPr="00CA4456">
        <w:rPr>
          <w:rFonts w:ascii="Arial" w:hAnsi="Arial" w:cs="Arial"/>
          <w:sz w:val="24"/>
          <w:szCs w:val="24"/>
        </w:rPr>
        <w:t xml:space="preserve"> the duty is placed upon the court to state the question of law it has decided to reserve. It must also direct that the question be specially entered into the record and a copy thereof be dispatched to the registrar. In</w:t>
      </w:r>
      <w:r w:rsidRPr="00CA4456">
        <w:rPr>
          <w:rFonts w:ascii="Arial" w:hAnsi="Arial" w:cs="Arial"/>
          <w:i/>
          <w:sz w:val="24"/>
          <w:szCs w:val="24"/>
        </w:rPr>
        <w:t xml:space="preserve"> Magidela</w:t>
      </w:r>
      <w:r w:rsidR="003D5202" w:rsidRPr="00B0446D">
        <w:rPr>
          <w:rFonts w:ascii="Arial" w:hAnsi="Arial" w:cs="Arial"/>
          <w:sz w:val="24"/>
          <w:szCs w:val="24"/>
        </w:rPr>
        <w:t>,</w:t>
      </w:r>
      <w:r w:rsidRPr="00B0446D">
        <w:rPr>
          <w:rStyle w:val="FootnoteReference"/>
          <w:rFonts w:ascii="Arial" w:hAnsi="Arial" w:cs="Arial"/>
          <w:sz w:val="24"/>
          <w:szCs w:val="24"/>
        </w:rPr>
        <w:footnoteReference w:id="9"/>
      </w:r>
      <w:r w:rsidRPr="003D5202">
        <w:rPr>
          <w:rFonts w:ascii="Arial" w:hAnsi="Arial" w:cs="Arial"/>
          <w:sz w:val="24"/>
          <w:szCs w:val="24"/>
        </w:rPr>
        <w:t xml:space="preserve"> </w:t>
      </w:r>
      <w:r w:rsidRPr="00CA4456">
        <w:rPr>
          <w:rFonts w:ascii="Arial" w:hAnsi="Arial" w:cs="Arial"/>
          <w:sz w:val="24"/>
          <w:szCs w:val="24"/>
        </w:rPr>
        <w:t xml:space="preserve">it was held </w:t>
      </w:r>
      <w:r w:rsidR="003D5202">
        <w:rPr>
          <w:rFonts w:ascii="Arial" w:hAnsi="Arial" w:cs="Arial"/>
          <w:sz w:val="24"/>
          <w:szCs w:val="24"/>
        </w:rPr>
        <w:t xml:space="preserve">that </w:t>
      </w:r>
      <w:r w:rsidRPr="00CA4456">
        <w:rPr>
          <w:rFonts w:ascii="Arial" w:hAnsi="Arial" w:cs="Arial"/>
          <w:sz w:val="24"/>
          <w:szCs w:val="24"/>
        </w:rPr>
        <w:t xml:space="preserve">‘. . . </w:t>
      </w:r>
      <w:r w:rsidRPr="00CA4456">
        <w:rPr>
          <w:rFonts w:ascii="Arial" w:hAnsi="Arial" w:cs="Arial"/>
          <w:i/>
          <w:sz w:val="24"/>
          <w:szCs w:val="24"/>
        </w:rPr>
        <w:t>the question must be framed by the Judge</w:t>
      </w:r>
      <w:r w:rsidRPr="00CA4456">
        <w:rPr>
          <w:rFonts w:ascii="Arial" w:hAnsi="Arial" w:cs="Arial"/>
          <w:sz w:val="24"/>
          <w:szCs w:val="24"/>
        </w:rPr>
        <w:t xml:space="preserve"> “so as accurately to express the legal point which </w:t>
      </w:r>
      <w:r w:rsidRPr="00CA4456">
        <w:rPr>
          <w:rFonts w:ascii="Arial" w:hAnsi="Arial" w:cs="Arial"/>
          <w:i/>
          <w:sz w:val="24"/>
          <w:szCs w:val="24"/>
        </w:rPr>
        <w:t xml:space="preserve">he had in mind” (R v Kewelram </w:t>
      </w:r>
      <w:r w:rsidRPr="00CA4456">
        <w:rPr>
          <w:rFonts w:ascii="Arial" w:hAnsi="Arial" w:cs="Arial"/>
          <w:sz w:val="24"/>
          <w:szCs w:val="24"/>
        </w:rPr>
        <w:t xml:space="preserve">1922 AD 1 at </w:t>
      </w:r>
      <w:r w:rsidRPr="003D5202">
        <w:rPr>
          <w:rFonts w:ascii="Arial" w:hAnsi="Arial" w:cs="Arial"/>
          <w:sz w:val="24"/>
          <w:szCs w:val="24"/>
        </w:rPr>
        <w:t>3</w:t>
      </w:r>
      <w:r w:rsidRPr="00B0446D">
        <w:rPr>
          <w:rFonts w:ascii="Arial" w:hAnsi="Arial" w:cs="Arial"/>
          <w:sz w:val="24"/>
          <w:szCs w:val="24"/>
        </w:rPr>
        <w:t xml:space="preserve">). </w:t>
      </w:r>
      <w:r w:rsidRPr="00CA4456">
        <w:rPr>
          <w:rFonts w:ascii="Arial" w:hAnsi="Arial" w:cs="Arial"/>
          <w:sz w:val="24"/>
          <w:szCs w:val="24"/>
        </w:rPr>
        <w:t>Secondly</w:t>
      </w:r>
      <w:r w:rsidR="003D5202">
        <w:rPr>
          <w:rFonts w:ascii="Arial" w:hAnsi="Arial" w:cs="Arial"/>
          <w:sz w:val="24"/>
          <w:szCs w:val="24"/>
        </w:rPr>
        <w:t>,</w:t>
      </w:r>
      <w:r w:rsidRPr="00CA4456">
        <w:rPr>
          <w:rFonts w:ascii="Arial" w:hAnsi="Arial" w:cs="Arial"/>
          <w:sz w:val="24"/>
          <w:szCs w:val="24"/>
        </w:rPr>
        <w:t xml:space="preserve"> there must be certainty concerning the facts</w:t>
      </w:r>
      <w:r w:rsidR="00A154CF">
        <w:rPr>
          <w:rFonts w:ascii="Arial" w:hAnsi="Arial" w:cs="Arial"/>
          <w:sz w:val="24"/>
          <w:szCs w:val="24"/>
        </w:rPr>
        <w:t xml:space="preserve"> on which</w:t>
      </w:r>
      <w:r w:rsidRPr="00CA4456">
        <w:rPr>
          <w:rFonts w:ascii="Arial" w:hAnsi="Arial" w:cs="Arial"/>
          <w:sz w:val="24"/>
          <w:szCs w:val="24"/>
        </w:rPr>
        <w:t xml:space="preserve"> the legal point is intended to hinge. This requires </w:t>
      </w:r>
      <w:r w:rsidRPr="00CA4456">
        <w:rPr>
          <w:rFonts w:ascii="Arial" w:hAnsi="Arial" w:cs="Arial"/>
          <w:i/>
          <w:sz w:val="24"/>
          <w:szCs w:val="24"/>
        </w:rPr>
        <w:t>the court to record</w:t>
      </w:r>
      <w:r w:rsidRPr="00CA4456">
        <w:rPr>
          <w:rFonts w:ascii="Arial" w:hAnsi="Arial" w:cs="Arial"/>
          <w:sz w:val="24"/>
          <w:szCs w:val="24"/>
        </w:rPr>
        <w:t xml:space="preserve"> the factual findings on which the point of law is dependent (</w:t>
      </w:r>
      <w:r w:rsidRPr="00CA4456">
        <w:rPr>
          <w:rFonts w:ascii="Arial" w:hAnsi="Arial" w:cs="Arial"/>
          <w:i/>
          <w:sz w:val="24"/>
          <w:szCs w:val="24"/>
        </w:rPr>
        <w:t xml:space="preserve">S v Nkwenja en ‘n Ander </w:t>
      </w:r>
      <w:r w:rsidRPr="00B0446D">
        <w:rPr>
          <w:rFonts w:ascii="Arial" w:hAnsi="Arial" w:cs="Arial"/>
          <w:sz w:val="24"/>
          <w:szCs w:val="24"/>
        </w:rPr>
        <w:t>1985 (SA) 560 (A) at 567B-G</w:t>
      </w:r>
      <w:r w:rsidR="00305E47">
        <w:rPr>
          <w:rFonts w:ascii="Arial" w:hAnsi="Arial" w:cs="Arial"/>
          <w:sz w:val="24"/>
          <w:szCs w:val="24"/>
        </w:rPr>
        <w:t>)</w:t>
      </w:r>
      <w:r w:rsidR="00D76723" w:rsidRPr="00B0446D">
        <w:rPr>
          <w:rFonts w:ascii="Arial" w:hAnsi="Arial" w:cs="Arial"/>
          <w:sz w:val="24"/>
          <w:szCs w:val="24"/>
        </w:rPr>
        <w:t xml:space="preserve"> </w:t>
      </w:r>
      <w:r w:rsidRPr="00305E47">
        <w:rPr>
          <w:rFonts w:ascii="Arial" w:hAnsi="Arial" w:cs="Arial"/>
          <w:sz w:val="24"/>
          <w:szCs w:val="24"/>
        </w:rPr>
        <w:t>. . .’</w:t>
      </w:r>
      <w:r w:rsidR="00305E47">
        <w:rPr>
          <w:rFonts w:ascii="Arial" w:hAnsi="Arial" w:cs="Arial"/>
          <w:sz w:val="24"/>
          <w:szCs w:val="24"/>
        </w:rPr>
        <w:t>.</w:t>
      </w:r>
      <w:r w:rsidRPr="00CA4456">
        <w:rPr>
          <w:rFonts w:ascii="Arial" w:hAnsi="Arial" w:cs="Arial"/>
          <w:i/>
          <w:sz w:val="24"/>
          <w:szCs w:val="24"/>
        </w:rPr>
        <w:t xml:space="preserve"> </w:t>
      </w:r>
      <w:r w:rsidR="00D76723">
        <w:rPr>
          <w:rFonts w:ascii="Arial" w:hAnsi="Arial" w:cs="Arial"/>
          <w:iCs/>
          <w:sz w:val="24"/>
          <w:szCs w:val="24"/>
        </w:rPr>
        <w:t>(</w:t>
      </w:r>
      <w:r w:rsidRPr="00CA4456">
        <w:rPr>
          <w:rFonts w:ascii="Arial" w:hAnsi="Arial" w:cs="Arial"/>
          <w:iCs/>
          <w:sz w:val="24"/>
          <w:szCs w:val="24"/>
        </w:rPr>
        <w:t>Emphasis added.</w:t>
      </w:r>
      <w:r w:rsidR="00D76723">
        <w:rPr>
          <w:rFonts w:ascii="Arial" w:hAnsi="Arial" w:cs="Arial"/>
          <w:iCs/>
          <w:sz w:val="24"/>
          <w:szCs w:val="24"/>
        </w:rPr>
        <w:t>)</w:t>
      </w:r>
      <w:r w:rsidRPr="00CA4456">
        <w:rPr>
          <w:rFonts w:ascii="Arial" w:hAnsi="Arial" w:cs="Arial"/>
          <w:i/>
          <w:sz w:val="24"/>
          <w:szCs w:val="24"/>
        </w:rPr>
        <w:t xml:space="preserve"> </w:t>
      </w:r>
      <w:r w:rsidRPr="00CA4456">
        <w:rPr>
          <w:rFonts w:ascii="Arial" w:hAnsi="Arial" w:cs="Arial"/>
          <w:sz w:val="24"/>
          <w:szCs w:val="24"/>
        </w:rPr>
        <w:t xml:space="preserve"> </w:t>
      </w:r>
    </w:p>
    <w:p w14:paraId="0DF9CBA0" w14:textId="77777777" w:rsidR="00CA4456" w:rsidRPr="00CA4456" w:rsidRDefault="00CA4456" w:rsidP="00CA4456">
      <w:pPr>
        <w:spacing w:after="0" w:line="360" w:lineRule="auto"/>
        <w:jc w:val="both"/>
        <w:rPr>
          <w:rFonts w:ascii="Arial" w:hAnsi="Arial" w:cs="Arial"/>
          <w:sz w:val="24"/>
          <w:szCs w:val="24"/>
        </w:rPr>
      </w:pPr>
    </w:p>
    <w:p w14:paraId="430570A6" w14:textId="4131B10B" w:rsidR="00CA4456" w:rsidRPr="00CA4456" w:rsidRDefault="00CA4456" w:rsidP="00C30529">
      <w:pPr>
        <w:pStyle w:val="ListParagraph"/>
        <w:spacing w:after="0" w:line="360" w:lineRule="auto"/>
        <w:ind w:left="0"/>
        <w:jc w:val="both"/>
        <w:rPr>
          <w:rFonts w:ascii="Arial" w:hAnsi="Arial" w:cs="Arial"/>
          <w:sz w:val="24"/>
          <w:szCs w:val="24"/>
        </w:rPr>
      </w:pPr>
      <w:r w:rsidRPr="00CA4456">
        <w:rPr>
          <w:rFonts w:ascii="Arial" w:hAnsi="Arial" w:cs="Arial"/>
          <w:sz w:val="24"/>
          <w:szCs w:val="24"/>
        </w:rPr>
        <w:t>[</w:t>
      </w:r>
      <w:r w:rsidR="00ED4378">
        <w:rPr>
          <w:rFonts w:ascii="Arial" w:hAnsi="Arial" w:cs="Arial"/>
          <w:sz w:val="24"/>
          <w:szCs w:val="24"/>
        </w:rPr>
        <w:t>47</w:t>
      </w:r>
      <w:r w:rsidRPr="00CA4456">
        <w:rPr>
          <w:rFonts w:ascii="Arial" w:hAnsi="Arial" w:cs="Arial"/>
          <w:sz w:val="24"/>
          <w:szCs w:val="24"/>
        </w:rPr>
        <w:t>]</w:t>
      </w:r>
      <w:r w:rsidRPr="00CA4456">
        <w:rPr>
          <w:rFonts w:ascii="Arial" w:hAnsi="Arial" w:cs="Arial"/>
          <w:sz w:val="24"/>
          <w:szCs w:val="24"/>
        </w:rPr>
        <w:tab/>
        <w:t>These requirements are to ensure that the court of appeal can establish with certainty what the conclusions on the legal point are. If the findings are not clear in the judgment of the trial court, it is necessary to request the trial judge to clarify such factual findings, for where that is not done, the point of law is not properly reserved.</w:t>
      </w:r>
      <w:r w:rsidRPr="00CA4456">
        <w:rPr>
          <w:rStyle w:val="FootnoteReference"/>
          <w:rFonts w:ascii="Arial" w:hAnsi="Arial" w:cs="Arial"/>
          <w:sz w:val="24"/>
          <w:szCs w:val="24"/>
        </w:rPr>
        <w:footnoteReference w:id="10"/>
      </w:r>
    </w:p>
    <w:p w14:paraId="42BF5AA2" w14:textId="77777777" w:rsidR="00CA4456" w:rsidRPr="00CA4456" w:rsidRDefault="00CA4456" w:rsidP="00B0446D">
      <w:pPr>
        <w:spacing w:after="0" w:line="360" w:lineRule="auto"/>
        <w:contextualSpacing/>
        <w:jc w:val="both"/>
        <w:rPr>
          <w:rFonts w:ascii="Arial" w:hAnsi="Arial" w:cs="Arial"/>
          <w:sz w:val="24"/>
          <w:szCs w:val="24"/>
        </w:rPr>
      </w:pPr>
    </w:p>
    <w:p w14:paraId="4204D9E2" w14:textId="419ED291" w:rsidR="00CA4456" w:rsidRPr="00CA4456" w:rsidRDefault="00CA4456" w:rsidP="00B0446D">
      <w:pPr>
        <w:pStyle w:val="ListParagraph"/>
        <w:spacing w:after="0" w:line="360" w:lineRule="auto"/>
        <w:ind w:left="0"/>
        <w:jc w:val="both"/>
        <w:rPr>
          <w:rFonts w:ascii="Arial" w:hAnsi="Arial" w:cs="Arial"/>
          <w:sz w:val="24"/>
          <w:szCs w:val="24"/>
        </w:rPr>
      </w:pPr>
      <w:r w:rsidRPr="00CA4456">
        <w:rPr>
          <w:rFonts w:ascii="Arial" w:hAnsi="Arial" w:cs="Arial"/>
          <w:sz w:val="24"/>
          <w:szCs w:val="24"/>
        </w:rPr>
        <w:t>[</w:t>
      </w:r>
      <w:r w:rsidR="00ED4378">
        <w:rPr>
          <w:rFonts w:ascii="Arial" w:hAnsi="Arial" w:cs="Arial"/>
          <w:sz w:val="24"/>
          <w:szCs w:val="24"/>
        </w:rPr>
        <w:t>48</w:t>
      </w:r>
      <w:r w:rsidRPr="00CA4456">
        <w:rPr>
          <w:rFonts w:ascii="Arial" w:hAnsi="Arial" w:cs="Arial"/>
          <w:sz w:val="24"/>
          <w:szCs w:val="24"/>
        </w:rPr>
        <w:t>]</w:t>
      </w:r>
      <w:r w:rsidRPr="00CA4456">
        <w:rPr>
          <w:rFonts w:ascii="Arial" w:hAnsi="Arial" w:cs="Arial"/>
          <w:sz w:val="24"/>
          <w:szCs w:val="24"/>
        </w:rPr>
        <w:tab/>
        <w:t xml:space="preserve">In </w:t>
      </w:r>
      <w:r w:rsidRPr="00CA4456">
        <w:rPr>
          <w:rFonts w:ascii="Arial" w:hAnsi="Arial" w:cs="Arial"/>
          <w:i/>
          <w:iCs/>
          <w:sz w:val="24"/>
          <w:szCs w:val="24"/>
        </w:rPr>
        <w:t>S v Petro Louise Enterprises (Pty) Ltd and Others</w:t>
      </w:r>
      <w:r w:rsidR="00C30529">
        <w:rPr>
          <w:rFonts w:ascii="Arial" w:hAnsi="Arial" w:cs="Arial"/>
          <w:iCs/>
          <w:sz w:val="24"/>
          <w:szCs w:val="24"/>
        </w:rPr>
        <w:t>,</w:t>
      </w:r>
      <w:r w:rsidRPr="00AA121F">
        <w:rPr>
          <w:rStyle w:val="FootnoteReference"/>
          <w:rFonts w:ascii="Arial" w:hAnsi="Arial" w:cs="Arial"/>
          <w:iCs/>
          <w:sz w:val="24"/>
          <w:szCs w:val="24"/>
        </w:rPr>
        <w:footnoteReference w:id="11"/>
      </w:r>
      <w:r w:rsidRPr="00CA4456">
        <w:rPr>
          <w:rFonts w:ascii="Arial" w:hAnsi="Arial" w:cs="Arial"/>
          <w:i/>
          <w:iCs/>
          <w:sz w:val="24"/>
          <w:szCs w:val="24"/>
        </w:rPr>
        <w:t xml:space="preserve"> </w:t>
      </w:r>
      <w:r w:rsidRPr="00CA4456">
        <w:rPr>
          <w:rFonts w:ascii="Arial" w:hAnsi="Arial" w:cs="Arial"/>
          <w:iCs/>
          <w:sz w:val="24"/>
          <w:szCs w:val="24"/>
        </w:rPr>
        <w:t xml:space="preserve">where the magistrate failed to comply </w:t>
      </w:r>
      <w:r w:rsidRPr="00CA4456">
        <w:rPr>
          <w:rFonts w:ascii="Arial" w:hAnsi="Arial" w:cs="Arial"/>
          <w:sz w:val="24"/>
          <w:szCs w:val="24"/>
        </w:rPr>
        <w:t>with the requirements in relation to the recital of the facts and the formulation of the question of law involved, the court cautiously allowed the appeal to proceed. It remarked as follows:</w:t>
      </w:r>
    </w:p>
    <w:p w14:paraId="0D0C23A3" w14:textId="5702AE5C" w:rsidR="00C30529" w:rsidRDefault="00CA4456" w:rsidP="00C30529">
      <w:pPr>
        <w:spacing w:after="0" w:line="360" w:lineRule="auto"/>
        <w:contextualSpacing/>
        <w:jc w:val="both"/>
        <w:rPr>
          <w:rFonts w:ascii="Arial" w:hAnsi="Arial" w:cs="Arial"/>
          <w:color w:val="000000"/>
          <w:sz w:val="24"/>
          <w:szCs w:val="24"/>
        </w:rPr>
      </w:pPr>
      <w:r w:rsidRPr="00CA4456">
        <w:rPr>
          <w:rFonts w:ascii="Arial" w:hAnsi="Arial" w:cs="Arial"/>
          <w:color w:val="000000"/>
        </w:rPr>
        <w:t>‘Generally speaking, I think that this Court will decline to hear an appeal under sec. 104</w:t>
      </w:r>
      <w:bookmarkStart w:id="3" w:name="0-0-0-485591"/>
      <w:bookmarkEnd w:id="3"/>
      <w:r w:rsidRPr="00CA4456">
        <w:rPr>
          <w:rFonts w:ascii="Arial" w:hAnsi="Arial" w:cs="Arial"/>
          <w:color w:val="000000"/>
        </w:rPr>
        <w:t xml:space="preserve"> </w:t>
      </w:r>
      <w:r w:rsidRPr="00CA4456">
        <w:rPr>
          <w:rFonts w:ascii="Arial" w:hAnsi="Arial" w:cs="Arial"/>
          <w:i/>
          <w:color w:val="000000"/>
        </w:rPr>
        <w:t>where the magistrate</w:t>
      </w:r>
      <w:r w:rsidRPr="00CA4456">
        <w:rPr>
          <w:rFonts w:ascii="Arial" w:hAnsi="Arial" w:cs="Arial"/>
          <w:color w:val="000000"/>
        </w:rPr>
        <w:t xml:space="preserve"> has failed in a material respect to comply with the requirements of formulating a stated case in terms of sec. 104(1) and Rule 67(10), in spite of the unfortunate prejudice and inconvenience that may result to the appellant and the respondent from such a step </w:t>
      </w:r>
      <w:r w:rsidR="00286299">
        <w:rPr>
          <w:rFonts w:ascii="Arial" w:hAnsi="Arial" w:cs="Arial"/>
          <w:color w:val="000000"/>
        </w:rPr>
        <w:t>–</w:t>
      </w:r>
      <w:r w:rsidRPr="00CA4456">
        <w:rPr>
          <w:rFonts w:ascii="Arial" w:hAnsi="Arial" w:cs="Arial"/>
          <w:color w:val="000000"/>
        </w:rPr>
        <w:t xml:space="preserve"> which is all the more reason, of course, why magistrates should be meticulous in performing their duties in this regard. In the present case, the stated case is so pronouncedly defective that there would have been ample justification for us to have refused to entertain the appeal. However, when this possibility was mooted at the outset of the argument, counsel on both sides, </w:t>
      </w:r>
      <w:r w:rsidRPr="00CA4456">
        <w:rPr>
          <w:rFonts w:ascii="Arial" w:hAnsi="Arial" w:cs="Arial"/>
          <w:i/>
          <w:color w:val="000000"/>
        </w:rPr>
        <w:t>stressing that the problem was not of their or their clients' making</w:t>
      </w:r>
      <w:r w:rsidRPr="00CA4456">
        <w:rPr>
          <w:rFonts w:ascii="Arial" w:hAnsi="Arial" w:cs="Arial"/>
          <w:color w:val="000000"/>
        </w:rPr>
        <w:t xml:space="preserve">, urged us to be indulgent and to listen to their arguments. We allowed ourselves to be persuaded to do that. The fact that we were prepared to hear the present appeal, in the particular circumstances present here, should not, however, be regarded as a precedent that in future cases of a similar nature this Court will be equally indulgent.’ </w:t>
      </w:r>
      <w:r w:rsidR="00D31841">
        <w:rPr>
          <w:rFonts w:ascii="Arial" w:hAnsi="Arial" w:cs="Arial"/>
          <w:color w:val="000000"/>
        </w:rPr>
        <w:t>(</w:t>
      </w:r>
      <w:r w:rsidRPr="00CA4456">
        <w:rPr>
          <w:rFonts w:ascii="Arial" w:hAnsi="Arial" w:cs="Arial"/>
          <w:color w:val="000000"/>
        </w:rPr>
        <w:t>Emphasis added.</w:t>
      </w:r>
      <w:r w:rsidR="00D31841">
        <w:rPr>
          <w:rFonts w:ascii="Arial" w:hAnsi="Arial" w:cs="Arial"/>
          <w:color w:val="000000"/>
        </w:rPr>
        <w:t>)</w:t>
      </w:r>
    </w:p>
    <w:p w14:paraId="34970007" w14:textId="77777777" w:rsidR="00C30529" w:rsidRPr="00B0446D" w:rsidRDefault="00C30529" w:rsidP="00B0446D">
      <w:pPr>
        <w:spacing w:after="0" w:line="360" w:lineRule="auto"/>
        <w:contextualSpacing/>
        <w:jc w:val="both"/>
        <w:rPr>
          <w:rFonts w:ascii="Arial" w:hAnsi="Arial" w:cs="Arial"/>
          <w:color w:val="000000"/>
          <w:sz w:val="24"/>
          <w:szCs w:val="24"/>
        </w:rPr>
      </w:pPr>
    </w:p>
    <w:p w14:paraId="3CA15C5A" w14:textId="1FE8CB1C" w:rsidR="00CA4456" w:rsidRPr="00AA121F" w:rsidRDefault="00AA121F" w:rsidP="00AA121F">
      <w:pPr>
        <w:shd w:val="clear" w:color="auto" w:fill="FFFFFF"/>
        <w:spacing w:after="0" w:line="360" w:lineRule="auto"/>
        <w:jc w:val="both"/>
        <w:rPr>
          <w:rFonts w:ascii="Arial" w:hAnsi="Arial" w:cs="Arial"/>
          <w:color w:val="242121"/>
          <w:sz w:val="24"/>
          <w:szCs w:val="24"/>
        </w:rPr>
      </w:pPr>
      <w:r w:rsidRPr="00AA121F">
        <w:rPr>
          <w:rFonts w:ascii="Arial" w:hAnsi="Arial" w:cs="Arial"/>
          <w:sz w:val="24"/>
          <w:szCs w:val="24"/>
        </w:rPr>
        <w:t>[</w:t>
      </w:r>
      <w:r w:rsidR="00ED4378">
        <w:rPr>
          <w:rFonts w:ascii="Arial" w:hAnsi="Arial" w:cs="Arial"/>
          <w:sz w:val="24"/>
          <w:szCs w:val="24"/>
        </w:rPr>
        <w:t>49</w:t>
      </w:r>
      <w:r w:rsidRPr="00AA121F">
        <w:rPr>
          <w:rFonts w:ascii="Arial" w:hAnsi="Arial" w:cs="Arial"/>
          <w:sz w:val="24"/>
          <w:szCs w:val="24"/>
        </w:rPr>
        <w:t>]</w:t>
      </w:r>
      <w:r w:rsidRPr="00AA121F">
        <w:rPr>
          <w:rFonts w:ascii="Arial" w:hAnsi="Arial" w:cs="Arial"/>
          <w:sz w:val="24"/>
          <w:szCs w:val="24"/>
        </w:rPr>
        <w:tab/>
      </w:r>
      <w:r w:rsidR="00CA4456" w:rsidRPr="00AA121F">
        <w:rPr>
          <w:rFonts w:ascii="Arial" w:hAnsi="Arial" w:cs="Arial"/>
          <w:sz w:val="24"/>
          <w:szCs w:val="24"/>
        </w:rPr>
        <w:t xml:space="preserve">In </w:t>
      </w:r>
      <w:r w:rsidR="00CA4456" w:rsidRPr="00AA121F">
        <w:rPr>
          <w:rFonts w:ascii="Arial" w:hAnsi="Arial" w:cs="Arial"/>
          <w:i/>
          <w:sz w:val="24"/>
          <w:szCs w:val="24"/>
        </w:rPr>
        <w:t>Molope</w:t>
      </w:r>
      <w:r w:rsidR="00C30529" w:rsidRPr="00B0446D">
        <w:rPr>
          <w:rFonts w:ascii="Arial" w:hAnsi="Arial" w:cs="Arial"/>
          <w:sz w:val="24"/>
          <w:szCs w:val="24"/>
        </w:rPr>
        <w:t>,</w:t>
      </w:r>
      <w:r w:rsidR="00CA4456" w:rsidRPr="00B0446D">
        <w:rPr>
          <w:rStyle w:val="FootnoteReference"/>
          <w:rFonts w:ascii="Arial" w:hAnsi="Arial" w:cs="Arial"/>
          <w:sz w:val="24"/>
          <w:szCs w:val="24"/>
        </w:rPr>
        <w:footnoteReference w:id="12"/>
      </w:r>
      <w:r w:rsidR="00CA4456" w:rsidRPr="00C30529">
        <w:rPr>
          <w:rFonts w:ascii="Arial" w:hAnsi="Arial" w:cs="Arial"/>
          <w:sz w:val="24"/>
          <w:szCs w:val="24"/>
        </w:rPr>
        <w:t xml:space="preserve"> </w:t>
      </w:r>
      <w:r w:rsidR="00CA4456" w:rsidRPr="00AA121F">
        <w:rPr>
          <w:rFonts w:ascii="Arial" w:hAnsi="Arial" w:cs="Arial"/>
          <w:sz w:val="24"/>
          <w:szCs w:val="24"/>
        </w:rPr>
        <w:t>this Court recognised that in certain instances courts have cautiously allowed the appeal to proceed. It remarked:</w:t>
      </w:r>
    </w:p>
    <w:p w14:paraId="39FA4BA0" w14:textId="0E3AAE98" w:rsidR="00CA4456" w:rsidRPr="00114305" w:rsidRDefault="00CA4456" w:rsidP="00CA4456">
      <w:pPr>
        <w:shd w:val="clear" w:color="auto" w:fill="FFFFFF"/>
        <w:spacing w:after="0" w:line="360" w:lineRule="auto"/>
        <w:jc w:val="both"/>
        <w:rPr>
          <w:rFonts w:ascii="Arial" w:hAnsi="Arial" w:cs="Arial"/>
        </w:rPr>
      </w:pPr>
      <w:r w:rsidRPr="00AA121F">
        <w:rPr>
          <w:rFonts w:ascii="Arial" w:hAnsi="Arial" w:cs="Arial"/>
        </w:rPr>
        <w:t>‘Notwithstanding the strict application of the section and the law that has been adopted in this matter, courts have, in the past, albeit with a note of caution, reluctantly allowed the appeal to proceed even though the requirements were not met.’</w:t>
      </w:r>
      <w:r w:rsidRPr="00AA121F">
        <w:rPr>
          <w:rStyle w:val="FootnoteReference"/>
          <w:rFonts w:ascii="Arial" w:hAnsi="Arial" w:cs="Arial"/>
        </w:rPr>
        <w:footnoteReference w:id="13"/>
      </w:r>
      <w:r w:rsidRPr="00AA121F">
        <w:rPr>
          <w:rFonts w:ascii="Arial" w:hAnsi="Arial" w:cs="Arial"/>
        </w:rPr>
        <w:t xml:space="preserve"> </w:t>
      </w:r>
    </w:p>
    <w:p w14:paraId="523415E3" w14:textId="574C45EB" w:rsidR="00CA4456" w:rsidRPr="00AA121F" w:rsidRDefault="00AA121F" w:rsidP="00AA121F">
      <w:pPr>
        <w:spacing w:after="0" w:line="360" w:lineRule="auto"/>
        <w:jc w:val="both"/>
        <w:rPr>
          <w:rFonts w:ascii="Arial" w:hAnsi="Arial" w:cs="Arial"/>
          <w:sz w:val="24"/>
          <w:szCs w:val="24"/>
        </w:rPr>
      </w:pPr>
      <w:r w:rsidRPr="00AA121F">
        <w:rPr>
          <w:rFonts w:ascii="Arial" w:hAnsi="Arial" w:cs="Arial"/>
          <w:sz w:val="24"/>
          <w:szCs w:val="24"/>
        </w:rPr>
        <w:lastRenderedPageBreak/>
        <w:t>[</w:t>
      </w:r>
      <w:r w:rsidR="00ED4378">
        <w:rPr>
          <w:rFonts w:ascii="Arial" w:hAnsi="Arial" w:cs="Arial"/>
          <w:sz w:val="24"/>
          <w:szCs w:val="24"/>
        </w:rPr>
        <w:t>50</w:t>
      </w:r>
      <w:r w:rsidRPr="00AA121F">
        <w:rPr>
          <w:rFonts w:ascii="Arial" w:hAnsi="Arial" w:cs="Arial"/>
          <w:sz w:val="24"/>
          <w:szCs w:val="24"/>
        </w:rPr>
        <w:t>]</w:t>
      </w:r>
      <w:r w:rsidRPr="00AA121F">
        <w:rPr>
          <w:rFonts w:ascii="Arial" w:hAnsi="Arial" w:cs="Arial"/>
          <w:sz w:val="24"/>
          <w:szCs w:val="24"/>
        </w:rPr>
        <w:tab/>
      </w:r>
      <w:r w:rsidR="00CA4456" w:rsidRPr="00AA121F">
        <w:rPr>
          <w:rFonts w:ascii="Arial" w:hAnsi="Arial" w:cs="Arial"/>
          <w:sz w:val="24"/>
          <w:szCs w:val="24"/>
        </w:rPr>
        <w:t xml:space="preserve">This indicates that the court always has a discretion, although it must exercise it sparingly. This was underscored by the minority judgment in </w:t>
      </w:r>
      <w:r w:rsidR="00CA4456" w:rsidRPr="00AA121F">
        <w:rPr>
          <w:rFonts w:ascii="Arial" w:hAnsi="Arial" w:cs="Arial"/>
          <w:i/>
          <w:sz w:val="24"/>
          <w:szCs w:val="24"/>
        </w:rPr>
        <w:t>Molope</w:t>
      </w:r>
      <w:r w:rsidR="000E36C9">
        <w:rPr>
          <w:rFonts w:ascii="Arial" w:hAnsi="Arial" w:cs="Arial"/>
          <w:sz w:val="24"/>
          <w:szCs w:val="24"/>
        </w:rPr>
        <w:t>,</w:t>
      </w:r>
      <w:r w:rsidR="00CA4456" w:rsidRPr="00AA121F">
        <w:rPr>
          <w:rFonts w:ascii="Arial" w:hAnsi="Arial" w:cs="Arial"/>
          <w:sz w:val="24"/>
          <w:szCs w:val="24"/>
        </w:rPr>
        <w:t xml:space="preserve"> wherein it was stated that:</w:t>
      </w:r>
    </w:p>
    <w:p w14:paraId="33387A5C" w14:textId="2FD35BFC" w:rsidR="00CA4456" w:rsidRPr="00AA121F" w:rsidRDefault="00CA4456" w:rsidP="00CA4456">
      <w:pPr>
        <w:spacing w:after="0" w:line="360" w:lineRule="auto"/>
        <w:jc w:val="both"/>
        <w:rPr>
          <w:rFonts w:ascii="Arial" w:hAnsi="Arial" w:cs="Arial"/>
        </w:rPr>
      </w:pPr>
      <w:r w:rsidRPr="00AA121F">
        <w:rPr>
          <w:rFonts w:ascii="Arial" w:hAnsi="Arial" w:cs="Arial"/>
        </w:rPr>
        <w:t xml:space="preserve">‘The State’s failure to comply with the requirements of s 319 was not exclusively of its making. It was faced with an unclear judgment by the trial court and its failure to state the facts upon which it reserved the point of law. </w:t>
      </w:r>
      <w:r w:rsidRPr="00AA121F">
        <w:rPr>
          <w:rFonts w:ascii="Arial" w:hAnsi="Arial" w:cs="Arial"/>
          <w:i/>
        </w:rPr>
        <w:t>Secondly, as I shall demonstrate below, it is possible to glean the factual findings of the trial court, which give rise to the dispute over the point of law, without difficulty or contestation. And finally, as I shall also demonstrate, despite the shortcoming in its formulation of the point of law, in substance what we are concerned with here is a dispute over a point of law and not merely dispute over the trial court’s assessment of the facts. These factors cumulatively outweigh whatever prejudice the respondents may suffer by allowing the appeal to proceed</w:t>
      </w:r>
      <w:r w:rsidRPr="00AA121F">
        <w:rPr>
          <w:rFonts w:ascii="Arial" w:hAnsi="Arial" w:cs="Arial"/>
        </w:rPr>
        <w:t>.’</w:t>
      </w:r>
      <w:r w:rsidRPr="00AA121F">
        <w:rPr>
          <w:rStyle w:val="FootnoteReference"/>
          <w:rFonts w:ascii="Arial" w:hAnsi="Arial" w:cs="Arial"/>
        </w:rPr>
        <w:footnoteReference w:id="14"/>
      </w:r>
      <w:r w:rsidRPr="00AA121F">
        <w:rPr>
          <w:rFonts w:ascii="Arial" w:hAnsi="Arial" w:cs="Arial"/>
        </w:rPr>
        <w:t xml:space="preserve"> </w:t>
      </w:r>
      <w:r w:rsidR="007E10DF">
        <w:rPr>
          <w:rFonts w:ascii="Arial" w:hAnsi="Arial" w:cs="Arial"/>
        </w:rPr>
        <w:t>(</w:t>
      </w:r>
      <w:r w:rsidRPr="00AA121F">
        <w:rPr>
          <w:rFonts w:ascii="Arial" w:hAnsi="Arial" w:cs="Arial"/>
        </w:rPr>
        <w:t>Emphasis added</w:t>
      </w:r>
      <w:r w:rsidR="007E10DF">
        <w:rPr>
          <w:rFonts w:ascii="Arial" w:hAnsi="Arial" w:cs="Arial"/>
        </w:rPr>
        <w:t>.)</w:t>
      </w:r>
    </w:p>
    <w:p w14:paraId="18BAED8C" w14:textId="77777777" w:rsidR="00CA4456" w:rsidRPr="00114305" w:rsidRDefault="00CA4456" w:rsidP="0071632B">
      <w:pPr>
        <w:pStyle w:val="ListParagraph"/>
        <w:spacing w:after="0"/>
        <w:ind w:left="0"/>
        <w:rPr>
          <w:rFonts w:ascii="Arial" w:hAnsi="Arial" w:cs="Arial"/>
          <w:sz w:val="24"/>
          <w:szCs w:val="24"/>
        </w:rPr>
      </w:pPr>
    </w:p>
    <w:p w14:paraId="5637CA55" w14:textId="1F268129" w:rsidR="00CA4456" w:rsidRPr="000A643B" w:rsidRDefault="00ED4378" w:rsidP="00ED4378">
      <w:pPr>
        <w:spacing w:after="0" w:line="360" w:lineRule="auto"/>
        <w:jc w:val="both"/>
        <w:rPr>
          <w:rFonts w:ascii="Arial" w:hAnsi="Arial" w:cs="Arial"/>
          <w:sz w:val="24"/>
          <w:szCs w:val="24"/>
        </w:rPr>
      </w:pPr>
      <w:r w:rsidRPr="000A643B">
        <w:rPr>
          <w:rFonts w:ascii="Arial" w:hAnsi="Arial" w:cs="Arial"/>
          <w:sz w:val="24"/>
          <w:szCs w:val="24"/>
        </w:rPr>
        <w:t>[51]</w:t>
      </w:r>
      <w:r w:rsidRPr="000A643B">
        <w:rPr>
          <w:rFonts w:ascii="Arial" w:hAnsi="Arial" w:cs="Arial"/>
          <w:sz w:val="24"/>
          <w:szCs w:val="24"/>
        </w:rPr>
        <w:tab/>
      </w:r>
      <w:r w:rsidR="00CA4456" w:rsidRPr="000A643B">
        <w:rPr>
          <w:rFonts w:ascii="Arial" w:hAnsi="Arial" w:cs="Arial"/>
          <w:sz w:val="24"/>
          <w:szCs w:val="24"/>
        </w:rPr>
        <w:t xml:space="preserve">I do not read the line of authority, and in particular </w:t>
      </w:r>
      <w:r w:rsidR="00CA4456" w:rsidRPr="000A643B">
        <w:rPr>
          <w:rFonts w:ascii="Arial" w:hAnsi="Arial" w:cs="Arial"/>
          <w:i/>
          <w:sz w:val="24"/>
          <w:szCs w:val="24"/>
        </w:rPr>
        <w:t>Molope</w:t>
      </w:r>
      <w:r w:rsidR="000E36C9">
        <w:rPr>
          <w:rFonts w:ascii="Arial" w:hAnsi="Arial" w:cs="Arial"/>
          <w:sz w:val="24"/>
          <w:szCs w:val="24"/>
        </w:rPr>
        <w:t>,</w:t>
      </w:r>
      <w:r w:rsidR="00CA4456" w:rsidRPr="000A643B">
        <w:rPr>
          <w:rFonts w:ascii="Arial" w:hAnsi="Arial" w:cs="Arial"/>
          <w:sz w:val="24"/>
          <w:szCs w:val="24"/>
        </w:rPr>
        <w:t xml:space="preserve"> to suggest that failure by the State to set out facts fully in its s 319 application</w:t>
      </w:r>
      <w:r w:rsidR="000E36C9">
        <w:rPr>
          <w:rFonts w:ascii="Arial" w:hAnsi="Arial" w:cs="Arial"/>
          <w:sz w:val="24"/>
          <w:szCs w:val="24"/>
        </w:rPr>
        <w:t>,</w:t>
      </w:r>
      <w:r w:rsidR="00CA4456" w:rsidRPr="000A643B">
        <w:rPr>
          <w:rFonts w:ascii="Arial" w:hAnsi="Arial" w:cs="Arial"/>
          <w:sz w:val="24"/>
          <w:szCs w:val="24"/>
        </w:rPr>
        <w:t xml:space="preserve"> as explained in various judgments</w:t>
      </w:r>
      <w:r w:rsidR="000E36C9">
        <w:rPr>
          <w:rFonts w:ascii="Arial" w:hAnsi="Arial" w:cs="Arial"/>
          <w:sz w:val="24"/>
          <w:szCs w:val="24"/>
        </w:rPr>
        <w:t>,</w:t>
      </w:r>
      <w:r w:rsidR="00CA4456" w:rsidRPr="000A643B">
        <w:rPr>
          <w:rFonts w:ascii="Arial" w:hAnsi="Arial" w:cs="Arial"/>
          <w:sz w:val="24"/>
          <w:szCs w:val="24"/>
        </w:rPr>
        <w:t xml:space="preserve"> is not condonable. What is important</w:t>
      </w:r>
      <w:r w:rsidR="000E36C9">
        <w:rPr>
          <w:rFonts w:ascii="Arial" w:hAnsi="Arial" w:cs="Arial"/>
          <w:sz w:val="24"/>
          <w:szCs w:val="24"/>
        </w:rPr>
        <w:t>,</w:t>
      </w:r>
      <w:r w:rsidR="00CA4456" w:rsidRPr="000A643B">
        <w:rPr>
          <w:rFonts w:ascii="Arial" w:hAnsi="Arial" w:cs="Arial"/>
          <w:sz w:val="24"/>
          <w:szCs w:val="24"/>
        </w:rPr>
        <w:t xml:space="preserve"> in my view</w:t>
      </w:r>
      <w:r w:rsidR="000E36C9">
        <w:rPr>
          <w:rFonts w:ascii="Arial" w:hAnsi="Arial" w:cs="Arial"/>
          <w:sz w:val="24"/>
          <w:szCs w:val="24"/>
        </w:rPr>
        <w:t>,</w:t>
      </w:r>
      <w:r w:rsidR="00CA4456" w:rsidRPr="000A643B">
        <w:rPr>
          <w:rFonts w:ascii="Arial" w:hAnsi="Arial" w:cs="Arial"/>
          <w:sz w:val="24"/>
          <w:szCs w:val="24"/>
        </w:rPr>
        <w:t xml:space="preserve"> is whether the question of law sought to be reserved and the facts upon which the findings hinge can be ascertained from the judgment and the record. This case, in my view, is not one of those where the appeal court will need to trawl through the record to learn what the factual findings of the court are, inadequate as they may be. </w:t>
      </w:r>
    </w:p>
    <w:p w14:paraId="3559FABE" w14:textId="254C1E18" w:rsidR="00CA4456" w:rsidRPr="000A643B" w:rsidRDefault="00CA4456" w:rsidP="00CA4456">
      <w:pPr>
        <w:spacing w:after="0" w:line="360" w:lineRule="auto"/>
        <w:jc w:val="both"/>
        <w:rPr>
          <w:rFonts w:ascii="Arial" w:hAnsi="Arial" w:cs="Arial"/>
          <w:sz w:val="24"/>
          <w:szCs w:val="24"/>
        </w:rPr>
      </w:pPr>
      <w:r w:rsidRPr="000A643B">
        <w:rPr>
          <w:rFonts w:ascii="Arial" w:hAnsi="Arial" w:cs="Arial"/>
          <w:sz w:val="24"/>
          <w:szCs w:val="24"/>
        </w:rPr>
        <w:t xml:space="preserve"> </w:t>
      </w:r>
    </w:p>
    <w:p w14:paraId="70CDD863" w14:textId="503CC49E" w:rsidR="00CA4456" w:rsidRDefault="00ED4378" w:rsidP="00114305">
      <w:pPr>
        <w:pStyle w:val="ListParagraph"/>
        <w:spacing w:after="160" w:line="360" w:lineRule="auto"/>
        <w:ind w:left="0"/>
        <w:jc w:val="both"/>
        <w:rPr>
          <w:rFonts w:ascii="Arial" w:hAnsi="Arial" w:cs="Arial"/>
          <w:sz w:val="24"/>
          <w:szCs w:val="24"/>
        </w:rPr>
      </w:pPr>
      <w:r w:rsidRPr="000A643B">
        <w:rPr>
          <w:rFonts w:ascii="Arial" w:hAnsi="Arial" w:cs="Arial"/>
          <w:sz w:val="24"/>
          <w:szCs w:val="24"/>
        </w:rPr>
        <w:t>[52]</w:t>
      </w:r>
      <w:r w:rsidRPr="000A643B">
        <w:rPr>
          <w:rFonts w:ascii="Arial" w:hAnsi="Arial" w:cs="Arial"/>
          <w:sz w:val="24"/>
          <w:szCs w:val="24"/>
        </w:rPr>
        <w:tab/>
      </w:r>
      <w:r w:rsidR="00CA4456" w:rsidRPr="000A643B">
        <w:rPr>
          <w:rFonts w:ascii="Arial" w:hAnsi="Arial" w:cs="Arial"/>
          <w:sz w:val="24"/>
          <w:szCs w:val="24"/>
        </w:rPr>
        <w:t>Counsel for the applicant conceded that the factual findings upon which the proposed questions of law hinge were not fully set out in the application</w:t>
      </w:r>
      <w:r w:rsidR="000E36C9">
        <w:rPr>
          <w:rFonts w:ascii="Arial" w:hAnsi="Arial" w:cs="Arial"/>
          <w:sz w:val="24"/>
          <w:szCs w:val="24"/>
        </w:rPr>
        <w:t>,</w:t>
      </w:r>
      <w:r w:rsidR="00CA4456" w:rsidRPr="000A643B">
        <w:rPr>
          <w:rFonts w:ascii="Arial" w:hAnsi="Arial" w:cs="Arial"/>
          <w:sz w:val="24"/>
          <w:szCs w:val="24"/>
        </w:rPr>
        <w:t xml:space="preserve"> as required by the judgments in </w:t>
      </w:r>
      <w:r w:rsidR="00CA4456" w:rsidRPr="000A643B">
        <w:rPr>
          <w:rFonts w:ascii="Arial" w:hAnsi="Arial" w:cs="Arial"/>
          <w:i/>
          <w:sz w:val="24"/>
          <w:szCs w:val="24"/>
        </w:rPr>
        <w:t>Molope</w:t>
      </w:r>
      <w:r w:rsidR="00CA4456" w:rsidRPr="000A643B">
        <w:rPr>
          <w:rFonts w:ascii="Arial" w:hAnsi="Arial" w:cs="Arial"/>
          <w:sz w:val="24"/>
          <w:szCs w:val="24"/>
        </w:rPr>
        <w:t xml:space="preserve"> and </w:t>
      </w:r>
      <w:r w:rsidR="00CA4456" w:rsidRPr="000A643B">
        <w:rPr>
          <w:rFonts w:ascii="Arial" w:hAnsi="Arial" w:cs="Arial"/>
          <w:i/>
          <w:sz w:val="24"/>
          <w:szCs w:val="24"/>
        </w:rPr>
        <w:t>Schoeman</w:t>
      </w:r>
      <w:r w:rsidR="00CA4456" w:rsidRPr="000A643B">
        <w:rPr>
          <w:rFonts w:ascii="Arial" w:hAnsi="Arial" w:cs="Arial"/>
          <w:sz w:val="24"/>
          <w:szCs w:val="24"/>
        </w:rPr>
        <w:t xml:space="preserve">. This case, in my view, is distinguishable on the facts from </w:t>
      </w:r>
      <w:r w:rsidR="00CA4456" w:rsidRPr="000A643B">
        <w:rPr>
          <w:rFonts w:ascii="Arial" w:hAnsi="Arial" w:cs="Arial"/>
          <w:i/>
          <w:sz w:val="24"/>
          <w:szCs w:val="24"/>
        </w:rPr>
        <w:t>Schoeman</w:t>
      </w:r>
      <w:r w:rsidR="00CA4456" w:rsidRPr="000A643B">
        <w:rPr>
          <w:rFonts w:ascii="Arial" w:hAnsi="Arial" w:cs="Arial"/>
          <w:sz w:val="24"/>
          <w:szCs w:val="24"/>
        </w:rPr>
        <w:t xml:space="preserve"> and </w:t>
      </w:r>
      <w:r w:rsidR="00CA4456" w:rsidRPr="000A643B">
        <w:rPr>
          <w:rFonts w:ascii="Arial" w:hAnsi="Arial" w:cs="Arial"/>
          <w:i/>
          <w:sz w:val="24"/>
          <w:szCs w:val="24"/>
        </w:rPr>
        <w:t xml:space="preserve">Molope. </w:t>
      </w:r>
      <w:r w:rsidR="00CA4456" w:rsidRPr="000A643B">
        <w:rPr>
          <w:rFonts w:ascii="Arial" w:hAnsi="Arial" w:cs="Arial"/>
          <w:sz w:val="24"/>
          <w:szCs w:val="24"/>
        </w:rPr>
        <w:t xml:space="preserve">In </w:t>
      </w:r>
      <w:r w:rsidR="00CA4456" w:rsidRPr="000A643B">
        <w:rPr>
          <w:rFonts w:ascii="Arial" w:hAnsi="Arial" w:cs="Arial"/>
          <w:i/>
          <w:sz w:val="24"/>
          <w:szCs w:val="24"/>
        </w:rPr>
        <w:t>Schoeman</w:t>
      </w:r>
      <w:r w:rsidR="00CA4456" w:rsidRPr="000A643B">
        <w:rPr>
          <w:rFonts w:ascii="Arial" w:hAnsi="Arial" w:cs="Arial"/>
          <w:sz w:val="24"/>
          <w:szCs w:val="24"/>
        </w:rPr>
        <w:t xml:space="preserve"> and </w:t>
      </w:r>
      <w:r w:rsidR="00CA4456" w:rsidRPr="000A643B">
        <w:rPr>
          <w:rFonts w:ascii="Arial" w:hAnsi="Arial" w:cs="Arial"/>
          <w:i/>
          <w:sz w:val="24"/>
          <w:szCs w:val="24"/>
        </w:rPr>
        <w:t>Molope</w:t>
      </w:r>
      <w:r w:rsidR="000E36C9">
        <w:rPr>
          <w:rFonts w:ascii="Arial" w:hAnsi="Arial" w:cs="Arial"/>
          <w:sz w:val="24"/>
          <w:szCs w:val="24"/>
        </w:rPr>
        <w:t>,</w:t>
      </w:r>
      <w:r w:rsidR="00CA4456" w:rsidRPr="000A643B">
        <w:rPr>
          <w:rFonts w:ascii="Arial" w:hAnsi="Arial" w:cs="Arial"/>
          <w:i/>
          <w:sz w:val="24"/>
          <w:szCs w:val="24"/>
        </w:rPr>
        <w:t xml:space="preserve"> </w:t>
      </w:r>
      <w:r w:rsidR="00CA4456" w:rsidRPr="000A643B">
        <w:rPr>
          <w:rFonts w:ascii="Arial" w:hAnsi="Arial" w:cs="Arial"/>
          <w:sz w:val="24"/>
          <w:szCs w:val="24"/>
        </w:rPr>
        <w:t xml:space="preserve">factual findings underlying the conclusion </w:t>
      </w:r>
      <w:r w:rsidR="00A154CF">
        <w:rPr>
          <w:rFonts w:ascii="Arial" w:hAnsi="Arial" w:cs="Arial"/>
          <w:sz w:val="24"/>
          <w:szCs w:val="24"/>
        </w:rPr>
        <w:t xml:space="preserve">that </w:t>
      </w:r>
      <w:r w:rsidR="00CA4456" w:rsidRPr="000A643B">
        <w:rPr>
          <w:rFonts w:ascii="Arial" w:hAnsi="Arial" w:cs="Arial"/>
          <w:sz w:val="24"/>
          <w:szCs w:val="24"/>
        </w:rPr>
        <w:t xml:space="preserve">the court reached in those cases were found to be unclear. In that sense, facts had to be clarified in order to adjudicate the correctness of the decision. In the </w:t>
      </w:r>
      <w:r w:rsidR="006317E6" w:rsidRPr="000A643B">
        <w:rPr>
          <w:rFonts w:ascii="Arial" w:hAnsi="Arial" w:cs="Arial"/>
          <w:sz w:val="24"/>
          <w:szCs w:val="24"/>
        </w:rPr>
        <w:t>present case</w:t>
      </w:r>
      <w:r w:rsidR="006317E6">
        <w:rPr>
          <w:rFonts w:ascii="Arial" w:hAnsi="Arial" w:cs="Arial"/>
          <w:sz w:val="24"/>
          <w:szCs w:val="24"/>
        </w:rPr>
        <w:t>, however,</w:t>
      </w:r>
      <w:r w:rsidR="006317E6" w:rsidRPr="000A643B">
        <w:rPr>
          <w:rFonts w:ascii="Arial" w:hAnsi="Arial" w:cs="Arial"/>
          <w:sz w:val="24"/>
          <w:szCs w:val="24"/>
        </w:rPr>
        <w:t xml:space="preserve"> </w:t>
      </w:r>
      <w:r w:rsidR="00CA4456" w:rsidRPr="000A643B">
        <w:rPr>
          <w:rFonts w:ascii="Arial" w:hAnsi="Arial" w:cs="Arial"/>
          <w:sz w:val="24"/>
          <w:szCs w:val="24"/>
        </w:rPr>
        <w:t xml:space="preserve">the facts are clear. The trial court’s conclusions giving rise to the query over the points of law raised can be clearly gleaned from the judgment without any difficulty. </w:t>
      </w:r>
    </w:p>
    <w:p w14:paraId="464FB46B" w14:textId="77777777" w:rsidR="00114305" w:rsidRPr="00114305" w:rsidRDefault="00114305" w:rsidP="00114305">
      <w:pPr>
        <w:pStyle w:val="ListParagraph"/>
        <w:spacing w:after="160" w:line="360" w:lineRule="auto"/>
        <w:ind w:left="0"/>
        <w:jc w:val="both"/>
        <w:rPr>
          <w:rFonts w:ascii="Arial" w:hAnsi="Arial" w:cs="Arial"/>
          <w:sz w:val="24"/>
          <w:szCs w:val="24"/>
        </w:rPr>
      </w:pPr>
    </w:p>
    <w:p w14:paraId="23F34CAC" w14:textId="3C4D9FCE" w:rsidR="00CA4456" w:rsidRPr="000A643B" w:rsidRDefault="00ED4378" w:rsidP="00ED4378">
      <w:pPr>
        <w:pStyle w:val="ListParagraph"/>
        <w:spacing w:after="0" w:line="360" w:lineRule="auto"/>
        <w:ind w:left="0"/>
        <w:jc w:val="both"/>
        <w:rPr>
          <w:rFonts w:ascii="Arial" w:hAnsi="Arial" w:cs="Arial"/>
          <w:sz w:val="24"/>
          <w:szCs w:val="24"/>
        </w:rPr>
      </w:pPr>
      <w:r w:rsidRPr="000A643B">
        <w:rPr>
          <w:rFonts w:ascii="Arial" w:hAnsi="Arial" w:cs="Arial"/>
          <w:sz w:val="24"/>
          <w:szCs w:val="24"/>
        </w:rPr>
        <w:t>[53]</w:t>
      </w:r>
      <w:r w:rsidRPr="000A643B">
        <w:rPr>
          <w:rFonts w:ascii="Arial" w:hAnsi="Arial" w:cs="Arial"/>
          <w:sz w:val="24"/>
          <w:szCs w:val="24"/>
        </w:rPr>
        <w:tab/>
      </w:r>
      <w:r w:rsidR="00CA4456" w:rsidRPr="000A643B">
        <w:rPr>
          <w:rFonts w:ascii="Arial" w:hAnsi="Arial" w:cs="Arial"/>
          <w:sz w:val="24"/>
          <w:szCs w:val="24"/>
        </w:rPr>
        <w:t xml:space="preserve">The thrust of the trial court’s findings was that there was no prior agreement established on the facts. The facts pointed out being the evidence led by Chabi on the </w:t>
      </w:r>
      <w:r w:rsidR="00CA4456" w:rsidRPr="000A643B">
        <w:rPr>
          <w:rFonts w:ascii="Arial" w:hAnsi="Arial" w:cs="Arial"/>
          <w:sz w:val="24"/>
          <w:szCs w:val="24"/>
        </w:rPr>
        <w:lastRenderedPageBreak/>
        <w:t xml:space="preserve">fact that he and the respondent had an agreement to rob the deceased’s vehicle the day before the incident. That is central to the entire judgment. The following key findings are apparent in the trial court’s judgment: </w:t>
      </w:r>
    </w:p>
    <w:p w14:paraId="47D11BF4" w14:textId="77777777" w:rsidR="00CA4456" w:rsidRPr="000A643B" w:rsidRDefault="00CA4456" w:rsidP="00CA4456">
      <w:pPr>
        <w:spacing w:after="0" w:line="360" w:lineRule="auto"/>
        <w:contextualSpacing/>
        <w:jc w:val="both"/>
        <w:rPr>
          <w:rFonts w:ascii="Arial" w:hAnsi="Arial" w:cs="Arial"/>
        </w:rPr>
      </w:pPr>
      <w:r w:rsidRPr="000A643B">
        <w:rPr>
          <w:rFonts w:ascii="Arial" w:hAnsi="Arial" w:cs="Arial"/>
        </w:rPr>
        <w:t>‘[95] It is quite clear that the evidence by Keorapetse Shabalala in terms of an agreement between him and the accused falls within the ambit of section 208. Keorapetse Shabalala was the only witness by the state that can testify about an agreement that existed between himself and the accused.</w:t>
      </w:r>
    </w:p>
    <w:p w14:paraId="3C2A45B2" w14:textId="77777777" w:rsidR="00CA4456" w:rsidRPr="000A643B" w:rsidRDefault="00CA4456" w:rsidP="00CA4456">
      <w:pPr>
        <w:spacing w:after="0" w:line="360" w:lineRule="auto"/>
        <w:contextualSpacing/>
        <w:jc w:val="both"/>
        <w:rPr>
          <w:rFonts w:ascii="Arial" w:hAnsi="Arial" w:cs="Arial"/>
        </w:rPr>
      </w:pPr>
      <w:r w:rsidRPr="000A643B">
        <w:rPr>
          <w:rFonts w:ascii="Arial" w:hAnsi="Arial" w:cs="Arial"/>
        </w:rPr>
        <w:t>[. . .]</w:t>
      </w:r>
    </w:p>
    <w:p w14:paraId="3CC08047" w14:textId="77777777" w:rsidR="00CA4456" w:rsidRPr="000A643B" w:rsidRDefault="00CA4456" w:rsidP="00CA4456">
      <w:pPr>
        <w:spacing w:after="0" w:line="360" w:lineRule="auto"/>
        <w:contextualSpacing/>
        <w:jc w:val="both"/>
        <w:rPr>
          <w:rFonts w:ascii="Arial" w:hAnsi="Arial" w:cs="Arial"/>
        </w:rPr>
      </w:pPr>
      <w:r w:rsidRPr="000A643B">
        <w:rPr>
          <w:rFonts w:ascii="Arial" w:hAnsi="Arial" w:cs="Arial"/>
        </w:rPr>
        <w:t xml:space="preserve">[99] . . . The present case clearly demonstrates that the existence or non-existence of an agreement to rob the deceased of her motor vehicle, was allegedly found on a private and personal agreement between the accused and Keorapetse Shabalala, without any knowledge of third parties. This clearly excludes the evidence alliunde and the court has to be almost exclusively reliant on a credibility finding of the accused and Keorapetse Shabalala, including an assessment of probabilities. </w:t>
      </w:r>
    </w:p>
    <w:p w14:paraId="4005E9A0" w14:textId="77777777" w:rsidR="00CA4456" w:rsidRPr="000A643B" w:rsidRDefault="00CA4456" w:rsidP="00CA4456">
      <w:pPr>
        <w:spacing w:after="0" w:line="360" w:lineRule="auto"/>
        <w:contextualSpacing/>
        <w:jc w:val="both"/>
        <w:rPr>
          <w:rFonts w:ascii="Arial" w:hAnsi="Arial" w:cs="Arial"/>
        </w:rPr>
      </w:pPr>
      <w:r w:rsidRPr="000A643B">
        <w:rPr>
          <w:rFonts w:ascii="Arial" w:hAnsi="Arial" w:cs="Arial"/>
        </w:rPr>
        <w:t xml:space="preserve">[. . .] </w:t>
      </w:r>
    </w:p>
    <w:p w14:paraId="3DE0840E" w14:textId="50930B67" w:rsidR="00CA4456" w:rsidRPr="000A643B" w:rsidRDefault="00CA4456" w:rsidP="00CA4456">
      <w:pPr>
        <w:spacing w:after="0" w:line="360" w:lineRule="auto"/>
        <w:contextualSpacing/>
        <w:jc w:val="both"/>
        <w:rPr>
          <w:rFonts w:ascii="Arial" w:hAnsi="Arial" w:cs="Arial"/>
        </w:rPr>
      </w:pPr>
      <w:r w:rsidRPr="000A643B">
        <w:rPr>
          <w:rFonts w:ascii="Arial" w:hAnsi="Arial" w:cs="Arial"/>
        </w:rPr>
        <w:t xml:space="preserve">[102] This court is clearly seized with the dilemma that to find the existence or non-existence of an agreement between the accused and Keorapetse Shabalala. It would be important for this court to compare the nature and quality of the evidence of Keorapetse Shabalala with that of the accused. This court draws some sol[a]ce from the matter of </w:t>
      </w:r>
      <w:r w:rsidRPr="00B0446D">
        <w:rPr>
          <w:rFonts w:ascii="Arial" w:hAnsi="Arial" w:cs="Arial"/>
          <w:i/>
        </w:rPr>
        <w:t>S v Maake</w:t>
      </w:r>
      <w:r w:rsidRPr="000A643B">
        <w:rPr>
          <w:rStyle w:val="FootnoteReference"/>
          <w:rFonts w:ascii="Arial" w:hAnsi="Arial" w:cs="Arial"/>
        </w:rPr>
        <w:footnoteReference w:id="15"/>
      </w:r>
      <w:r w:rsidRPr="000A643B">
        <w:rPr>
          <w:rFonts w:ascii="Arial" w:hAnsi="Arial" w:cs="Arial"/>
        </w:rPr>
        <w:t xml:space="preserve"> where the court was satisfied that the magistrate had properly, cautiously and correctly approached the evidence of both the appellant and the complainant. His reasoning could not be faulted. He properly assessed the quality and nature of the complainant’s evidence as well as the fact that her version of the events immediately after the alleged rape had been corroborated in material respects by an independent witness. This court however does not have the benefit of an independent witness when it comes to the existence or non-existence of an intimate agreement to kill the deceased and to take her motor vehicle and certain movable assets.</w:t>
      </w:r>
    </w:p>
    <w:p w14:paraId="6936DA43" w14:textId="77777777" w:rsidR="00CA4456" w:rsidRPr="000A643B" w:rsidRDefault="00CA4456" w:rsidP="00CA4456">
      <w:pPr>
        <w:spacing w:after="0" w:line="360" w:lineRule="auto"/>
        <w:contextualSpacing/>
        <w:jc w:val="both"/>
        <w:rPr>
          <w:rFonts w:ascii="Arial" w:hAnsi="Arial" w:cs="Arial"/>
        </w:rPr>
      </w:pPr>
      <w:r w:rsidRPr="000A643B">
        <w:rPr>
          <w:rFonts w:ascii="Arial" w:hAnsi="Arial" w:cs="Arial"/>
        </w:rPr>
        <w:t>[. . .]</w:t>
      </w:r>
    </w:p>
    <w:p w14:paraId="7860199F" w14:textId="6D6CD79A" w:rsidR="00CA4456" w:rsidRPr="000A643B" w:rsidRDefault="00CA4456" w:rsidP="00CA4456">
      <w:pPr>
        <w:spacing w:after="0" w:line="360" w:lineRule="auto"/>
        <w:contextualSpacing/>
        <w:jc w:val="both"/>
        <w:rPr>
          <w:rFonts w:ascii="Arial" w:eastAsiaTheme="minorEastAsia" w:hAnsi="Arial" w:cs="Arial"/>
        </w:rPr>
      </w:pPr>
      <w:r w:rsidRPr="000A643B">
        <w:rPr>
          <w:rFonts w:ascii="Arial" w:hAnsi="Arial" w:cs="Arial"/>
        </w:rPr>
        <w:t xml:space="preserve">[123]. There were also inconsistencies and contradictions in the evidence of the accused. Most prominently </w:t>
      </w:r>
      <w:r w:rsidR="00A154CF">
        <w:rPr>
          <w:rFonts w:ascii="Arial" w:hAnsi="Arial" w:cs="Arial"/>
        </w:rPr>
        <w:t xml:space="preserve">are </w:t>
      </w:r>
      <w:r w:rsidRPr="000A643B">
        <w:rPr>
          <w:rFonts w:ascii="Arial" w:hAnsi="Arial" w:cs="Arial"/>
        </w:rPr>
        <w:t xml:space="preserve">those that relat[e] to the fact that he never tried to disassociate himself with the commission of the crime. He however told the court that he was scared of Chabi. It was furthermore strange to the court that when Chabi eventually dropped him off close to his house in Elandsrand he still did not confide in his parents nor the police about what happened. He however gave the court some explanation of the reasons why he did not disassociate. He testified that he feared for his life and that of his family. He furthermore rationalized that he has </w:t>
      </w:r>
      <w:r w:rsidRPr="000A643B">
        <w:rPr>
          <w:rFonts w:ascii="Arial" w:hAnsi="Arial" w:cs="Arial"/>
        </w:rPr>
        <w:lastRenderedPageBreak/>
        <w:t xml:space="preserve">only one subject left to write examination on whereafter he and his family is going to move to Rustenburg and that would be the best way to come clean on this issue. </w:t>
      </w:r>
    </w:p>
    <w:p w14:paraId="19C3EE70" w14:textId="352C4A25" w:rsidR="00CA4456" w:rsidRPr="000A643B" w:rsidRDefault="00CA4456" w:rsidP="00CA4456">
      <w:pPr>
        <w:spacing w:after="0" w:line="360" w:lineRule="auto"/>
        <w:contextualSpacing/>
        <w:jc w:val="both"/>
        <w:rPr>
          <w:rFonts w:ascii="Arial" w:hAnsi="Arial" w:cs="Arial"/>
        </w:rPr>
      </w:pPr>
      <w:r w:rsidRPr="000A643B">
        <w:rPr>
          <w:rFonts w:ascii="Arial" w:hAnsi="Arial" w:cs="Arial"/>
        </w:rPr>
        <w:t>[. . .]</w:t>
      </w:r>
    </w:p>
    <w:p w14:paraId="0C9EF3F7" w14:textId="77777777" w:rsidR="00CA4456" w:rsidRPr="000A643B" w:rsidRDefault="00CA4456" w:rsidP="00CA4456">
      <w:pPr>
        <w:spacing w:after="0" w:line="360" w:lineRule="auto"/>
        <w:contextualSpacing/>
        <w:jc w:val="both"/>
        <w:rPr>
          <w:rFonts w:ascii="Arial" w:hAnsi="Arial" w:cs="Arial"/>
        </w:rPr>
      </w:pPr>
      <w:r w:rsidRPr="000A643B">
        <w:rPr>
          <w:rFonts w:ascii="Arial" w:hAnsi="Arial" w:cs="Arial"/>
        </w:rPr>
        <w:t>[127] In the end I find that the state did not prove its case beyond reasonable doubt. I reject the version of the state witness, Keorapetse Shabalala, insofar as he testified about the existence of an agreement between himself and the accused to take the motor vehicle of the deceased. His testimony was riddled with inconsistencies and contradictions in terms of the alleged agreement between himself and the accused on material aspects.</w:t>
      </w:r>
    </w:p>
    <w:p w14:paraId="490203D3" w14:textId="5765852C" w:rsidR="00CA4456" w:rsidRPr="000A643B" w:rsidRDefault="00CA4456" w:rsidP="00CA4456">
      <w:pPr>
        <w:spacing w:after="0" w:line="360" w:lineRule="auto"/>
        <w:contextualSpacing/>
        <w:jc w:val="both"/>
        <w:rPr>
          <w:rFonts w:ascii="Arial" w:hAnsi="Arial" w:cs="Arial"/>
        </w:rPr>
      </w:pPr>
      <w:r w:rsidRPr="000A643B">
        <w:rPr>
          <w:rFonts w:ascii="Arial" w:hAnsi="Arial" w:cs="Arial"/>
        </w:rPr>
        <w:t>[128] The above coupled with the fact that Keorapetse Shabalala was a single witness, that presuppose a cautionary rule on this court, the court, on the totality of the evidence finds that the accused is not guilty on all the charges against him.’</w:t>
      </w:r>
    </w:p>
    <w:p w14:paraId="223E4B4A" w14:textId="77777777" w:rsidR="00CA4456" w:rsidRPr="00114305" w:rsidRDefault="00CA4456" w:rsidP="00B97E08">
      <w:pPr>
        <w:pStyle w:val="ListParagraph"/>
        <w:ind w:left="0"/>
        <w:rPr>
          <w:rFonts w:ascii="Arial" w:hAnsi="Arial" w:cs="Arial"/>
          <w:sz w:val="24"/>
          <w:szCs w:val="24"/>
        </w:rPr>
      </w:pPr>
    </w:p>
    <w:p w14:paraId="4ADB19D8" w14:textId="4BDD6C5B" w:rsidR="00CA4456" w:rsidRPr="00320674" w:rsidRDefault="008B2527" w:rsidP="008B2527">
      <w:pPr>
        <w:pStyle w:val="ListParagraph"/>
        <w:spacing w:after="0" w:line="360" w:lineRule="auto"/>
        <w:ind w:left="0"/>
        <w:jc w:val="both"/>
        <w:rPr>
          <w:rFonts w:ascii="Arial" w:hAnsi="Arial" w:cs="Arial"/>
          <w:sz w:val="24"/>
          <w:szCs w:val="24"/>
        </w:rPr>
      </w:pPr>
      <w:r w:rsidRPr="00320674">
        <w:rPr>
          <w:rFonts w:ascii="Arial" w:hAnsi="Arial" w:cs="Arial"/>
          <w:sz w:val="24"/>
          <w:szCs w:val="24"/>
        </w:rPr>
        <w:t>[54]</w:t>
      </w:r>
      <w:r w:rsidRPr="00320674">
        <w:rPr>
          <w:rFonts w:ascii="Arial" w:hAnsi="Arial" w:cs="Arial"/>
          <w:sz w:val="24"/>
          <w:szCs w:val="24"/>
        </w:rPr>
        <w:tab/>
      </w:r>
      <w:r w:rsidR="00CA4456" w:rsidRPr="00320674">
        <w:rPr>
          <w:rFonts w:ascii="Arial" w:hAnsi="Arial" w:cs="Arial"/>
          <w:sz w:val="24"/>
          <w:szCs w:val="24"/>
        </w:rPr>
        <w:t>To the extent that there were any inadequacies in setting out the facts in the trial court’s main judgment, in its judgment refusing the reservation of the point of law (refusal judgment), the trial court set out the facts upon which its findings were based in para 35 as follows:</w:t>
      </w:r>
    </w:p>
    <w:p w14:paraId="527B43A4" w14:textId="7F111CB7" w:rsidR="00CA4456" w:rsidRPr="00320674" w:rsidRDefault="00CA4456" w:rsidP="00CA4456">
      <w:pPr>
        <w:pStyle w:val="ListParagraph"/>
        <w:spacing w:line="360" w:lineRule="auto"/>
        <w:ind w:left="0"/>
        <w:jc w:val="both"/>
        <w:rPr>
          <w:rFonts w:ascii="Arial" w:hAnsi="Arial" w:cs="Arial"/>
        </w:rPr>
      </w:pPr>
      <w:r w:rsidRPr="00320674">
        <w:rPr>
          <w:rFonts w:ascii="Arial" w:hAnsi="Arial" w:cs="Arial"/>
        </w:rPr>
        <w:t>‘It was in fact the objective evidence in its totality that played a major role in the trial court rejecting Chabi’s version of the existence of an agreement between himself and the accused</w:t>
      </w:r>
      <w:r w:rsidR="00E36F7B">
        <w:rPr>
          <w:rFonts w:ascii="Arial" w:hAnsi="Arial" w:cs="Arial"/>
        </w:rPr>
        <w:t>.</w:t>
      </w:r>
      <w:r w:rsidRPr="00320674">
        <w:rPr>
          <w:rFonts w:ascii="Arial" w:hAnsi="Arial" w:cs="Arial"/>
        </w:rPr>
        <w:t xml:space="preserve"> </w:t>
      </w:r>
      <w:r w:rsidR="00B4336C">
        <w:rPr>
          <w:rFonts w:ascii="Arial" w:hAnsi="Arial" w:cs="Arial"/>
        </w:rPr>
        <w:t>I</w:t>
      </w:r>
      <w:r w:rsidRPr="00320674">
        <w:rPr>
          <w:rFonts w:ascii="Arial" w:hAnsi="Arial" w:cs="Arial"/>
        </w:rPr>
        <w:t xml:space="preserve">n this regard Chabi’s evidence was of a very poor quality. The objective evidence that refuted Chabi’s version are, but not limited to, the following: </w:t>
      </w:r>
    </w:p>
    <w:p w14:paraId="5DDED20D" w14:textId="77777777" w:rsidR="00CA4456" w:rsidRPr="00320674" w:rsidRDefault="00CA4456" w:rsidP="00CA4456">
      <w:pPr>
        <w:pStyle w:val="ListParagraph"/>
        <w:spacing w:line="360" w:lineRule="auto"/>
        <w:ind w:left="0"/>
        <w:jc w:val="both"/>
        <w:rPr>
          <w:rFonts w:ascii="Arial" w:hAnsi="Arial" w:cs="Arial"/>
        </w:rPr>
      </w:pPr>
      <w:r w:rsidRPr="00320674">
        <w:rPr>
          <w:rFonts w:ascii="Arial" w:hAnsi="Arial" w:cs="Arial"/>
        </w:rPr>
        <w:t>35.1 The material contradictions in the evidence of Chabi when it relates to the reason why they needed the vehicle of the deceased’s. See in this regard paragraph [110] and [117] of the judgment.</w:t>
      </w:r>
    </w:p>
    <w:p w14:paraId="482D3701" w14:textId="77777777" w:rsidR="00CA4456" w:rsidRPr="00320674" w:rsidRDefault="00CA4456" w:rsidP="00CA4456">
      <w:pPr>
        <w:pStyle w:val="ListParagraph"/>
        <w:spacing w:line="360" w:lineRule="auto"/>
        <w:ind w:left="0"/>
        <w:jc w:val="both"/>
        <w:rPr>
          <w:rFonts w:ascii="Arial" w:hAnsi="Arial" w:cs="Arial"/>
        </w:rPr>
      </w:pPr>
      <w:r w:rsidRPr="00320674">
        <w:rPr>
          <w:rFonts w:ascii="Arial" w:hAnsi="Arial" w:cs="Arial"/>
        </w:rPr>
        <w:t>35.2 The version of Chabi that he shot the deceased in self-defence is highly unlikely.</w:t>
      </w:r>
    </w:p>
    <w:p w14:paraId="09A40BFD" w14:textId="77777777" w:rsidR="00CA4456" w:rsidRPr="00320674" w:rsidRDefault="00CA4456" w:rsidP="00CA4456">
      <w:pPr>
        <w:pStyle w:val="ListParagraph"/>
        <w:spacing w:line="360" w:lineRule="auto"/>
        <w:ind w:left="0"/>
        <w:jc w:val="both"/>
        <w:rPr>
          <w:rFonts w:ascii="Arial" w:hAnsi="Arial" w:cs="Arial"/>
        </w:rPr>
      </w:pPr>
      <w:r w:rsidRPr="00320674">
        <w:rPr>
          <w:rFonts w:ascii="Arial" w:hAnsi="Arial" w:cs="Arial"/>
        </w:rPr>
        <w:t>35.3 Evidence by the accused that Chabi bullied him, which was to some extent corroborated by witnesses and more specifically, Mr Chris Benade and Mrs Mohau Grootboom.</w:t>
      </w:r>
    </w:p>
    <w:p w14:paraId="756CAE97" w14:textId="77777777" w:rsidR="00CA4456" w:rsidRPr="00320674" w:rsidRDefault="00CA4456" w:rsidP="00CA4456">
      <w:pPr>
        <w:pStyle w:val="ListParagraph"/>
        <w:spacing w:line="360" w:lineRule="auto"/>
        <w:ind w:left="0"/>
        <w:jc w:val="both"/>
        <w:rPr>
          <w:rFonts w:ascii="Arial" w:hAnsi="Arial" w:cs="Arial"/>
        </w:rPr>
      </w:pPr>
      <w:r w:rsidRPr="00320674">
        <w:rPr>
          <w:rFonts w:ascii="Arial" w:hAnsi="Arial" w:cs="Arial"/>
        </w:rPr>
        <w:t>35.4 The fact that Chabi stated that after they asked the witness, Andries Van der Walt, for the masking tape they went back to class, was clearly a lie. See in this regard paragraph [107] point 6 of Chabi’s guilty plea. Also paragraph [111] of the judgment.</w:t>
      </w:r>
    </w:p>
    <w:p w14:paraId="6572D435" w14:textId="77777777" w:rsidR="00CA4456" w:rsidRPr="00320674" w:rsidRDefault="00CA4456" w:rsidP="00CA4456">
      <w:pPr>
        <w:pStyle w:val="ListParagraph"/>
        <w:spacing w:line="360" w:lineRule="auto"/>
        <w:ind w:left="0"/>
        <w:jc w:val="both"/>
        <w:rPr>
          <w:rFonts w:ascii="Arial" w:hAnsi="Arial" w:cs="Arial"/>
        </w:rPr>
      </w:pPr>
      <w:r w:rsidRPr="00320674">
        <w:rPr>
          <w:rFonts w:ascii="Arial" w:hAnsi="Arial" w:cs="Arial"/>
        </w:rPr>
        <w:t xml:space="preserve">35.5 Chabi in his </w:t>
      </w:r>
      <w:r w:rsidRPr="00B0446D">
        <w:rPr>
          <w:rFonts w:ascii="Arial" w:hAnsi="Arial" w:cs="Arial"/>
          <w:i/>
        </w:rPr>
        <w:t>viva voce</w:t>
      </w:r>
      <w:r w:rsidRPr="00320674">
        <w:rPr>
          <w:rFonts w:ascii="Arial" w:hAnsi="Arial" w:cs="Arial"/>
        </w:rPr>
        <w:t xml:space="preserve"> evidence said he tried to deceive the police by intentionally handing the wrong tape to the police. See paragraph [115] of the judgment.</w:t>
      </w:r>
    </w:p>
    <w:p w14:paraId="0143F11D" w14:textId="206A7004" w:rsidR="00CA4456" w:rsidRPr="00AF06FA" w:rsidRDefault="00CA4456" w:rsidP="00CA4456">
      <w:pPr>
        <w:pStyle w:val="ListParagraph"/>
        <w:spacing w:line="360" w:lineRule="auto"/>
        <w:ind w:left="0"/>
        <w:jc w:val="both"/>
        <w:rPr>
          <w:rFonts w:ascii="Arial" w:hAnsi="Arial" w:cs="Arial"/>
          <w:sz w:val="24"/>
          <w:szCs w:val="24"/>
        </w:rPr>
      </w:pPr>
      <w:r w:rsidRPr="00320674">
        <w:rPr>
          <w:rFonts w:ascii="Arial" w:hAnsi="Arial" w:cs="Arial"/>
        </w:rPr>
        <w:t xml:space="preserve">35.6 Finally, W/O M.B. Mmatli testified that Chabi’s father stated that Chabi admitted that the accused pulled the trigger of the firearm that killed the deceased. Chabi </w:t>
      </w:r>
      <w:r w:rsidR="00A154CF">
        <w:rPr>
          <w:rFonts w:ascii="Arial" w:hAnsi="Arial" w:cs="Arial"/>
        </w:rPr>
        <w:t xml:space="preserve">only </w:t>
      </w:r>
      <w:r w:rsidRPr="00320674">
        <w:rPr>
          <w:rFonts w:ascii="Arial" w:hAnsi="Arial" w:cs="Arial"/>
        </w:rPr>
        <w:t xml:space="preserve">later confessed that he pulled the trigger. See paragraph [43] of the judgment.’  </w:t>
      </w:r>
      <w:r w:rsidRPr="00AF06FA">
        <w:rPr>
          <w:rFonts w:ascii="Arial" w:hAnsi="Arial" w:cs="Arial"/>
          <w:vanish/>
          <w:sz w:val="24"/>
          <w:szCs w:val="24"/>
        </w:rPr>
        <w:t xml:space="preserve">    </w:t>
      </w:r>
    </w:p>
    <w:p w14:paraId="6FBEA914" w14:textId="7AC95099" w:rsidR="00CA4456" w:rsidRPr="00B0446D" w:rsidRDefault="00CA4456" w:rsidP="00114305">
      <w:pPr>
        <w:pStyle w:val="ListParagraph"/>
        <w:spacing w:after="0" w:line="360" w:lineRule="auto"/>
        <w:ind w:left="0"/>
        <w:jc w:val="both"/>
        <w:rPr>
          <w:rFonts w:ascii="Arial" w:hAnsi="Arial" w:cs="Arial"/>
          <w:sz w:val="24"/>
          <w:szCs w:val="24"/>
        </w:rPr>
      </w:pPr>
      <w:r w:rsidRPr="00320674">
        <w:rPr>
          <w:rFonts w:ascii="Arial" w:hAnsi="Arial" w:cs="Arial"/>
          <w:sz w:val="24"/>
          <w:szCs w:val="24"/>
        </w:rPr>
        <w:t xml:space="preserve">Based on what is stated above, I am of the view that non-compliance with the requirements should be condoned. </w:t>
      </w:r>
    </w:p>
    <w:p w14:paraId="00694EA1" w14:textId="032A097E" w:rsidR="00CA4456" w:rsidRPr="00B64C25" w:rsidRDefault="00566B48" w:rsidP="00566B48">
      <w:pPr>
        <w:pStyle w:val="ListParagraph"/>
        <w:spacing w:after="0" w:line="360" w:lineRule="auto"/>
        <w:ind w:left="0"/>
        <w:jc w:val="both"/>
        <w:rPr>
          <w:rFonts w:ascii="Arial" w:hAnsi="Arial" w:cs="Arial"/>
          <w:sz w:val="24"/>
          <w:szCs w:val="24"/>
        </w:rPr>
      </w:pPr>
      <w:r w:rsidRPr="00B64C25">
        <w:rPr>
          <w:rFonts w:ascii="Arial" w:hAnsi="Arial" w:cs="Arial"/>
          <w:sz w:val="24"/>
          <w:szCs w:val="24"/>
        </w:rPr>
        <w:lastRenderedPageBreak/>
        <w:t>[55]</w:t>
      </w:r>
      <w:r w:rsidRPr="00B64C25">
        <w:rPr>
          <w:rFonts w:ascii="Arial" w:hAnsi="Arial" w:cs="Arial"/>
          <w:sz w:val="24"/>
          <w:szCs w:val="24"/>
        </w:rPr>
        <w:tab/>
      </w:r>
      <w:r w:rsidR="00CA4456" w:rsidRPr="00B64C25">
        <w:rPr>
          <w:rFonts w:ascii="Arial" w:hAnsi="Arial" w:cs="Arial"/>
          <w:sz w:val="24"/>
          <w:szCs w:val="24"/>
        </w:rPr>
        <w:t>I now turn to consider the merits. While the applicant put forward four points of law, there are in essence only two questions worth considering in my view</w:t>
      </w:r>
      <w:r w:rsidR="00FE726D">
        <w:rPr>
          <w:rFonts w:ascii="Arial" w:hAnsi="Arial" w:cs="Arial"/>
          <w:sz w:val="24"/>
          <w:szCs w:val="24"/>
        </w:rPr>
        <w:t>:</w:t>
      </w:r>
      <w:r w:rsidR="00CA4456" w:rsidRPr="00B64C25">
        <w:rPr>
          <w:rFonts w:ascii="Arial" w:hAnsi="Arial" w:cs="Arial"/>
          <w:sz w:val="24"/>
          <w:szCs w:val="24"/>
        </w:rPr>
        <w:t xml:space="preserve"> First</w:t>
      </w:r>
      <w:r w:rsidR="00114305">
        <w:rPr>
          <w:rFonts w:ascii="Arial" w:hAnsi="Arial" w:cs="Arial"/>
          <w:sz w:val="24"/>
          <w:szCs w:val="24"/>
        </w:rPr>
        <w:t>,</w:t>
      </w:r>
      <w:r w:rsidR="00CA4456" w:rsidRPr="00B64C25">
        <w:rPr>
          <w:rFonts w:ascii="Arial" w:hAnsi="Arial" w:cs="Arial"/>
          <w:sz w:val="24"/>
          <w:szCs w:val="24"/>
        </w:rPr>
        <w:t xml:space="preserve"> whether the trial court erred in law by focusing solely on the question of prior agreement as an element of common purpose to the exclusion of other elements</w:t>
      </w:r>
      <w:r w:rsidR="00FE726D">
        <w:rPr>
          <w:rFonts w:ascii="Arial" w:hAnsi="Arial" w:cs="Arial"/>
          <w:sz w:val="24"/>
          <w:szCs w:val="24"/>
        </w:rPr>
        <w:t>,</w:t>
      </w:r>
      <w:r w:rsidR="00CA4456" w:rsidRPr="00B64C25">
        <w:rPr>
          <w:rFonts w:ascii="Arial" w:hAnsi="Arial" w:cs="Arial"/>
          <w:sz w:val="24"/>
          <w:szCs w:val="24"/>
        </w:rPr>
        <w:t xml:space="preserve"> and in the process purposely excluding other evidence; second, whether the trial court’s failure to assess and make a finding that the respondent’s version was reasonably possibly true</w:t>
      </w:r>
      <w:r w:rsidR="00FE726D">
        <w:rPr>
          <w:rFonts w:ascii="Arial" w:hAnsi="Arial" w:cs="Arial"/>
          <w:sz w:val="24"/>
          <w:szCs w:val="24"/>
        </w:rPr>
        <w:t>,</w:t>
      </w:r>
      <w:r w:rsidR="00CA4456" w:rsidRPr="00B64C25">
        <w:rPr>
          <w:rFonts w:ascii="Arial" w:hAnsi="Arial" w:cs="Arial"/>
          <w:sz w:val="24"/>
          <w:szCs w:val="24"/>
        </w:rPr>
        <w:t xml:space="preserve"> and fell within the scope of the defence of necessity</w:t>
      </w:r>
      <w:r w:rsidR="00FE726D">
        <w:rPr>
          <w:rFonts w:ascii="Arial" w:hAnsi="Arial" w:cs="Arial"/>
          <w:sz w:val="24"/>
          <w:szCs w:val="24"/>
        </w:rPr>
        <w:t>,</w:t>
      </w:r>
      <w:r w:rsidR="00CA4456" w:rsidRPr="00B64C25">
        <w:rPr>
          <w:rFonts w:ascii="Arial" w:hAnsi="Arial" w:cs="Arial"/>
          <w:sz w:val="24"/>
          <w:szCs w:val="24"/>
        </w:rPr>
        <w:t xml:space="preserve"> amounted to an  error of law. These are the fourth and the second questions the applicant seeks to reserve. The first and third questions are questions of fact. I will accordingly not deliberate on them any further.  </w:t>
      </w:r>
    </w:p>
    <w:p w14:paraId="62FA3700" w14:textId="77777777" w:rsidR="00CA4456" w:rsidRPr="00B0446D" w:rsidRDefault="00CA4456" w:rsidP="00CA4456">
      <w:pPr>
        <w:spacing w:after="0" w:line="360" w:lineRule="auto"/>
        <w:contextualSpacing/>
        <w:jc w:val="both"/>
        <w:rPr>
          <w:rFonts w:ascii="Arial" w:hAnsi="Arial" w:cs="Arial"/>
          <w:sz w:val="24"/>
          <w:szCs w:val="24"/>
        </w:rPr>
      </w:pPr>
    </w:p>
    <w:p w14:paraId="341CE3E7" w14:textId="0C6C6306" w:rsidR="00CA4456" w:rsidRPr="00B64C25" w:rsidRDefault="00B64C25" w:rsidP="00B64C25">
      <w:pPr>
        <w:pStyle w:val="ListParagraph"/>
        <w:spacing w:after="0" w:line="360" w:lineRule="auto"/>
        <w:ind w:left="0"/>
        <w:jc w:val="both"/>
        <w:rPr>
          <w:rFonts w:ascii="Arial" w:hAnsi="Arial" w:cs="Arial"/>
          <w:sz w:val="24"/>
          <w:szCs w:val="24"/>
        </w:rPr>
      </w:pPr>
      <w:r w:rsidRPr="00B64C25">
        <w:rPr>
          <w:rFonts w:ascii="Arial" w:hAnsi="Arial" w:cs="Arial"/>
          <w:sz w:val="24"/>
          <w:szCs w:val="24"/>
        </w:rPr>
        <w:t>[56]</w:t>
      </w:r>
      <w:r w:rsidRPr="00B64C25">
        <w:rPr>
          <w:rFonts w:ascii="Arial" w:hAnsi="Arial" w:cs="Arial"/>
          <w:sz w:val="24"/>
          <w:szCs w:val="24"/>
        </w:rPr>
        <w:tab/>
      </w:r>
      <w:r w:rsidR="00CA4456" w:rsidRPr="00B64C25">
        <w:rPr>
          <w:rFonts w:ascii="Arial" w:hAnsi="Arial" w:cs="Arial"/>
          <w:sz w:val="24"/>
          <w:szCs w:val="24"/>
        </w:rPr>
        <w:t xml:space="preserve">In </w:t>
      </w:r>
      <w:r w:rsidR="00CA4456" w:rsidRPr="00B64C25">
        <w:rPr>
          <w:rFonts w:ascii="Arial" w:hAnsi="Arial" w:cs="Arial"/>
          <w:i/>
          <w:sz w:val="24"/>
          <w:szCs w:val="24"/>
        </w:rPr>
        <w:t>Magmoed v Janse van Rensburg and Others</w:t>
      </w:r>
      <w:r w:rsidR="00CA4456" w:rsidRPr="00B0446D">
        <w:rPr>
          <w:rFonts w:ascii="Arial" w:hAnsi="Arial" w:cs="Arial"/>
          <w:sz w:val="24"/>
          <w:szCs w:val="24"/>
        </w:rPr>
        <w:t>,</w:t>
      </w:r>
      <w:r w:rsidR="00CA4456" w:rsidRPr="00B0446D">
        <w:rPr>
          <w:rStyle w:val="FootnoteReference"/>
          <w:rFonts w:ascii="Arial" w:hAnsi="Arial" w:cs="Arial"/>
          <w:sz w:val="24"/>
          <w:szCs w:val="24"/>
        </w:rPr>
        <w:footnoteReference w:id="16"/>
      </w:r>
      <w:r w:rsidR="00CA4456" w:rsidRPr="00FE726D">
        <w:rPr>
          <w:rFonts w:ascii="Arial" w:hAnsi="Arial" w:cs="Arial"/>
          <w:sz w:val="24"/>
          <w:szCs w:val="24"/>
        </w:rPr>
        <w:t xml:space="preserve"> </w:t>
      </w:r>
      <w:r w:rsidR="00CA4456" w:rsidRPr="00B64C25">
        <w:rPr>
          <w:rFonts w:ascii="Arial" w:hAnsi="Arial" w:cs="Arial"/>
          <w:sz w:val="24"/>
          <w:szCs w:val="24"/>
        </w:rPr>
        <w:t xml:space="preserve">the court affirmed the well-known dictum of De Villiers CJ in </w:t>
      </w:r>
      <w:r w:rsidR="00CA4456" w:rsidRPr="00B64C25">
        <w:rPr>
          <w:rFonts w:ascii="Arial" w:hAnsi="Arial" w:cs="Arial"/>
          <w:i/>
          <w:sz w:val="24"/>
          <w:szCs w:val="24"/>
        </w:rPr>
        <w:t>Queen v Judelman</w:t>
      </w:r>
      <w:r w:rsidR="00CA4456" w:rsidRPr="00B0446D">
        <w:rPr>
          <w:rStyle w:val="FootnoteReference"/>
          <w:rFonts w:ascii="Arial" w:hAnsi="Arial" w:cs="Arial"/>
          <w:sz w:val="24"/>
          <w:szCs w:val="24"/>
        </w:rPr>
        <w:footnoteReference w:id="17"/>
      </w:r>
      <w:r w:rsidR="00CA4456" w:rsidRPr="00FE726D">
        <w:rPr>
          <w:rFonts w:ascii="Arial" w:hAnsi="Arial" w:cs="Arial"/>
          <w:sz w:val="24"/>
          <w:szCs w:val="24"/>
        </w:rPr>
        <w:t xml:space="preserve"> </w:t>
      </w:r>
      <w:r w:rsidR="00CA4456" w:rsidRPr="00B64C25">
        <w:rPr>
          <w:rFonts w:ascii="Arial" w:hAnsi="Arial" w:cs="Arial"/>
          <w:sz w:val="24"/>
          <w:szCs w:val="24"/>
        </w:rPr>
        <w:t>that reflects the essence of what qualifies as a question of law, that is ‘[w]hether certain facts constitute a definite crime is a question of law’.</w:t>
      </w:r>
      <w:r w:rsidR="00CA4456" w:rsidRPr="00B64C25">
        <w:rPr>
          <w:rStyle w:val="FootnoteReference"/>
          <w:rFonts w:ascii="Arial" w:hAnsi="Arial" w:cs="Arial"/>
          <w:sz w:val="24"/>
          <w:szCs w:val="24"/>
        </w:rPr>
        <w:footnoteReference w:id="18"/>
      </w:r>
      <w:r w:rsidR="00CA4456" w:rsidRPr="00B64C25">
        <w:rPr>
          <w:rFonts w:ascii="Arial" w:hAnsi="Arial" w:cs="Arial"/>
          <w:sz w:val="24"/>
          <w:szCs w:val="24"/>
        </w:rPr>
        <w:t xml:space="preserve"> Elaborating on the meaning of this dictum, in </w:t>
      </w:r>
      <w:r w:rsidR="00CA4456" w:rsidRPr="00B64C25">
        <w:rPr>
          <w:rFonts w:ascii="Arial" w:hAnsi="Arial" w:cs="Arial"/>
          <w:i/>
          <w:sz w:val="24"/>
          <w:szCs w:val="24"/>
        </w:rPr>
        <w:t>Magmoed</w:t>
      </w:r>
      <w:r w:rsidR="00FE726D">
        <w:rPr>
          <w:rFonts w:ascii="Arial" w:hAnsi="Arial" w:cs="Arial"/>
          <w:sz w:val="24"/>
          <w:szCs w:val="24"/>
        </w:rPr>
        <w:t>,</w:t>
      </w:r>
      <w:r w:rsidR="00CA4456" w:rsidRPr="00B64C25">
        <w:rPr>
          <w:rFonts w:ascii="Arial" w:hAnsi="Arial" w:cs="Arial"/>
          <w:i/>
          <w:sz w:val="24"/>
          <w:szCs w:val="24"/>
        </w:rPr>
        <w:t xml:space="preserve"> </w:t>
      </w:r>
      <w:r w:rsidR="00CA4456" w:rsidRPr="00B64C25">
        <w:rPr>
          <w:rFonts w:ascii="Arial" w:hAnsi="Arial" w:cs="Arial"/>
          <w:sz w:val="24"/>
          <w:szCs w:val="24"/>
        </w:rPr>
        <w:t>the court</w:t>
      </w:r>
      <w:r w:rsidR="00CA4456" w:rsidRPr="00B64C25">
        <w:rPr>
          <w:rFonts w:ascii="Arial" w:hAnsi="Arial" w:cs="Arial"/>
          <w:i/>
          <w:sz w:val="24"/>
          <w:szCs w:val="24"/>
        </w:rPr>
        <w:t xml:space="preserve"> </w:t>
      </w:r>
      <w:r w:rsidR="00CA4456" w:rsidRPr="00B64C25">
        <w:rPr>
          <w:rFonts w:ascii="Arial" w:hAnsi="Arial" w:cs="Arial"/>
          <w:sz w:val="24"/>
          <w:szCs w:val="24"/>
        </w:rPr>
        <w:t xml:space="preserve">held that: </w:t>
      </w:r>
    </w:p>
    <w:p w14:paraId="20746FE1" w14:textId="7650F166" w:rsidR="00CA4456" w:rsidRDefault="00CA4456" w:rsidP="00114305">
      <w:pPr>
        <w:spacing w:after="0" w:line="360" w:lineRule="auto"/>
        <w:contextualSpacing/>
        <w:jc w:val="both"/>
        <w:rPr>
          <w:rFonts w:ascii="Arial" w:hAnsi="Arial" w:cs="Arial"/>
        </w:rPr>
      </w:pPr>
      <w:r w:rsidRPr="00B64C25">
        <w:rPr>
          <w:rFonts w:ascii="Arial" w:eastAsia="Times New Roman" w:hAnsi="Arial" w:cs="Arial"/>
          <w:lang w:eastAsia="en-ZA"/>
        </w:rPr>
        <w:t>‘It is a genuine question of law </w:t>
      </w:r>
      <w:r w:rsidRPr="00B64C25">
        <w:rPr>
          <w:rFonts w:ascii="Arial" w:eastAsia="Times New Roman" w:hAnsi="Arial" w:cs="Arial"/>
          <w:i/>
          <w:iCs/>
          <w:lang w:eastAsia="en-ZA"/>
        </w:rPr>
        <w:t>(a)</w:t>
      </w:r>
      <w:r w:rsidRPr="00B64C25">
        <w:rPr>
          <w:rFonts w:ascii="Arial" w:eastAsia="Times New Roman" w:hAnsi="Arial" w:cs="Arial"/>
          <w:lang w:eastAsia="en-ZA"/>
        </w:rPr>
        <w:t xml:space="preserve"> whether the evidence against an accused was such that there was a case to go to the jury or that there were grounds upon which the jury could legally convict the accused of the crime charged; </w:t>
      </w:r>
      <w:r w:rsidRPr="00B64C25">
        <w:rPr>
          <w:rFonts w:ascii="Arial" w:eastAsia="Times New Roman" w:hAnsi="Arial" w:cs="Arial"/>
          <w:i/>
          <w:lang w:eastAsia="en-ZA"/>
        </w:rPr>
        <w:t>or </w:t>
      </w:r>
      <w:r w:rsidRPr="00B64C25">
        <w:rPr>
          <w:rFonts w:ascii="Arial" w:eastAsia="Times New Roman" w:hAnsi="Arial" w:cs="Arial"/>
          <w:i/>
          <w:iCs/>
          <w:lang w:eastAsia="en-ZA"/>
        </w:rPr>
        <w:t>(b)</w:t>
      </w:r>
      <w:r w:rsidRPr="00B64C25">
        <w:rPr>
          <w:rFonts w:ascii="Arial" w:eastAsia="Times New Roman" w:hAnsi="Arial" w:cs="Arial"/>
          <w:i/>
          <w:lang w:eastAsia="en-ZA"/>
        </w:rPr>
        <w:t> whether the proven facts bring the conduct of the accused within the ambit of the crime charged</w:t>
      </w:r>
      <w:r w:rsidRPr="00B64C25">
        <w:rPr>
          <w:rFonts w:ascii="Arial" w:eastAsia="Times New Roman" w:hAnsi="Arial" w:cs="Arial"/>
          <w:lang w:eastAsia="en-ZA"/>
        </w:rPr>
        <w:t>.</w:t>
      </w:r>
      <w:r w:rsidR="00A154CF">
        <w:rPr>
          <w:rFonts w:ascii="Arial" w:eastAsia="Times New Roman" w:hAnsi="Arial" w:cs="Arial"/>
          <w:lang w:eastAsia="en-ZA"/>
        </w:rPr>
        <w:t xml:space="preserve"> </w:t>
      </w:r>
      <w:r w:rsidRPr="00B64C25">
        <w:rPr>
          <w:rFonts w:ascii="Arial" w:eastAsia="Times New Roman" w:hAnsi="Arial" w:cs="Arial"/>
          <w:lang w:eastAsia="en-ZA"/>
        </w:rPr>
        <w:t>Category </w:t>
      </w:r>
      <w:r w:rsidRPr="00B64C25">
        <w:rPr>
          <w:rFonts w:ascii="Arial" w:eastAsia="Times New Roman" w:hAnsi="Arial" w:cs="Arial"/>
          <w:i/>
          <w:iCs/>
          <w:lang w:eastAsia="en-ZA"/>
        </w:rPr>
        <w:t>(a)</w:t>
      </w:r>
      <w:r w:rsidRPr="00B64C25">
        <w:rPr>
          <w:rFonts w:ascii="Arial" w:eastAsia="Times New Roman" w:hAnsi="Arial" w:cs="Arial"/>
          <w:lang w:eastAsia="en-ZA"/>
        </w:rPr>
        <w:t xml:space="preserve"> above is more relevant to question 6 and I shall consider it more fully when I come to deal with that question. As the quotation from the judgment of Feetham JA indicates, </w:t>
      </w:r>
      <w:r w:rsidRPr="00B64C25">
        <w:rPr>
          <w:rFonts w:ascii="Arial" w:eastAsia="Times New Roman" w:hAnsi="Arial" w:cs="Arial"/>
          <w:i/>
          <w:lang w:eastAsia="en-ZA"/>
        </w:rPr>
        <w:t>category </w:t>
      </w:r>
      <w:r w:rsidRPr="00B64C25">
        <w:rPr>
          <w:rFonts w:ascii="Arial" w:eastAsia="Times New Roman" w:hAnsi="Arial" w:cs="Arial"/>
          <w:i/>
          <w:iCs/>
          <w:lang w:eastAsia="en-ZA"/>
        </w:rPr>
        <w:t>(b)</w:t>
      </w:r>
      <w:r w:rsidRPr="00B64C25">
        <w:rPr>
          <w:rFonts w:ascii="Arial" w:eastAsia="Times New Roman" w:hAnsi="Arial" w:cs="Arial"/>
          <w:i/>
          <w:lang w:eastAsia="en-ZA"/>
        </w:rPr>
        <w:t> involves an enquiry as to the essence and scope of the crime charged by asking whether the proven facts in the particular case constitute the commission of the crime. This is clearly a question of law</w:t>
      </w:r>
      <w:r w:rsidRPr="00B64C25">
        <w:rPr>
          <w:rFonts w:ascii="Arial" w:eastAsia="Times New Roman" w:hAnsi="Arial" w:cs="Arial"/>
          <w:lang w:eastAsia="en-ZA"/>
        </w:rPr>
        <w:t>. But, in my opinion, a question of law is not raised by asking whether the evidence establishes one or more of the factual ingredients of a particular crime, where there is no doubt or dispute as to what those ingredients are.</w:t>
      </w:r>
      <w:r w:rsidRPr="00B64C25">
        <w:rPr>
          <w:rFonts w:ascii="Arial" w:hAnsi="Arial" w:cs="Arial"/>
        </w:rPr>
        <w:t>’</w:t>
      </w:r>
      <w:r w:rsidR="00FE726D" w:rsidRPr="00B64C25">
        <w:rPr>
          <w:rStyle w:val="FootnoteReference"/>
          <w:rFonts w:ascii="Arial" w:hAnsi="Arial" w:cs="Arial"/>
          <w:sz w:val="24"/>
          <w:szCs w:val="24"/>
        </w:rPr>
        <w:footnoteReference w:id="19"/>
      </w:r>
      <w:r w:rsidRPr="00B64C25">
        <w:rPr>
          <w:rFonts w:ascii="Arial" w:hAnsi="Arial" w:cs="Arial"/>
        </w:rPr>
        <w:t xml:space="preserve"> </w:t>
      </w:r>
      <w:r w:rsidR="006022C5">
        <w:rPr>
          <w:rFonts w:ascii="Arial" w:hAnsi="Arial" w:cs="Arial"/>
        </w:rPr>
        <w:t>(Emphasis added.)</w:t>
      </w:r>
    </w:p>
    <w:p w14:paraId="1A49C999" w14:textId="77777777" w:rsidR="00114305" w:rsidRPr="00114305" w:rsidRDefault="00114305" w:rsidP="00114305">
      <w:pPr>
        <w:spacing w:after="0" w:line="360" w:lineRule="auto"/>
        <w:contextualSpacing/>
        <w:jc w:val="both"/>
        <w:rPr>
          <w:rFonts w:ascii="Arial" w:hAnsi="Arial" w:cs="Arial"/>
          <w:sz w:val="24"/>
          <w:szCs w:val="24"/>
        </w:rPr>
      </w:pPr>
    </w:p>
    <w:p w14:paraId="2DF4BF90" w14:textId="332A2735" w:rsidR="00CA4456" w:rsidRPr="00287DB2" w:rsidRDefault="00B64C25" w:rsidP="00B64C25">
      <w:pPr>
        <w:pStyle w:val="ListParagraph"/>
        <w:spacing w:after="0" w:line="360" w:lineRule="auto"/>
        <w:ind w:left="0"/>
        <w:jc w:val="both"/>
        <w:rPr>
          <w:rFonts w:ascii="Arial" w:hAnsi="Arial" w:cs="Arial"/>
          <w:sz w:val="24"/>
          <w:szCs w:val="24"/>
        </w:rPr>
      </w:pPr>
      <w:r w:rsidRPr="00287DB2">
        <w:rPr>
          <w:rFonts w:ascii="Arial" w:hAnsi="Arial" w:cs="Arial"/>
          <w:sz w:val="24"/>
          <w:szCs w:val="24"/>
        </w:rPr>
        <w:t>[57]</w:t>
      </w:r>
      <w:r w:rsidRPr="00287DB2">
        <w:rPr>
          <w:rFonts w:ascii="Arial" w:hAnsi="Arial" w:cs="Arial"/>
          <w:sz w:val="24"/>
          <w:szCs w:val="24"/>
        </w:rPr>
        <w:tab/>
      </w:r>
      <w:r w:rsidR="00CA4456" w:rsidRPr="00287DB2">
        <w:rPr>
          <w:rFonts w:ascii="Arial" w:hAnsi="Arial" w:cs="Arial"/>
          <w:sz w:val="24"/>
          <w:szCs w:val="24"/>
        </w:rPr>
        <w:t xml:space="preserve">The applicant alleged that Chabi and the respondent acted with common purpose. In order to convict the accused on the charge of murder, the applicant needed to prove that the respondent had acted in common purpose (by prior agreement or </w:t>
      </w:r>
      <w:r w:rsidR="00CA4456" w:rsidRPr="00287DB2">
        <w:rPr>
          <w:rFonts w:ascii="Arial" w:hAnsi="Arial" w:cs="Arial"/>
          <w:sz w:val="24"/>
          <w:szCs w:val="24"/>
        </w:rPr>
        <w:lastRenderedPageBreak/>
        <w:t xml:space="preserve">active association) </w:t>
      </w:r>
      <w:r w:rsidR="00F7475D">
        <w:rPr>
          <w:rFonts w:ascii="Arial" w:hAnsi="Arial" w:cs="Arial"/>
          <w:sz w:val="24"/>
          <w:szCs w:val="24"/>
        </w:rPr>
        <w:t xml:space="preserve">together </w:t>
      </w:r>
      <w:r w:rsidR="00CA4456" w:rsidRPr="00287DB2">
        <w:rPr>
          <w:rFonts w:ascii="Arial" w:hAnsi="Arial" w:cs="Arial"/>
          <w:sz w:val="24"/>
          <w:szCs w:val="24"/>
        </w:rPr>
        <w:t>with the requisite intent.</w:t>
      </w:r>
      <w:r w:rsidR="00CA4456" w:rsidRPr="00287DB2">
        <w:rPr>
          <w:rStyle w:val="FootnoteReference"/>
          <w:rFonts w:ascii="Arial" w:hAnsi="Arial" w:cs="Arial"/>
          <w:sz w:val="24"/>
          <w:szCs w:val="24"/>
        </w:rPr>
        <w:footnoteReference w:id="20"/>
      </w:r>
      <w:r w:rsidR="00CA4456" w:rsidRPr="00287DB2">
        <w:rPr>
          <w:rFonts w:ascii="Arial" w:hAnsi="Arial" w:cs="Arial"/>
          <w:sz w:val="24"/>
          <w:szCs w:val="24"/>
        </w:rPr>
        <w:t xml:space="preserve"> The acts of Chabi would then be imputed to the accused. The above must be borne in mind when determining whether the proven facts fell within the scope of these offences.</w:t>
      </w:r>
    </w:p>
    <w:p w14:paraId="2165D354" w14:textId="77777777" w:rsidR="00CA4456" w:rsidRPr="00287DB2" w:rsidRDefault="00CA4456" w:rsidP="00CA4456">
      <w:pPr>
        <w:spacing w:after="0" w:line="360" w:lineRule="auto"/>
        <w:jc w:val="both"/>
        <w:rPr>
          <w:rFonts w:ascii="Arial" w:hAnsi="Arial" w:cs="Arial"/>
          <w:sz w:val="24"/>
          <w:szCs w:val="24"/>
        </w:rPr>
      </w:pPr>
    </w:p>
    <w:p w14:paraId="5A68F317" w14:textId="5A36D76D" w:rsidR="00CA4456" w:rsidRPr="00287DB2" w:rsidRDefault="008E1975" w:rsidP="008E1975">
      <w:pPr>
        <w:pStyle w:val="ListParagraph"/>
        <w:spacing w:after="0" w:line="360" w:lineRule="auto"/>
        <w:ind w:left="0"/>
        <w:rPr>
          <w:rFonts w:ascii="Arial" w:hAnsi="Arial" w:cs="Arial"/>
          <w:sz w:val="24"/>
          <w:szCs w:val="24"/>
        </w:rPr>
      </w:pPr>
      <w:r w:rsidRPr="00287DB2">
        <w:rPr>
          <w:rFonts w:ascii="Arial" w:hAnsi="Arial" w:cs="Arial"/>
          <w:sz w:val="24"/>
          <w:szCs w:val="24"/>
        </w:rPr>
        <w:t>[58]</w:t>
      </w:r>
      <w:r w:rsidRPr="00287DB2">
        <w:rPr>
          <w:rFonts w:ascii="Arial" w:hAnsi="Arial" w:cs="Arial"/>
          <w:sz w:val="24"/>
          <w:szCs w:val="24"/>
        </w:rPr>
        <w:tab/>
      </w:r>
      <w:r w:rsidR="00CA4456" w:rsidRPr="00287DB2">
        <w:rPr>
          <w:rFonts w:ascii="Arial" w:hAnsi="Arial" w:cs="Arial"/>
          <w:sz w:val="24"/>
          <w:szCs w:val="24"/>
        </w:rPr>
        <w:t xml:space="preserve">The meaning of common purpose was summarised as follows in </w:t>
      </w:r>
      <w:r w:rsidR="00CA4456" w:rsidRPr="00287DB2">
        <w:rPr>
          <w:rFonts w:ascii="Arial" w:hAnsi="Arial" w:cs="Arial"/>
          <w:i/>
          <w:sz w:val="24"/>
          <w:szCs w:val="24"/>
        </w:rPr>
        <w:t>Magmoed</w:t>
      </w:r>
      <w:r w:rsidR="00CA4456" w:rsidRPr="00287DB2">
        <w:rPr>
          <w:rFonts w:ascii="Arial" w:hAnsi="Arial" w:cs="Arial"/>
          <w:sz w:val="24"/>
          <w:szCs w:val="24"/>
        </w:rPr>
        <w:t>:</w:t>
      </w:r>
    </w:p>
    <w:p w14:paraId="07428E54" w14:textId="259F442F" w:rsidR="00CA4456" w:rsidRPr="00287DB2" w:rsidRDefault="00CA4456" w:rsidP="00CA4456">
      <w:pPr>
        <w:pStyle w:val="Default"/>
        <w:spacing w:line="360" w:lineRule="auto"/>
        <w:contextualSpacing/>
        <w:jc w:val="both"/>
        <w:rPr>
          <w:color w:val="auto"/>
          <w:sz w:val="22"/>
          <w:szCs w:val="22"/>
        </w:rPr>
      </w:pPr>
      <w:r w:rsidRPr="00287DB2">
        <w:rPr>
          <w:color w:val="auto"/>
          <w:sz w:val="22"/>
          <w:szCs w:val="22"/>
        </w:rPr>
        <w:t xml:space="preserve">‘Where it appears that the accomplishment of the common aim involved, either directly or indirectly, the unlawful killing of another human being and </w:t>
      </w:r>
      <w:r w:rsidRPr="00287DB2">
        <w:rPr>
          <w:i/>
          <w:color w:val="auto"/>
          <w:sz w:val="22"/>
          <w:szCs w:val="22"/>
        </w:rPr>
        <w:t>where it appears that a participant (A) knew this or foresaw it as a possibility and yet persisted in his participation reckless of the consequences,</w:t>
      </w:r>
      <w:r w:rsidRPr="00287DB2">
        <w:rPr>
          <w:color w:val="auto"/>
          <w:sz w:val="22"/>
          <w:szCs w:val="22"/>
        </w:rPr>
        <w:t xml:space="preserve"> then if an unlawful killing did ensue such a participant will be guilty of murder irrespective of the fact that another participant actually perpetrated the murder and irrespective of the fact that there was no causal connection between his (A's) own conduct and the death of the deceased.’</w:t>
      </w:r>
      <w:r w:rsidRPr="00287DB2">
        <w:rPr>
          <w:rStyle w:val="FootnoteReference"/>
          <w:color w:val="auto"/>
          <w:sz w:val="22"/>
          <w:szCs w:val="22"/>
        </w:rPr>
        <w:footnoteReference w:id="21"/>
      </w:r>
      <w:r w:rsidRPr="00287DB2">
        <w:rPr>
          <w:color w:val="auto"/>
          <w:sz w:val="22"/>
          <w:szCs w:val="22"/>
        </w:rPr>
        <w:t xml:space="preserve"> </w:t>
      </w:r>
      <w:r w:rsidR="00717A3B">
        <w:rPr>
          <w:color w:val="auto"/>
          <w:sz w:val="22"/>
          <w:szCs w:val="22"/>
        </w:rPr>
        <w:t>(</w:t>
      </w:r>
      <w:r w:rsidRPr="00287DB2">
        <w:rPr>
          <w:color w:val="auto"/>
          <w:sz w:val="22"/>
          <w:szCs w:val="22"/>
        </w:rPr>
        <w:t>Emphasis added.</w:t>
      </w:r>
      <w:r w:rsidR="00717A3B">
        <w:rPr>
          <w:color w:val="auto"/>
          <w:sz w:val="22"/>
          <w:szCs w:val="22"/>
        </w:rPr>
        <w:t>)</w:t>
      </w:r>
    </w:p>
    <w:p w14:paraId="1F5ADF3F" w14:textId="77777777" w:rsidR="00CA4456" w:rsidRPr="00B0446D" w:rsidRDefault="00CA4456" w:rsidP="00CA4456">
      <w:pPr>
        <w:pStyle w:val="Default"/>
        <w:spacing w:line="360" w:lineRule="auto"/>
        <w:contextualSpacing/>
        <w:jc w:val="both"/>
        <w:rPr>
          <w:color w:val="auto"/>
        </w:rPr>
      </w:pPr>
    </w:p>
    <w:p w14:paraId="7C33263C" w14:textId="16E07EA5" w:rsidR="00CA4456" w:rsidRPr="003C639A" w:rsidRDefault="00287DB2" w:rsidP="00287DB2">
      <w:pPr>
        <w:pStyle w:val="ListParagraph"/>
        <w:spacing w:after="0" w:line="360" w:lineRule="auto"/>
        <w:ind w:left="0"/>
        <w:jc w:val="both"/>
        <w:rPr>
          <w:rFonts w:ascii="Arial" w:hAnsi="Arial" w:cs="Arial"/>
          <w:sz w:val="24"/>
          <w:szCs w:val="24"/>
        </w:rPr>
      </w:pPr>
      <w:r w:rsidRPr="003C639A">
        <w:rPr>
          <w:rFonts w:ascii="Arial" w:hAnsi="Arial" w:cs="Arial"/>
          <w:sz w:val="24"/>
          <w:szCs w:val="24"/>
        </w:rPr>
        <w:t>[59]</w:t>
      </w:r>
      <w:r w:rsidRPr="003C639A">
        <w:rPr>
          <w:rFonts w:ascii="Arial" w:hAnsi="Arial" w:cs="Arial"/>
          <w:sz w:val="24"/>
          <w:szCs w:val="24"/>
        </w:rPr>
        <w:tab/>
      </w:r>
      <w:r w:rsidR="00CA4456" w:rsidRPr="003C639A">
        <w:rPr>
          <w:rFonts w:ascii="Arial" w:hAnsi="Arial" w:cs="Arial"/>
          <w:sz w:val="24"/>
          <w:szCs w:val="24"/>
        </w:rPr>
        <w:t xml:space="preserve">As can be seen from the findings of the trial court, its point of departure was that it was </w:t>
      </w:r>
      <w:r w:rsidR="00CA4456" w:rsidRPr="003C639A">
        <w:rPr>
          <w:rFonts w:ascii="Arial" w:hAnsi="Arial" w:cs="Arial"/>
          <w:i/>
          <w:sz w:val="24"/>
          <w:szCs w:val="24"/>
        </w:rPr>
        <w:t xml:space="preserve">only </w:t>
      </w:r>
      <w:r w:rsidR="00CA4456" w:rsidRPr="003C639A">
        <w:rPr>
          <w:rFonts w:ascii="Arial" w:hAnsi="Arial" w:cs="Arial"/>
          <w:sz w:val="24"/>
          <w:szCs w:val="24"/>
        </w:rPr>
        <w:t xml:space="preserve">the prior agreement that would need to be proven in order to secure the conviction of the respondent. It is apparent that the fourth question of law that the applicant seeks to reserve is one that falls under category (b) noted in </w:t>
      </w:r>
      <w:r w:rsidR="00CA4456" w:rsidRPr="003C639A">
        <w:rPr>
          <w:rFonts w:ascii="Arial" w:hAnsi="Arial" w:cs="Arial"/>
          <w:i/>
          <w:sz w:val="24"/>
          <w:szCs w:val="24"/>
        </w:rPr>
        <w:t>Magmoed</w:t>
      </w:r>
      <w:r w:rsidR="00CA4456" w:rsidRPr="003C639A">
        <w:rPr>
          <w:rFonts w:ascii="Arial" w:hAnsi="Arial" w:cs="Arial"/>
          <w:sz w:val="24"/>
          <w:szCs w:val="24"/>
        </w:rPr>
        <w:t xml:space="preserve"> above. What fortifies the question as being one of law and not fact is that there appears to have been a material misdirection on the part of the trial court in construing what the elements of common purpose are</w:t>
      </w:r>
      <w:r w:rsidR="00D80939">
        <w:rPr>
          <w:rFonts w:ascii="Arial" w:hAnsi="Arial" w:cs="Arial"/>
          <w:sz w:val="24"/>
          <w:szCs w:val="24"/>
        </w:rPr>
        <w:t>;</w:t>
      </w:r>
      <w:r w:rsidR="00CA4456" w:rsidRPr="003C639A">
        <w:rPr>
          <w:rFonts w:ascii="Arial" w:hAnsi="Arial" w:cs="Arial"/>
          <w:sz w:val="24"/>
          <w:szCs w:val="24"/>
        </w:rPr>
        <w:t xml:space="preserve"> specifically</w:t>
      </w:r>
      <w:r w:rsidR="00D80939">
        <w:rPr>
          <w:rFonts w:ascii="Arial" w:hAnsi="Arial" w:cs="Arial"/>
          <w:sz w:val="24"/>
          <w:szCs w:val="24"/>
        </w:rPr>
        <w:t>,</w:t>
      </w:r>
      <w:r w:rsidR="00CA4456" w:rsidRPr="003C639A">
        <w:rPr>
          <w:rFonts w:ascii="Arial" w:hAnsi="Arial" w:cs="Arial"/>
          <w:sz w:val="24"/>
          <w:szCs w:val="24"/>
        </w:rPr>
        <w:t xml:space="preserve"> that common purpose could have been constituted by either prior agreement or active association. ‘</w:t>
      </w:r>
      <w:r w:rsidR="00CA4456" w:rsidRPr="003C639A">
        <w:rPr>
          <w:rFonts w:ascii="Arial" w:hAnsi="Arial" w:cs="Arial"/>
          <w:color w:val="000000"/>
          <w:sz w:val="24"/>
          <w:szCs w:val="24"/>
        </w:rPr>
        <w:t>A finding that a person acted together with one or more other persons in a common purpose is not dependent upon proof of a prior conspiracy. Such a finding may be inferred from the conduct of a person or persons.’</w:t>
      </w:r>
      <w:r w:rsidR="00CA4456" w:rsidRPr="003C639A">
        <w:rPr>
          <w:rStyle w:val="FootnoteReference"/>
          <w:rFonts w:ascii="Arial" w:hAnsi="Arial" w:cs="Arial"/>
          <w:color w:val="000000"/>
          <w:sz w:val="24"/>
          <w:szCs w:val="24"/>
        </w:rPr>
        <w:footnoteReference w:id="22"/>
      </w:r>
    </w:p>
    <w:p w14:paraId="514ECE65" w14:textId="77777777" w:rsidR="00CA4456" w:rsidRPr="003C639A" w:rsidRDefault="00CA4456" w:rsidP="00CA4456">
      <w:pPr>
        <w:spacing w:after="0" w:line="360" w:lineRule="auto"/>
        <w:contextualSpacing/>
        <w:jc w:val="both"/>
        <w:rPr>
          <w:rFonts w:ascii="Arial" w:hAnsi="Arial" w:cs="Arial"/>
          <w:sz w:val="24"/>
          <w:szCs w:val="24"/>
        </w:rPr>
      </w:pPr>
    </w:p>
    <w:p w14:paraId="561ED53F" w14:textId="1FCCB49B" w:rsidR="00CA4456" w:rsidRDefault="009E6455" w:rsidP="00114305">
      <w:pPr>
        <w:pStyle w:val="ListParagraph"/>
        <w:spacing w:after="0" w:line="360" w:lineRule="auto"/>
        <w:ind w:left="0"/>
        <w:jc w:val="both"/>
        <w:rPr>
          <w:rFonts w:ascii="Arial" w:hAnsi="Arial" w:cs="Arial"/>
          <w:sz w:val="24"/>
          <w:szCs w:val="24"/>
        </w:rPr>
      </w:pPr>
      <w:r w:rsidRPr="003C639A">
        <w:rPr>
          <w:rFonts w:ascii="Arial" w:hAnsi="Arial" w:cs="Arial"/>
          <w:sz w:val="24"/>
          <w:szCs w:val="24"/>
        </w:rPr>
        <w:t>[60]</w:t>
      </w:r>
      <w:r w:rsidRPr="003C639A">
        <w:rPr>
          <w:rFonts w:ascii="Arial" w:hAnsi="Arial" w:cs="Arial"/>
          <w:sz w:val="24"/>
          <w:szCs w:val="24"/>
        </w:rPr>
        <w:tab/>
      </w:r>
      <w:r w:rsidR="00CA4456" w:rsidRPr="003C639A">
        <w:rPr>
          <w:rFonts w:ascii="Arial" w:hAnsi="Arial" w:cs="Arial"/>
          <w:sz w:val="24"/>
          <w:szCs w:val="24"/>
        </w:rPr>
        <w:t xml:space="preserve">When the trial court constrained itself to prior agreement as the basis for common purpose, it expressly excluded the evidence </w:t>
      </w:r>
      <w:r w:rsidR="00CA4456" w:rsidRPr="003C639A">
        <w:rPr>
          <w:rFonts w:ascii="Arial" w:hAnsi="Arial" w:cs="Arial"/>
          <w:i/>
          <w:sz w:val="24"/>
          <w:szCs w:val="24"/>
        </w:rPr>
        <w:t>aliunde</w:t>
      </w:r>
      <w:r w:rsidR="00CA4456" w:rsidRPr="003C639A">
        <w:rPr>
          <w:rFonts w:ascii="Arial" w:hAnsi="Arial" w:cs="Arial"/>
          <w:sz w:val="24"/>
          <w:szCs w:val="24"/>
        </w:rPr>
        <w:t xml:space="preserve"> and restrained itself to the evidence of the respondent and Chabi regarding the alleged existence of an agreement. This is in spite of the fact that the court had simultaneously implied a finding that there was an active association, specifically that the respondent ‘never tried to </w:t>
      </w:r>
      <w:r w:rsidR="00CA4456" w:rsidRPr="003C639A">
        <w:rPr>
          <w:rFonts w:ascii="Arial" w:hAnsi="Arial" w:cs="Arial"/>
          <w:sz w:val="24"/>
          <w:szCs w:val="24"/>
        </w:rPr>
        <w:lastRenderedPageBreak/>
        <w:t xml:space="preserve">disassociate himself with the commission of the crime . . . He however gave the court some explanation of the reasons why he did not disassociate’. </w:t>
      </w:r>
    </w:p>
    <w:p w14:paraId="0B396C76" w14:textId="77777777" w:rsidR="00114305" w:rsidRPr="00114305" w:rsidRDefault="00114305" w:rsidP="00114305">
      <w:pPr>
        <w:pStyle w:val="ListParagraph"/>
        <w:spacing w:after="0" w:line="360" w:lineRule="auto"/>
        <w:ind w:left="0"/>
        <w:jc w:val="both"/>
        <w:rPr>
          <w:rFonts w:ascii="Arial" w:hAnsi="Arial" w:cs="Arial"/>
          <w:sz w:val="24"/>
          <w:szCs w:val="24"/>
          <w:highlight w:val="yellow"/>
        </w:rPr>
      </w:pPr>
    </w:p>
    <w:p w14:paraId="77E7A7FA" w14:textId="245ED452" w:rsidR="00CA4456" w:rsidRPr="003C639A" w:rsidRDefault="00AC2327" w:rsidP="00AC2327">
      <w:pPr>
        <w:pStyle w:val="ListParagraph"/>
        <w:spacing w:after="160" w:line="360" w:lineRule="auto"/>
        <w:ind w:left="0"/>
        <w:jc w:val="both"/>
        <w:rPr>
          <w:rFonts w:ascii="Arial" w:hAnsi="Arial" w:cs="Arial"/>
          <w:sz w:val="24"/>
          <w:szCs w:val="24"/>
        </w:rPr>
      </w:pPr>
      <w:r w:rsidRPr="003C639A">
        <w:rPr>
          <w:rFonts w:ascii="Arial" w:hAnsi="Arial" w:cs="Arial"/>
          <w:sz w:val="24"/>
          <w:szCs w:val="24"/>
        </w:rPr>
        <w:t>[61]</w:t>
      </w:r>
      <w:r w:rsidRPr="003C639A">
        <w:rPr>
          <w:rFonts w:ascii="Arial" w:hAnsi="Arial" w:cs="Arial"/>
          <w:sz w:val="24"/>
          <w:szCs w:val="24"/>
        </w:rPr>
        <w:tab/>
      </w:r>
      <w:r w:rsidR="00CA4456" w:rsidRPr="003C639A">
        <w:rPr>
          <w:rFonts w:ascii="Arial" w:hAnsi="Arial" w:cs="Arial"/>
          <w:sz w:val="24"/>
          <w:szCs w:val="24"/>
        </w:rPr>
        <w:t>The trial court</w:t>
      </w:r>
      <w:r w:rsidR="00D80939">
        <w:rPr>
          <w:rFonts w:ascii="Arial" w:hAnsi="Arial" w:cs="Arial"/>
          <w:sz w:val="24"/>
          <w:szCs w:val="24"/>
        </w:rPr>
        <w:t>,</w:t>
      </w:r>
      <w:r w:rsidR="00CA4456" w:rsidRPr="003C639A">
        <w:rPr>
          <w:rFonts w:ascii="Arial" w:hAnsi="Arial" w:cs="Arial"/>
          <w:sz w:val="24"/>
          <w:szCs w:val="24"/>
        </w:rPr>
        <w:t xml:space="preserve"> in my view</w:t>
      </w:r>
      <w:r w:rsidR="00D80939">
        <w:rPr>
          <w:rFonts w:ascii="Arial" w:hAnsi="Arial" w:cs="Arial"/>
          <w:sz w:val="24"/>
          <w:szCs w:val="24"/>
        </w:rPr>
        <w:t>,</w:t>
      </w:r>
      <w:r w:rsidR="00CA4456" w:rsidRPr="003C639A">
        <w:rPr>
          <w:rFonts w:ascii="Arial" w:hAnsi="Arial" w:cs="Arial"/>
          <w:sz w:val="24"/>
          <w:szCs w:val="24"/>
        </w:rPr>
        <w:t xml:space="preserve"> not only erred in law by constraining itself to the question of prior agreement</w:t>
      </w:r>
      <w:r w:rsidR="00D80939">
        <w:rPr>
          <w:rFonts w:ascii="Arial" w:hAnsi="Arial" w:cs="Arial"/>
          <w:sz w:val="24"/>
          <w:szCs w:val="24"/>
        </w:rPr>
        <w:t>,</w:t>
      </w:r>
      <w:r w:rsidR="00CA4456" w:rsidRPr="003C639A">
        <w:rPr>
          <w:rFonts w:ascii="Arial" w:hAnsi="Arial" w:cs="Arial"/>
          <w:sz w:val="24"/>
          <w:szCs w:val="24"/>
        </w:rPr>
        <w:t xml:space="preserve"> but erred in a further respect</w:t>
      </w:r>
      <w:r w:rsidR="00D80939">
        <w:rPr>
          <w:rFonts w:ascii="Arial" w:hAnsi="Arial" w:cs="Arial"/>
          <w:sz w:val="24"/>
          <w:szCs w:val="24"/>
        </w:rPr>
        <w:t>,</w:t>
      </w:r>
      <w:r w:rsidR="00CA4456" w:rsidRPr="003C639A">
        <w:rPr>
          <w:rFonts w:ascii="Arial" w:hAnsi="Arial" w:cs="Arial"/>
          <w:sz w:val="24"/>
          <w:szCs w:val="24"/>
        </w:rPr>
        <w:t xml:space="preserve"> in that</w:t>
      </w:r>
      <w:r w:rsidR="00D80939">
        <w:rPr>
          <w:rFonts w:ascii="Arial" w:hAnsi="Arial" w:cs="Arial"/>
          <w:sz w:val="24"/>
          <w:szCs w:val="24"/>
        </w:rPr>
        <w:t>,</w:t>
      </w:r>
      <w:r w:rsidR="00CA4456" w:rsidRPr="003C639A">
        <w:rPr>
          <w:rFonts w:ascii="Arial" w:hAnsi="Arial" w:cs="Arial"/>
          <w:sz w:val="24"/>
          <w:szCs w:val="24"/>
        </w:rPr>
        <w:t xml:space="preserve"> by</w:t>
      </w:r>
      <w:r w:rsidR="00CA4456" w:rsidRPr="00AF06FA">
        <w:rPr>
          <w:rFonts w:ascii="Arial" w:hAnsi="Arial" w:cs="Arial"/>
          <w:sz w:val="28"/>
          <w:szCs w:val="28"/>
        </w:rPr>
        <w:t xml:space="preserve"> </w:t>
      </w:r>
      <w:r w:rsidR="00CA4456" w:rsidRPr="003C639A">
        <w:rPr>
          <w:rFonts w:ascii="Arial" w:hAnsi="Arial" w:cs="Arial"/>
          <w:sz w:val="24"/>
          <w:szCs w:val="24"/>
        </w:rPr>
        <w:t xml:space="preserve">expressly excluding other evidence, it went against a trite principle to be applied in criminal trials as set out in </w:t>
      </w:r>
      <w:r w:rsidR="00CA4456" w:rsidRPr="003C639A">
        <w:rPr>
          <w:rFonts w:ascii="Arial" w:hAnsi="Arial" w:cs="Arial"/>
          <w:i/>
          <w:sz w:val="24"/>
          <w:szCs w:val="24"/>
        </w:rPr>
        <w:t>S v Van den Meyden</w:t>
      </w:r>
      <w:r w:rsidR="00C13ABE">
        <w:rPr>
          <w:rFonts w:ascii="Arial" w:hAnsi="Arial" w:cs="Arial"/>
          <w:sz w:val="24"/>
          <w:szCs w:val="24"/>
        </w:rPr>
        <w:t>,</w:t>
      </w:r>
      <w:r w:rsidR="00CA4456" w:rsidRPr="003C639A">
        <w:rPr>
          <w:rStyle w:val="FootnoteReference"/>
          <w:rFonts w:ascii="Arial" w:hAnsi="Arial" w:cs="Arial"/>
          <w:sz w:val="24"/>
          <w:szCs w:val="24"/>
        </w:rPr>
        <w:footnoteReference w:id="23"/>
      </w:r>
      <w:r w:rsidR="00CA4456" w:rsidRPr="003C639A">
        <w:rPr>
          <w:rFonts w:ascii="Arial" w:hAnsi="Arial" w:cs="Arial"/>
          <w:sz w:val="24"/>
          <w:szCs w:val="24"/>
        </w:rPr>
        <w:t xml:space="preserve"> and endorsed in numerous decisions</w:t>
      </w:r>
      <w:r w:rsidR="00C13ABE">
        <w:rPr>
          <w:rFonts w:ascii="Arial" w:hAnsi="Arial" w:cs="Arial"/>
          <w:sz w:val="24"/>
          <w:szCs w:val="24"/>
        </w:rPr>
        <w:t>,</w:t>
      </w:r>
      <w:r w:rsidR="00CA4456" w:rsidRPr="003C639A">
        <w:rPr>
          <w:rFonts w:ascii="Arial" w:hAnsi="Arial" w:cs="Arial"/>
          <w:sz w:val="24"/>
          <w:szCs w:val="24"/>
        </w:rPr>
        <w:t xml:space="preserve"> that the trial court ‘must account for all the evidence. Some of the evidence might be found to be false; some of it might be found to be unreliable and some of it might be found to be only possibly false or unreliable, but none of it may simply be ignored’.</w:t>
      </w:r>
    </w:p>
    <w:p w14:paraId="0D2416B6" w14:textId="77777777" w:rsidR="00CA4456" w:rsidRPr="00114305" w:rsidRDefault="00CA4456" w:rsidP="00CA4456">
      <w:pPr>
        <w:pStyle w:val="ListParagraph"/>
        <w:rPr>
          <w:rFonts w:ascii="Arial" w:hAnsi="Arial" w:cs="Arial"/>
          <w:sz w:val="24"/>
          <w:szCs w:val="24"/>
        </w:rPr>
      </w:pPr>
    </w:p>
    <w:p w14:paraId="49433C18" w14:textId="218A4757" w:rsidR="00CA4456" w:rsidRDefault="003C639A" w:rsidP="00114305">
      <w:pPr>
        <w:pStyle w:val="ListParagraph"/>
        <w:spacing w:after="160" w:line="360" w:lineRule="auto"/>
        <w:ind w:left="0"/>
        <w:jc w:val="both"/>
        <w:rPr>
          <w:rFonts w:ascii="Arial" w:hAnsi="Arial" w:cs="Arial"/>
          <w:sz w:val="24"/>
          <w:szCs w:val="24"/>
        </w:rPr>
      </w:pPr>
      <w:r w:rsidRPr="005A775F">
        <w:rPr>
          <w:rFonts w:ascii="Arial" w:hAnsi="Arial" w:cs="Arial"/>
          <w:sz w:val="24"/>
          <w:szCs w:val="24"/>
        </w:rPr>
        <w:t>[62]</w:t>
      </w:r>
      <w:r w:rsidRPr="005A775F">
        <w:rPr>
          <w:rFonts w:ascii="Arial" w:hAnsi="Arial" w:cs="Arial"/>
          <w:sz w:val="24"/>
          <w:szCs w:val="24"/>
        </w:rPr>
        <w:tab/>
      </w:r>
      <w:r w:rsidR="00CA4456" w:rsidRPr="005A775F">
        <w:rPr>
          <w:rFonts w:ascii="Arial" w:hAnsi="Arial" w:cs="Arial"/>
          <w:sz w:val="24"/>
          <w:szCs w:val="24"/>
        </w:rPr>
        <w:t xml:space="preserve">The trial court’s approach of assigning itself to comparing the evidence of only two witnesses, Chabi and the respondent (on the issue of the agreement) without considering the impact </w:t>
      </w:r>
      <w:r w:rsidR="00F7475D">
        <w:rPr>
          <w:rFonts w:ascii="Arial" w:hAnsi="Arial" w:cs="Arial"/>
          <w:sz w:val="24"/>
          <w:szCs w:val="24"/>
        </w:rPr>
        <w:t xml:space="preserve">that </w:t>
      </w:r>
      <w:r w:rsidR="00CA4456" w:rsidRPr="005A775F">
        <w:rPr>
          <w:rFonts w:ascii="Arial" w:hAnsi="Arial" w:cs="Arial"/>
          <w:sz w:val="24"/>
          <w:szCs w:val="24"/>
        </w:rPr>
        <w:t>the other evidence placed before the court might have on the credibility of the two witnesses was a material misdirection of the law. The intentional exclusion of direct evidence of objective individuals in respect of the relationship between the two witnesses constituted a material error of the law.</w:t>
      </w:r>
    </w:p>
    <w:p w14:paraId="50DF8ABE" w14:textId="77777777" w:rsidR="00114305" w:rsidRPr="00114305" w:rsidRDefault="00114305" w:rsidP="00114305">
      <w:pPr>
        <w:pStyle w:val="ListParagraph"/>
        <w:spacing w:after="160" w:line="360" w:lineRule="auto"/>
        <w:ind w:left="0"/>
        <w:jc w:val="both"/>
        <w:rPr>
          <w:rFonts w:ascii="Arial" w:hAnsi="Arial" w:cs="Arial"/>
          <w:sz w:val="24"/>
          <w:szCs w:val="24"/>
        </w:rPr>
      </w:pPr>
    </w:p>
    <w:p w14:paraId="4F6576E1" w14:textId="431969C4" w:rsidR="00CA4456" w:rsidRDefault="003C639A" w:rsidP="00114305">
      <w:pPr>
        <w:pStyle w:val="ListParagraph"/>
        <w:spacing w:after="160" w:line="360" w:lineRule="auto"/>
        <w:ind w:left="0"/>
        <w:jc w:val="both"/>
        <w:rPr>
          <w:rFonts w:ascii="Arial" w:hAnsi="Arial" w:cs="Arial"/>
          <w:sz w:val="24"/>
          <w:szCs w:val="24"/>
        </w:rPr>
      </w:pPr>
      <w:r w:rsidRPr="005A775F">
        <w:rPr>
          <w:rFonts w:ascii="Arial" w:hAnsi="Arial" w:cs="Arial"/>
          <w:sz w:val="24"/>
          <w:szCs w:val="24"/>
        </w:rPr>
        <w:t>[63]</w:t>
      </w:r>
      <w:r w:rsidRPr="005A775F">
        <w:rPr>
          <w:rFonts w:ascii="Arial" w:hAnsi="Arial" w:cs="Arial"/>
          <w:sz w:val="24"/>
          <w:szCs w:val="24"/>
        </w:rPr>
        <w:tab/>
      </w:r>
      <w:r w:rsidR="00CA4456" w:rsidRPr="005A775F">
        <w:rPr>
          <w:rFonts w:ascii="Arial" w:hAnsi="Arial" w:cs="Arial"/>
          <w:sz w:val="24"/>
          <w:szCs w:val="24"/>
        </w:rPr>
        <w:t>The issue however does not end there. While the court misdirected itself by focusing solely on prior agreement, which need not be shown to prove common purpose, the trial court proceeded to make a finding that the respondent ‘feared for his life and that of his family</w:t>
      </w:r>
      <w:r w:rsidR="005A775F">
        <w:rPr>
          <w:rFonts w:ascii="Arial" w:hAnsi="Arial" w:cs="Arial"/>
          <w:sz w:val="24"/>
          <w:szCs w:val="24"/>
        </w:rPr>
        <w:t>’.</w:t>
      </w:r>
      <w:r w:rsidR="00CA4456" w:rsidRPr="005A775F">
        <w:rPr>
          <w:rFonts w:ascii="Arial" w:hAnsi="Arial" w:cs="Arial"/>
          <w:sz w:val="24"/>
          <w:szCs w:val="24"/>
        </w:rPr>
        <w:t xml:space="preserve"> A factual finding, albeit scant, has been made that the responded acted out of necessity, which is the reason the trial court attributed to the respondent’s failure to disassociate himself from the commission of the crime. The trial court did not demonstrate how it reached that conclusion. In its refusal judgment, the trial court referred to its summary of the evidence, detailed case law on necessity, and its finding which were captured in one sentence stating, ‘there was thus no duty upon the accused to sacrifice serious injury or his life to protect the deceased from harm and/or death’.</w:t>
      </w:r>
    </w:p>
    <w:p w14:paraId="40FB64B6" w14:textId="77777777" w:rsidR="00114305" w:rsidRPr="005A775F" w:rsidRDefault="00114305" w:rsidP="00114305">
      <w:pPr>
        <w:pStyle w:val="ListParagraph"/>
        <w:spacing w:after="160" w:line="360" w:lineRule="auto"/>
        <w:ind w:left="0"/>
        <w:jc w:val="both"/>
        <w:rPr>
          <w:rFonts w:ascii="Arial" w:hAnsi="Arial" w:cs="Arial"/>
          <w:sz w:val="24"/>
          <w:szCs w:val="24"/>
        </w:rPr>
      </w:pPr>
    </w:p>
    <w:p w14:paraId="028E65B1" w14:textId="022FC769" w:rsidR="00CA4456" w:rsidRPr="00E02A38" w:rsidRDefault="005A775F" w:rsidP="005273A2">
      <w:pPr>
        <w:pStyle w:val="ListParagraph"/>
        <w:spacing w:after="0" w:line="360" w:lineRule="auto"/>
        <w:ind w:left="0"/>
        <w:jc w:val="both"/>
        <w:rPr>
          <w:rFonts w:ascii="Arial" w:hAnsi="Arial" w:cs="Arial"/>
          <w:sz w:val="24"/>
          <w:szCs w:val="24"/>
        </w:rPr>
      </w:pPr>
      <w:r w:rsidRPr="00E02A38">
        <w:rPr>
          <w:rFonts w:ascii="Arial" w:hAnsi="Arial" w:cs="Arial"/>
          <w:sz w:val="24"/>
          <w:szCs w:val="24"/>
        </w:rPr>
        <w:t>[64]</w:t>
      </w:r>
      <w:r w:rsidRPr="00E02A38">
        <w:rPr>
          <w:rFonts w:ascii="Arial" w:hAnsi="Arial" w:cs="Arial"/>
          <w:sz w:val="24"/>
          <w:szCs w:val="24"/>
        </w:rPr>
        <w:tab/>
      </w:r>
      <w:r w:rsidR="00CA4456" w:rsidRPr="00E02A38">
        <w:rPr>
          <w:rFonts w:ascii="Arial" w:hAnsi="Arial" w:cs="Arial"/>
          <w:sz w:val="24"/>
          <w:szCs w:val="24"/>
        </w:rPr>
        <w:t xml:space="preserve">While one may be critical of the trial court’s clear failure to assess the evidence of the respondent as against the requirements of necessity (particularly the fact that </w:t>
      </w:r>
      <w:r w:rsidR="00CA4456" w:rsidRPr="00E02A38">
        <w:rPr>
          <w:rFonts w:ascii="Arial" w:hAnsi="Arial" w:cs="Arial"/>
          <w:sz w:val="24"/>
          <w:szCs w:val="24"/>
        </w:rPr>
        <w:lastRenderedPageBreak/>
        <w:t xml:space="preserve">the respondent accepted that his life was not threatened at any stage by Chabi during the commission of the crime), that issue remained a question of fact, which this court is not at liberty to interfere with. It is an enquiry that involves judicial process of evaluating evidence. In the end, the fact that the trial court erred by confining itself to the question of prior agreement becomes academic. </w:t>
      </w:r>
    </w:p>
    <w:p w14:paraId="2BDFE383" w14:textId="77777777" w:rsidR="00CA4456" w:rsidRPr="00E02A38" w:rsidRDefault="00CA4456" w:rsidP="00AF0BCC">
      <w:pPr>
        <w:spacing w:after="0" w:line="360" w:lineRule="auto"/>
        <w:jc w:val="both"/>
        <w:rPr>
          <w:rFonts w:ascii="Arial" w:hAnsi="Arial" w:cs="Arial"/>
          <w:sz w:val="24"/>
          <w:szCs w:val="24"/>
        </w:rPr>
      </w:pPr>
    </w:p>
    <w:p w14:paraId="4727D283" w14:textId="16E8A540" w:rsidR="00CA4456" w:rsidRPr="00E02A38" w:rsidRDefault="00E02A38" w:rsidP="00E02A38">
      <w:pPr>
        <w:pStyle w:val="ListParagraph"/>
        <w:spacing w:after="160" w:line="360" w:lineRule="auto"/>
        <w:ind w:left="0"/>
        <w:jc w:val="both"/>
        <w:rPr>
          <w:rFonts w:ascii="Arial" w:hAnsi="Arial" w:cs="Arial"/>
          <w:sz w:val="24"/>
          <w:szCs w:val="24"/>
        </w:rPr>
      </w:pPr>
      <w:r w:rsidRPr="00E02A38">
        <w:rPr>
          <w:rFonts w:ascii="Arial" w:hAnsi="Arial" w:cs="Arial"/>
          <w:sz w:val="24"/>
          <w:szCs w:val="24"/>
        </w:rPr>
        <w:t>[65]</w:t>
      </w:r>
      <w:r w:rsidRPr="00E02A38">
        <w:rPr>
          <w:rFonts w:ascii="Arial" w:hAnsi="Arial" w:cs="Arial"/>
          <w:sz w:val="24"/>
          <w:szCs w:val="24"/>
        </w:rPr>
        <w:tab/>
      </w:r>
      <w:r w:rsidR="00CA4456" w:rsidRPr="00E02A38">
        <w:rPr>
          <w:rFonts w:ascii="Arial" w:hAnsi="Arial" w:cs="Arial"/>
          <w:sz w:val="24"/>
          <w:szCs w:val="24"/>
        </w:rPr>
        <w:t>For these reasons</w:t>
      </w:r>
      <w:r w:rsidR="00114305">
        <w:rPr>
          <w:rFonts w:ascii="Arial" w:hAnsi="Arial" w:cs="Arial"/>
          <w:sz w:val="24"/>
          <w:szCs w:val="24"/>
        </w:rPr>
        <w:t>,</w:t>
      </w:r>
      <w:r w:rsidR="000911F0">
        <w:rPr>
          <w:rFonts w:ascii="Arial" w:hAnsi="Arial" w:cs="Arial"/>
          <w:sz w:val="24"/>
          <w:szCs w:val="24"/>
        </w:rPr>
        <w:t xml:space="preserve"> the application for leave</w:t>
      </w:r>
      <w:r w:rsidR="00B07FAA">
        <w:rPr>
          <w:rFonts w:ascii="Arial" w:hAnsi="Arial" w:cs="Arial"/>
          <w:sz w:val="24"/>
          <w:szCs w:val="24"/>
        </w:rPr>
        <w:t xml:space="preserve"> to appeal is dismissed</w:t>
      </w:r>
      <w:r w:rsidR="00A24160">
        <w:rPr>
          <w:rFonts w:ascii="Arial" w:hAnsi="Arial" w:cs="Arial"/>
          <w:sz w:val="24"/>
          <w:szCs w:val="24"/>
        </w:rPr>
        <w:t>.</w:t>
      </w:r>
      <w:r w:rsidR="00CA4456" w:rsidRPr="00E02A38">
        <w:rPr>
          <w:rFonts w:ascii="Arial" w:hAnsi="Arial" w:cs="Arial"/>
          <w:sz w:val="24"/>
          <w:szCs w:val="24"/>
        </w:rPr>
        <w:t xml:space="preserve">  </w:t>
      </w:r>
    </w:p>
    <w:p w14:paraId="5DC3C5BA" w14:textId="77777777" w:rsidR="00CA4456" w:rsidRDefault="00CA4456" w:rsidP="00862E79">
      <w:pPr>
        <w:pStyle w:val="ListParagraph"/>
        <w:ind w:left="0"/>
        <w:rPr>
          <w:rFonts w:ascii="Arial" w:hAnsi="Arial" w:cs="Arial"/>
          <w:sz w:val="28"/>
          <w:szCs w:val="28"/>
        </w:rPr>
      </w:pPr>
    </w:p>
    <w:p w14:paraId="61C7E148" w14:textId="6034CC50" w:rsidR="005273A2" w:rsidRDefault="000911F0" w:rsidP="00862E79">
      <w:pPr>
        <w:pStyle w:val="ListParagraph"/>
        <w:ind w:left="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648F058F" w14:textId="6509B467" w:rsidR="000911F0" w:rsidRPr="00AF06FA" w:rsidRDefault="000911F0" w:rsidP="00862E79">
      <w:pPr>
        <w:pStyle w:val="ListParagraph"/>
        <w:ind w:left="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6490355C" w14:textId="29278B31" w:rsidR="00CE6EBC" w:rsidRPr="00862E79" w:rsidRDefault="00CE6EBC" w:rsidP="00B0446D">
      <w:pPr>
        <w:spacing w:after="0" w:line="360" w:lineRule="auto"/>
        <w:contextualSpacing/>
        <w:jc w:val="right"/>
        <w:rPr>
          <w:rFonts w:ascii="Arial" w:hAnsi="Arial" w:cs="Arial"/>
          <w:sz w:val="24"/>
          <w:szCs w:val="24"/>
        </w:rPr>
      </w:pPr>
      <w:r w:rsidRPr="00862E79">
        <w:rPr>
          <w:rFonts w:ascii="Arial" w:hAnsi="Arial" w:cs="Arial"/>
          <w:sz w:val="24"/>
          <w:szCs w:val="24"/>
        </w:rPr>
        <w:t>_______________________</w:t>
      </w:r>
    </w:p>
    <w:p w14:paraId="3976C371" w14:textId="030B5388" w:rsidR="00CE6EBC" w:rsidRPr="00862E79" w:rsidRDefault="00CA4456" w:rsidP="00B0446D">
      <w:pPr>
        <w:spacing w:after="0" w:line="360" w:lineRule="auto"/>
        <w:contextualSpacing/>
        <w:jc w:val="right"/>
        <w:rPr>
          <w:rFonts w:ascii="Arial" w:hAnsi="Arial" w:cs="Arial"/>
          <w:sz w:val="24"/>
          <w:szCs w:val="24"/>
        </w:rPr>
      </w:pPr>
      <w:r w:rsidRPr="00862E79">
        <w:rPr>
          <w:rFonts w:ascii="Arial" w:hAnsi="Arial" w:cs="Arial"/>
          <w:sz w:val="24"/>
          <w:szCs w:val="24"/>
        </w:rPr>
        <w:t>N P MABINDLA-BOQWANA</w:t>
      </w:r>
    </w:p>
    <w:p w14:paraId="40DB1CFB" w14:textId="3D9F84D9" w:rsidR="00CA4456" w:rsidRPr="00862E79" w:rsidRDefault="005705F7" w:rsidP="00B0446D">
      <w:pPr>
        <w:spacing w:after="0" w:line="360" w:lineRule="auto"/>
        <w:contextualSpacing/>
        <w:jc w:val="right"/>
        <w:rPr>
          <w:rFonts w:ascii="Arial" w:hAnsi="Arial" w:cs="Arial"/>
          <w:sz w:val="24"/>
          <w:szCs w:val="24"/>
        </w:rPr>
      </w:pPr>
      <w:r w:rsidRPr="00862E79">
        <w:rPr>
          <w:rFonts w:ascii="Arial" w:hAnsi="Arial" w:cs="Arial"/>
          <w:sz w:val="24"/>
          <w:szCs w:val="24"/>
        </w:rPr>
        <w:t xml:space="preserve">  </w:t>
      </w:r>
      <w:r w:rsidR="00862E79">
        <w:rPr>
          <w:rFonts w:ascii="Arial" w:hAnsi="Arial" w:cs="Arial"/>
          <w:sz w:val="24"/>
          <w:szCs w:val="24"/>
        </w:rPr>
        <w:t xml:space="preserve"> </w:t>
      </w:r>
      <w:r w:rsidR="00CA4456" w:rsidRPr="00862E79">
        <w:rPr>
          <w:rFonts w:ascii="Arial" w:hAnsi="Arial" w:cs="Arial"/>
          <w:sz w:val="24"/>
          <w:szCs w:val="24"/>
        </w:rPr>
        <w:t>ACTING JUDGE OF APPEAL</w:t>
      </w:r>
    </w:p>
    <w:p w14:paraId="41DB1CC2" w14:textId="77777777" w:rsidR="00862E79" w:rsidRDefault="00862E79" w:rsidP="00862E79">
      <w:pPr>
        <w:spacing w:after="0" w:line="360" w:lineRule="auto"/>
        <w:jc w:val="right"/>
        <w:outlineLvl w:val="0"/>
        <w:rPr>
          <w:rFonts w:ascii="Arial" w:eastAsiaTheme="minorEastAsia" w:hAnsi="Arial" w:cs="Arial"/>
          <w:sz w:val="24"/>
          <w:szCs w:val="24"/>
          <w:lang w:val="en-US"/>
        </w:rPr>
      </w:pPr>
    </w:p>
    <w:p w14:paraId="0DEB1FE3" w14:textId="77777777" w:rsidR="00862E79" w:rsidRDefault="00862E79" w:rsidP="00214774">
      <w:pPr>
        <w:spacing w:after="0" w:line="360" w:lineRule="auto"/>
        <w:jc w:val="both"/>
        <w:outlineLvl w:val="0"/>
        <w:rPr>
          <w:rFonts w:ascii="Arial" w:eastAsiaTheme="minorEastAsia" w:hAnsi="Arial" w:cs="Arial"/>
          <w:sz w:val="24"/>
          <w:szCs w:val="24"/>
          <w:lang w:val="en-US"/>
        </w:rPr>
      </w:pPr>
    </w:p>
    <w:p w14:paraId="1033000A" w14:textId="77777777" w:rsidR="00862E79" w:rsidRDefault="00862E79" w:rsidP="00214774">
      <w:pPr>
        <w:spacing w:after="0" w:line="360" w:lineRule="auto"/>
        <w:jc w:val="both"/>
        <w:outlineLvl w:val="0"/>
        <w:rPr>
          <w:rFonts w:ascii="Arial" w:eastAsiaTheme="minorEastAsia" w:hAnsi="Arial" w:cs="Arial"/>
          <w:sz w:val="24"/>
          <w:szCs w:val="24"/>
          <w:lang w:val="en-US"/>
        </w:rPr>
      </w:pPr>
    </w:p>
    <w:p w14:paraId="0F95386F" w14:textId="77777777" w:rsidR="00862E79" w:rsidRDefault="00862E79" w:rsidP="00214774">
      <w:pPr>
        <w:spacing w:after="0" w:line="360" w:lineRule="auto"/>
        <w:jc w:val="both"/>
        <w:outlineLvl w:val="0"/>
        <w:rPr>
          <w:rFonts w:ascii="Arial" w:eastAsiaTheme="minorEastAsia" w:hAnsi="Arial" w:cs="Arial"/>
          <w:sz w:val="24"/>
          <w:szCs w:val="24"/>
          <w:lang w:val="en-US"/>
        </w:rPr>
      </w:pPr>
    </w:p>
    <w:p w14:paraId="6AA2A1A9" w14:textId="77777777" w:rsidR="00862E79" w:rsidRDefault="00862E79" w:rsidP="00214774">
      <w:pPr>
        <w:spacing w:after="0" w:line="360" w:lineRule="auto"/>
        <w:jc w:val="both"/>
        <w:outlineLvl w:val="0"/>
        <w:rPr>
          <w:rFonts w:ascii="Arial" w:eastAsiaTheme="minorEastAsia" w:hAnsi="Arial" w:cs="Arial"/>
          <w:sz w:val="24"/>
          <w:szCs w:val="24"/>
          <w:lang w:val="en-US"/>
        </w:rPr>
      </w:pPr>
    </w:p>
    <w:p w14:paraId="7C20B818" w14:textId="77777777" w:rsidR="00862E79" w:rsidRDefault="00862E79" w:rsidP="00214774">
      <w:pPr>
        <w:spacing w:after="0" w:line="360" w:lineRule="auto"/>
        <w:jc w:val="both"/>
        <w:outlineLvl w:val="0"/>
        <w:rPr>
          <w:rFonts w:ascii="Arial" w:eastAsiaTheme="minorEastAsia" w:hAnsi="Arial" w:cs="Arial"/>
          <w:sz w:val="24"/>
          <w:szCs w:val="24"/>
          <w:lang w:val="en-US"/>
        </w:rPr>
      </w:pPr>
    </w:p>
    <w:p w14:paraId="0E43598C" w14:textId="77777777" w:rsidR="00862E79" w:rsidRDefault="00862E79" w:rsidP="00214774">
      <w:pPr>
        <w:spacing w:after="0" w:line="360" w:lineRule="auto"/>
        <w:jc w:val="both"/>
        <w:outlineLvl w:val="0"/>
        <w:rPr>
          <w:rFonts w:ascii="Arial" w:eastAsiaTheme="minorEastAsia" w:hAnsi="Arial" w:cs="Arial"/>
          <w:sz w:val="24"/>
          <w:szCs w:val="24"/>
          <w:lang w:val="en-US"/>
        </w:rPr>
      </w:pPr>
    </w:p>
    <w:p w14:paraId="48CF07D5" w14:textId="77777777" w:rsidR="00862E79" w:rsidRDefault="00862E79" w:rsidP="00214774">
      <w:pPr>
        <w:spacing w:after="0" w:line="360" w:lineRule="auto"/>
        <w:jc w:val="both"/>
        <w:outlineLvl w:val="0"/>
        <w:rPr>
          <w:rFonts w:ascii="Arial" w:eastAsiaTheme="minorEastAsia" w:hAnsi="Arial" w:cs="Arial"/>
          <w:sz w:val="24"/>
          <w:szCs w:val="24"/>
          <w:lang w:val="en-US"/>
        </w:rPr>
      </w:pPr>
    </w:p>
    <w:p w14:paraId="496C4427" w14:textId="77777777" w:rsidR="00862E79" w:rsidRDefault="00862E79" w:rsidP="00214774">
      <w:pPr>
        <w:spacing w:after="0" w:line="360" w:lineRule="auto"/>
        <w:jc w:val="both"/>
        <w:outlineLvl w:val="0"/>
        <w:rPr>
          <w:rFonts w:ascii="Arial" w:eastAsiaTheme="minorEastAsia" w:hAnsi="Arial" w:cs="Arial"/>
          <w:sz w:val="24"/>
          <w:szCs w:val="24"/>
          <w:lang w:val="en-US"/>
        </w:rPr>
      </w:pPr>
    </w:p>
    <w:p w14:paraId="597F7AD6" w14:textId="77777777" w:rsidR="00862E79" w:rsidRDefault="00862E79" w:rsidP="00214774">
      <w:pPr>
        <w:spacing w:after="0" w:line="360" w:lineRule="auto"/>
        <w:jc w:val="both"/>
        <w:outlineLvl w:val="0"/>
        <w:rPr>
          <w:rFonts w:ascii="Arial" w:eastAsiaTheme="minorEastAsia" w:hAnsi="Arial" w:cs="Arial"/>
          <w:sz w:val="24"/>
          <w:szCs w:val="24"/>
          <w:lang w:val="en-US"/>
        </w:rPr>
      </w:pPr>
    </w:p>
    <w:p w14:paraId="0A984873" w14:textId="77777777" w:rsidR="00862E79" w:rsidRDefault="00862E79" w:rsidP="00214774">
      <w:pPr>
        <w:spacing w:after="0" w:line="360" w:lineRule="auto"/>
        <w:jc w:val="both"/>
        <w:outlineLvl w:val="0"/>
        <w:rPr>
          <w:rFonts w:ascii="Arial" w:eastAsiaTheme="minorEastAsia" w:hAnsi="Arial" w:cs="Arial"/>
          <w:sz w:val="24"/>
          <w:szCs w:val="24"/>
          <w:lang w:val="en-US"/>
        </w:rPr>
      </w:pPr>
    </w:p>
    <w:p w14:paraId="0F201C0D" w14:textId="77777777" w:rsidR="00862E79" w:rsidRDefault="00862E79" w:rsidP="00214774">
      <w:pPr>
        <w:spacing w:after="0" w:line="360" w:lineRule="auto"/>
        <w:jc w:val="both"/>
        <w:outlineLvl w:val="0"/>
        <w:rPr>
          <w:rFonts w:ascii="Arial" w:eastAsiaTheme="minorEastAsia" w:hAnsi="Arial" w:cs="Arial"/>
          <w:sz w:val="24"/>
          <w:szCs w:val="24"/>
          <w:lang w:val="en-US"/>
        </w:rPr>
      </w:pPr>
    </w:p>
    <w:p w14:paraId="78A5FEBC" w14:textId="77777777" w:rsidR="009303C6" w:rsidRDefault="009303C6" w:rsidP="00214774">
      <w:pPr>
        <w:spacing w:after="0" w:line="360" w:lineRule="auto"/>
        <w:jc w:val="both"/>
        <w:outlineLvl w:val="0"/>
        <w:rPr>
          <w:rFonts w:ascii="Arial" w:eastAsiaTheme="minorEastAsia" w:hAnsi="Arial" w:cs="Arial"/>
          <w:sz w:val="24"/>
          <w:szCs w:val="24"/>
          <w:lang w:val="en-US"/>
        </w:rPr>
      </w:pPr>
    </w:p>
    <w:p w14:paraId="78610013" w14:textId="77777777" w:rsidR="000A074E" w:rsidRDefault="000A074E" w:rsidP="00214774">
      <w:pPr>
        <w:spacing w:after="0" w:line="360" w:lineRule="auto"/>
        <w:jc w:val="both"/>
        <w:outlineLvl w:val="0"/>
        <w:rPr>
          <w:rFonts w:ascii="Arial" w:eastAsiaTheme="minorEastAsia" w:hAnsi="Arial" w:cs="Arial"/>
          <w:sz w:val="24"/>
          <w:szCs w:val="24"/>
          <w:lang w:val="en-US"/>
        </w:rPr>
      </w:pPr>
    </w:p>
    <w:p w14:paraId="2E897B2E" w14:textId="77777777" w:rsidR="00AB6E40" w:rsidRDefault="00AB6E40" w:rsidP="00214774">
      <w:pPr>
        <w:spacing w:after="0" w:line="360" w:lineRule="auto"/>
        <w:jc w:val="both"/>
        <w:outlineLvl w:val="0"/>
        <w:rPr>
          <w:rFonts w:ascii="Arial" w:eastAsiaTheme="minorEastAsia" w:hAnsi="Arial" w:cs="Arial"/>
          <w:sz w:val="24"/>
          <w:szCs w:val="24"/>
          <w:lang w:val="en-US"/>
        </w:rPr>
      </w:pPr>
    </w:p>
    <w:p w14:paraId="2A0C9C65" w14:textId="77777777" w:rsidR="00AB6E40" w:rsidRDefault="00AB6E40" w:rsidP="00214774">
      <w:pPr>
        <w:spacing w:after="0" w:line="360" w:lineRule="auto"/>
        <w:jc w:val="both"/>
        <w:outlineLvl w:val="0"/>
        <w:rPr>
          <w:rFonts w:ascii="Arial" w:eastAsiaTheme="minorEastAsia" w:hAnsi="Arial" w:cs="Arial"/>
          <w:sz w:val="24"/>
          <w:szCs w:val="24"/>
          <w:lang w:val="en-US"/>
        </w:rPr>
      </w:pPr>
    </w:p>
    <w:p w14:paraId="4E98EB30" w14:textId="77777777" w:rsidR="00AB6E40" w:rsidRDefault="00AB6E40" w:rsidP="00214774">
      <w:pPr>
        <w:spacing w:after="0" w:line="360" w:lineRule="auto"/>
        <w:jc w:val="both"/>
        <w:outlineLvl w:val="0"/>
        <w:rPr>
          <w:rFonts w:ascii="Arial" w:eastAsiaTheme="minorEastAsia" w:hAnsi="Arial" w:cs="Arial"/>
          <w:sz w:val="24"/>
          <w:szCs w:val="24"/>
          <w:lang w:val="en-US"/>
        </w:rPr>
      </w:pPr>
    </w:p>
    <w:p w14:paraId="5B463AD3" w14:textId="77777777" w:rsidR="00AB6E40" w:rsidRDefault="00AB6E40" w:rsidP="00214774">
      <w:pPr>
        <w:spacing w:after="0" w:line="360" w:lineRule="auto"/>
        <w:jc w:val="both"/>
        <w:outlineLvl w:val="0"/>
        <w:rPr>
          <w:rFonts w:ascii="Arial" w:eastAsiaTheme="minorEastAsia" w:hAnsi="Arial" w:cs="Arial"/>
          <w:sz w:val="24"/>
          <w:szCs w:val="24"/>
          <w:lang w:val="en-US"/>
        </w:rPr>
      </w:pPr>
    </w:p>
    <w:p w14:paraId="618AA1B7" w14:textId="77777777" w:rsidR="00AB6E40" w:rsidRDefault="00AB6E40" w:rsidP="00214774">
      <w:pPr>
        <w:spacing w:after="0" w:line="360" w:lineRule="auto"/>
        <w:jc w:val="both"/>
        <w:outlineLvl w:val="0"/>
        <w:rPr>
          <w:rFonts w:ascii="Arial" w:eastAsiaTheme="minorEastAsia" w:hAnsi="Arial" w:cs="Arial"/>
          <w:sz w:val="24"/>
          <w:szCs w:val="24"/>
          <w:lang w:val="en-US"/>
        </w:rPr>
      </w:pPr>
    </w:p>
    <w:p w14:paraId="05FF9FBE" w14:textId="77777777" w:rsidR="00114305" w:rsidRDefault="00114305" w:rsidP="00214774">
      <w:pPr>
        <w:spacing w:after="0" w:line="360" w:lineRule="auto"/>
        <w:jc w:val="both"/>
        <w:outlineLvl w:val="0"/>
        <w:rPr>
          <w:rFonts w:ascii="Arial" w:eastAsiaTheme="minorEastAsia" w:hAnsi="Arial" w:cs="Arial"/>
          <w:sz w:val="24"/>
          <w:szCs w:val="24"/>
          <w:lang w:val="en-US"/>
        </w:rPr>
      </w:pPr>
    </w:p>
    <w:p w14:paraId="77020A57" w14:textId="3AA002AE" w:rsidR="0046555A" w:rsidRPr="005156DD" w:rsidRDefault="005156DD" w:rsidP="00214774">
      <w:pPr>
        <w:spacing w:after="0" w:line="360" w:lineRule="auto"/>
        <w:jc w:val="both"/>
        <w:outlineLvl w:val="0"/>
        <w:rPr>
          <w:rFonts w:ascii="Arial" w:eastAsiaTheme="minorEastAsia" w:hAnsi="Arial" w:cs="Arial"/>
          <w:sz w:val="24"/>
          <w:szCs w:val="24"/>
          <w:lang w:val="en-US"/>
        </w:rPr>
      </w:pPr>
      <w:r w:rsidRPr="005156DD">
        <w:rPr>
          <w:rFonts w:ascii="Arial" w:eastAsiaTheme="minorEastAsia" w:hAnsi="Arial" w:cs="Arial"/>
          <w:sz w:val="24"/>
          <w:szCs w:val="24"/>
          <w:lang w:val="en-US"/>
        </w:rPr>
        <w:lastRenderedPageBreak/>
        <w:t>Appearances</w:t>
      </w:r>
    </w:p>
    <w:p w14:paraId="1D06EA7F" w14:textId="77777777" w:rsidR="005156DD" w:rsidRPr="002560F3" w:rsidRDefault="005156DD" w:rsidP="00214774">
      <w:pPr>
        <w:spacing w:after="0" w:line="360" w:lineRule="auto"/>
        <w:jc w:val="both"/>
        <w:outlineLvl w:val="0"/>
        <w:rPr>
          <w:rFonts w:ascii="Arial" w:eastAsiaTheme="minorEastAsia" w:hAnsi="Arial" w:cs="Arial"/>
          <w:sz w:val="24"/>
          <w:szCs w:val="24"/>
          <w:lang w:val="en-US"/>
        </w:rPr>
      </w:pPr>
    </w:p>
    <w:p w14:paraId="2453A6A4" w14:textId="313FD8EF" w:rsidR="00FB7968" w:rsidRPr="002560F3" w:rsidRDefault="00F21475" w:rsidP="00252992">
      <w:pPr>
        <w:tabs>
          <w:tab w:val="left" w:pos="3544"/>
        </w:tabs>
        <w:spacing w:after="0" w:line="360" w:lineRule="auto"/>
        <w:jc w:val="both"/>
        <w:rPr>
          <w:rFonts w:ascii="Arial" w:eastAsiaTheme="minorEastAsia" w:hAnsi="Arial" w:cs="Arial"/>
          <w:sz w:val="24"/>
          <w:szCs w:val="24"/>
          <w:lang w:val="en-US"/>
        </w:rPr>
      </w:pPr>
      <w:r w:rsidRPr="002560F3">
        <w:rPr>
          <w:rFonts w:ascii="Arial" w:eastAsiaTheme="minorEastAsia" w:hAnsi="Arial" w:cs="Arial"/>
          <w:sz w:val="24"/>
          <w:szCs w:val="24"/>
          <w:lang w:val="en-US"/>
        </w:rPr>
        <w:t xml:space="preserve">For </w:t>
      </w:r>
      <w:r w:rsidR="006A4BEA">
        <w:rPr>
          <w:rFonts w:ascii="Arial" w:eastAsiaTheme="minorEastAsia" w:hAnsi="Arial" w:cs="Arial"/>
          <w:sz w:val="24"/>
          <w:szCs w:val="24"/>
          <w:lang w:val="en-US"/>
        </w:rPr>
        <w:t>a</w:t>
      </w:r>
      <w:r w:rsidRPr="002560F3">
        <w:rPr>
          <w:rFonts w:ascii="Arial" w:eastAsiaTheme="minorEastAsia" w:hAnsi="Arial" w:cs="Arial"/>
          <w:sz w:val="24"/>
          <w:szCs w:val="24"/>
          <w:lang w:val="en-US"/>
        </w:rPr>
        <w:t>ppellant:</w:t>
      </w:r>
      <w:r w:rsidR="002560F3">
        <w:rPr>
          <w:rFonts w:ascii="Arial" w:eastAsiaTheme="minorEastAsia" w:hAnsi="Arial" w:cs="Arial"/>
          <w:sz w:val="24"/>
          <w:szCs w:val="24"/>
          <w:lang w:val="en-US"/>
        </w:rPr>
        <w:tab/>
      </w:r>
      <w:r w:rsidR="003B17C9" w:rsidRPr="002560F3">
        <w:rPr>
          <w:rFonts w:ascii="Arial" w:eastAsiaTheme="minorEastAsia" w:hAnsi="Arial" w:cs="Arial"/>
          <w:sz w:val="24"/>
          <w:szCs w:val="24"/>
          <w:lang w:val="en-US"/>
        </w:rPr>
        <w:t>A Coetzee</w:t>
      </w:r>
    </w:p>
    <w:p w14:paraId="382C9EF2" w14:textId="77777777" w:rsidR="00FD54C8" w:rsidRPr="002560F3" w:rsidRDefault="00200F55" w:rsidP="00252992">
      <w:pPr>
        <w:tabs>
          <w:tab w:val="left" w:pos="3544"/>
        </w:tabs>
        <w:spacing w:after="0" w:line="360" w:lineRule="auto"/>
        <w:jc w:val="both"/>
        <w:rPr>
          <w:rFonts w:ascii="Arial" w:eastAsiaTheme="minorEastAsia" w:hAnsi="Arial" w:cs="Arial"/>
          <w:sz w:val="24"/>
          <w:szCs w:val="24"/>
          <w:lang w:val="en-US"/>
        </w:rPr>
      </w:pPr>
      <w:r w:rsidRPr="002560F3">
        <w:rPr>
          <w:rFonts w:ascii="Arial" w:eastAsiaTheme="minorEastAsia" w:hAnsi="Arial" w:cs="Arial"/>
          <w:sz w:val="24"/>
          <w:szCs w:val="24"/>
          <w:lang w:val="en-US"/>
        </w:rPr>
        <w:t>Instructed by:</w:t>
      </w:r>
      <w:r w:rsidR="00FB7968" w:rsidRPr="002560F3">
        <w:rPr>
          <w:rFonts w:ascii="Arial" w:eastAsiaTheme="minorEastAsia" w:hAnsi="Arial" w:cs="Arial"/>
          <w:sz w:val="24"/>
          <w:szCs w:val="24"/>
          <w:lang w:val="en-US"/>
        </w:rPr>
        <w:tab/>
      </w:r>
      <w:r w:rsidR="006A466A" w:rsidRPr="002560F3">
        <w:rPr>
          <w:rFonts w:ascii="Arial" w:eastAsiaTheme="minorEastAsia" w:hAnsi="Arial" w:cs="Arial"/>
          <w:sz w:val="24"/>
          <w:szCs w:val="24"/>
          <w:lang w:val="en-US"/>
        </w:rPr>
        <w:t xml:space="preserve">Director of Public Prosecutions, </w:t>
      </w:r>
      <w:r w:rsidR="007A5382" w:rsidRPr="002560F3">
        <w:rPr>
          <w:rFonts w:ascii="Arial" w:eastAsiaTheme="minorEastAsia" w:hAnsi="Arial" w:cs="Arial"/>
          <w:sz w:val="24"/>
          <w:szCs w:val="24"/>
          <w:lang w:val="en-US"/>
        </w:rPr>
        <w:t>Gauteng</w:t>
      </w:r>
    </w:p>
    <w:p w14:paraId="22DA7AB0" w14:textId="77777777" w:rsidR="00FB7968" w:rsidRPr="002560F3" w:rsidRDefault="00FD54C8" w:rsidP="00252992">
      <w:pPr>
        <w:tabs>
          <w:tab w:val="left" w:pos="3544"/>
        </w:tabs>
        <w:spacing w:after="0" w:line="360" w:lineRule="auto"/>
        <w:jc w:val="both"/>
        <w:rPr>
          <w:rFonts w:ascii="Arial" w:eastAsiaTheme="minorEastAsia" w:hAnsi="Arial" w:cs="Arial"/>
          <w:sz w:val="24"/>
          <w:szCs w:val="24"/>
          <w:lang w:val="en-US"/>
        </w:rPr>
      </w:pPr>
      <w:r w:rsidRPr="002560F3">
        <w:rPr>
          <w:rFonts w:ascii="Arial" w:eastAsiaTheme="minorEastAsia" w:hAnsi="Arial" w:cs="Arial"/>
          <w:sz w:val="24"/>
          <w:szCs w:val="24"/>
          <w:lang w:val="en-US"/>
        </w:rPr>
        <w:tab/>
      </w:r>
      <w:r w:rsidR="006A466A" w:rsidRPr="002560F3">
        <w:rPr>
          <w:rFonts w:ascii="Arial" w:eastAsiaTheme="minorEastAsia" w:hAnsi="Arial" w:cs="Arial"/>
          <w:sz w:val="24"/>
          <w:szCs w:val="24"/>
          <w:lang w:val="en-US"/>
        </w:rPr>
        <w:t>Director of Public Prosec</w:t>
      </w:r>
      <w:r w:rsidR="00BA0E92" w:rsidRPr="002560F3">
        <w:rPr>
          <w:rFonts w:ascii="Arial" w:eastAsiaTheme="minorEastAsia" w:hAnsi="Arial" w:cs="Arial"/>
          <w:sz w:val="24"/>
          <w:szCs w:val="24"/>
          <w:lang w:val="en-US"/>
        </w:rPr>
        <w:t>u</w:t>
      </w:r>
      <w:r w:rsidR="006A466A" w:rsidRPr="002560F3">
        <w:rPr>
          <w:rFonts w:ascii="Arial" w:eastAsiaTheme="minorEastAsia" w:hAnsi="Arial" w:cs="Arial"/>
          <w:sz w:val="24"/>
          <w:szCs w:val="24"/>
          <w:lang w:val="en-US"/>
        </w:rPr>
        <w:t>tions</w:t>
      </w:r>
      <w:r w:rsidR="00FB7968" w:rsidRPr="002560F3">
        <w:rPr>
          <w:rFonts w:ascii="Arial" w:eastAsiaTheme="minorEastAsia" w:hAnsi="Arial" w:cs="Arial"/>
          <w:sz w:val="24"/>
          <w:szCs w:val="24"/>
          <w:lang w:val="en-US"/>
        </w:rPr>
        <w:t>, Bloemfontein</w:t>
      </w:r>
    </w:p>
    <w:p w14:paraId="32A1846F" w14:textId="77777777" w:rsidR="00E41749" w:rsidRPr="002560F3" w:rsidRDefault="00E41749" w:rsidP="00252992">
      <w:pPr>
        <w:tabs>
          <w:tab w:val="left" w:pos="3544"/>
        </w:tabs>
        <w:spacing w:after="0" w:line="360" w:lineRule="auto"/>
        <w:jc w:val="both"/>
        <w:rPr>
          <w:rFonts w:ascii="Arial" w:eastAsiaTheme="minorEastAsia" w:hAnsi="Arial" w:cs="Arial"/>
          <w:sz w:val="24"/>
          <w:szCs w:val="24"/>
          <w:lang w:val="en-US"/>
        </w:rPr>
      </w:pPr>
    </w:p>
    <w:p w14:paraId="79626FA3" w14:textId="4AA8977E" w:rsidR="0095631A" w:rsidRPr="0001217E" w:rsidRDefault="00F21475" w:rsidP="00252992">
      <w:pPr>
        <w:tabs>
          <w:tab w:val="left" w:pos="3544"/>
        </w:tabs>
        <w:spacing w:after="0" w:line="360" w:lineRule="auto"/>
        <w:ind w:left="3600" w:hanging="3600"/>
        <w:jc w:val="both"/>
        <w:rPr>
          <w:rFonts w:ascii="Arial" w:eastAsiaTheme="minorEastAsia" w:hAnsi="Arial" w:cs="Arial"/>
          <w:sz w:val="24"/>
          <w:szCs w:val="24"/>
          <w:lang w:val="en-US"/>
        </w:rPr>
      </w:pPr>
      <w:r w:rsidRPr="0001217E">
        <w:rPr>
          <w:rFonts w:ascii="Arial" w:eastAsiaTheme="minorEastAsia" w:hAnsi="Arial" w:cs="Arial"/>
          <w:sz w:val="24"/>
          <w:szCs w:val="24"/>
          <w:lang w:val="en-US"/>
        </w:rPr>
        <w:t xml:space="preserve">For </w:t>
      </w:r>
      <w:r w:rsidR="006A4BEA">
        <w:rPr>
          <w:rFonts w:ascii="Arial" w:eastAsiaTheme="minorEastAsia" w:hAnsi="Arial" w:cs="Arial"/>
          <w:sz w:val="24"/>
          <w:szCs w:val="24"/>
          <w:lang w:val="en-US"/>
        </w:rPr>
        <w:t>r</w:t>
      </w:r>
      <w:r w:rsidRPr="0001217E">
        <w:rPr>
          <w:rFonts w:ascii="Arial" w:eastAsiaTheme="minorEastAsia" w:hAnsi="Arial" w:cs="Arial"/>
          <w:sz w:val="24"/>
          <w:szCs w:val="24"/>
          <w:lang w:val="en-US"/>
        </w:rPr>
        <w:t>espondent:</w:t>
      </w:r>
      <w:r w:rsidR="00676C0E" w:rsidRPr="0001217E">
        <w:rPr>
          <w:rFonts w:ascii="Arial" w:eastAsiaTheme="minorEastAsia" w:hAnsi="Arial" w:cs="Arial"/>
          <w:sz w:val="24"/>
          <w:szCs w:val="24"/>
          <w:lang w:val="en-US"/>
        </w:rPr>
        <w:tab/>
      </w:r>
      <w:r w:rsidR="003B17C9" w:rsidRPr="0001217E">
        <w:rPr>
          <w:rFonts w:ascii="Arial" w:eastAsiaTheme="minorEastAsia" w:hAnsi="Arial" w:cs="Arial"/>
          <w:sz w:val="24"/>
          <w:szCs w:val="24"/>
          <w:lang w:val="en-US"/>
        </w:rPr>
        <w:t>D J Combrink</w:t>
      </w:r>
    </w:p>
    <w:p w14:paraId="5061ADD6" w14:textId="40C88A79" w:rsidR="00370727" w:rsidRDefault="008C749F" w:rsidP="00252992">
      <w:pPr>
        <w:tabs>
          <w:tab w:val="left" w:pos="3544"/>
        </w:tabs>
        <w:spacing w:after="0" w:line="360" w:lineRule="auto"/>
        <w:ind w:left="3600" w:hanging="3600"/>
        <w:jc w:val="both"/>
        <w:rPr>
          <w:rFonts w:ascii="Arial" w:eastAsiaTheme="minorEastAsia" w:hAnsi="Arial" w:cs="Arial"/>
          <w:sz w:val="24"/>
          <w:szCs w:val="24"/>
          <w:lang w:val="en-US"/>
        </w:rPr>
      </w:pPr>
      <w:r w:rsidRPr="0001217E">
        <w:rPr>
          <w:rFonts w:ascii="Arial" w:eastAsiaTheme="minorEastAsia" w:hAnsi="Arial" w:cs="Arial"/>
          <w:sz w:val="24"/>
          <w:szCs w:val="24"/>
          <w:lang w:val="en-US"/>
        </w:rPr>
        <w:t>Instructed by:</w:t>
      </w:r>
      <w:r w:rsidR="008D013A" w:rsidRPr="0001217E">
        <w:rPr>
          <w:rFonts w:ascii="Arial" w:eastAsiaTheme="minorEastAsia" w:hAnsi="Arial" w:cs="Arial"/>
          <w:sz w:val="24"/>
          <w:szCs w:val="24"/>
          <w:lang w:val="en-US"/>
        </w:rPr>
        <w:tab/>
      </w:r>
      <w:r w:rsidR="007A5382">
        <w:rPr>
          <w:rFonts w:ascii="Arial" w:eastAsiaTheme="minorEastAsia" w:hAnsi="Arial" w:cs="Arial"/>
          <w:sz w:val="24"/>
          <w:szCs w:val="24"/>
          <w:lang w:val="en-US"/>
        </w:rPr>
        <w:t>Du Toit Attorneys</w:t>
      </w:r>
      <w:r w:rsidR="006A4BEA">
        <w:rPr>
          <w:rFonts w:ascii="Arial" w:eastAsiaTheme="minorEastAsia" w:hAnsi="Arial" w:cs="Arial"/>
          <w:sz w:val="24"/>
          <w:szCs w:val="24"/>
          <w:lang w:val="en-US"/>
        </w:rPr>
        <w:t xml:space="preserve">, Centurion </w:t>
      </w:r>
    </w:p>
    <w:p w14:paraId="1EF34D4C" w14:textId="64E2145B" w:rsidR="00370727" w:rsidRDefault="00252992" w:rsidP="00252992">
      <w:pPr>
        <w:tabs>
          <w:tab w:val="left" w:pos="3544"/>
        </w:tabs>
        <w:spacing w:after="0" w:line="360" w:lineRule="auto"/>
        <w:jc w:val="both"/>
        <w:rPr>
          <w:rFonts w:ascii="Arial" w:eastAsiaTheme="minorEastAsia" w:hAnsi="Arial" w:cs="Arial"/>
          <w:sz w:val="24"/>
          <w:szCs w:val="24"/>
          <w:lang w:val="en-US"/>
        </w:rPr>
      </w:pPr>
      <w:r>
        <w:rPr>
          <w:rFonts w:ascii="Arial" w:eastAsiaTheme="minorEastAsia" w:hAnsi="Arial" w:cs="Arial"/>
          <w:sz w:val="24"/>
          <w:szCs w:val="24"/>
          <w:lang w:val="en-US"/>
        </w:rPr>
        <w:tab/>
      </w:r>
      <w:r w:rsidR="006A4BEA">
        <w:rPr>
          <w:rFonts w:ascii="Arial" w:eastAsiaTheme="minorEastAsia" w:hAnsi="Arial" w:cs="Arial"/>
          <w:sz w:val="24"/>
          <w:szCs w:val="24"/>
          <w:lang w:val="en-US"/>
        </w:rPr>
        <w:t>Lovius</w:t>
      </w:r>
      <w:r w:rsidR="000A074E">
        <w:rPr>
          <w:rFonts w:ascii="Arial" w:eastAsiaTheme="minorEastAsia" w:hAnsi="Arial" w:cs="Arial"/>
          <w:sz w:val="24"/>
          <w:szCs w:val="24"/>
          <w:lang w:val="en-US"/>
        </w:rPr>
        <w:t xml:space="preserve"> </w:t>
      </w:r>
      <w:r w:rsidR="006A4BEA">
        <w:rPr>
          <w:rFonts w:ascii="Arial" w:eastAsiaTheme="minorEastAsia" w:hAnsi="Arial" w:cs="Arial"/>
          <w:sz w:val="24"/>
          <w:szCs w:val="24"/>
          <w:lang w:val="en-US"/>
        </w:rPr>
        <w:t>Block Attorneys, Bloemfontein</w:t>
      </w:r>
    </w:p>
    <w:p w14:paraId="5A499349" w14:textId="77777777" w:rsidR="00114305" w:rsidRPr="0001217E" w:rsidRDefault="00114305" w:rsidP="00114305">
      <w:pPr>
        <w:tabs>
          <w:tab w:val="left" w:pos="3686"/>
        </w:tabs>
        <w:spacing w:after="0" w:line="360" w:lineRule="auto"/>
        <w:ind w:left="3600" w:hanging="3600"/>
        <w:jc w:val="both"/>
        <w:rPr>
          <w:rFonts w:ascii="Arial" w:eastAsiaTheme="minorEastAsia" w:hAnsi="Arial" w:cs="Arial"/>
          <w:sz w:val="24"/>
          <w:szCs w:val="24"/>
          <w:lang w:val="en-US"/>
        </w:rPr>
      </w:pPr>
    </w:p>
    <w:p w14:paraId="76E91FD1" w14:textId="77777777" w:rsidR="00370727" w:rsidRPr="0001217E" w:rsidRDefault="00370727" w:rsidP="00651677">
      <w:pPr>
        <w:tabs>
          <w:tab w:val="left" w:pos="3686"/>
        </w:tabs>
        <w:spacing w:after="0" w:line="360" w:lineRule="auto"/>
        <w:jc w:val="both"/>
        <w:rPr>
          <w:rFonts w:ascii="Arial" w:eastAsiaTheme="minorEastAsia" w:hAnsi="Arial" w:cs="Arial"/>
          <w:sz w:val="24"/>
          <w:szCs w:val="24"/>
          <w:lang w:val="en-US"/>
        </w:rPr>
      </w:pPr>
    </w:p>
    <w:sectPr w:rsidR="00370727" w:rsidRPr="0001217E" w:rsidSect="00AE2743">
      <w:headerReference w:type="default" r:id="rId13"/>
      <w:pgSz w:w="11906" w:h="16838"/>
      <w:pgMar w:top="1440" w:right="1274" w:bottom="1440" w:left="156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77F9E9" w16cid:durableId="2433F6AA"/>
  <w16cid:commentId w16cid:paraId="1C70DB77" w16cid:durableId="2433F5C9"/>
  <w16cid:commentId w16cid:paraId="582D3759" w16cid:durableId="2433F602"/>
  <w16cid:commentId w16cid:paraId="20090F1C" w16cid:durableId="2433F8C9"/>
  <w16cid:commentId w16cid:paraId="46026D92" w16cid:durableId="2433F92C"/>
  <w16cid:commentId w16cid:paraId="179F3940" w16cid:durableId="2433F9CF"/>
  <w16cid:commentId w16cid:paraId="7EBAE7A8" w16cid:durableId="2433FAB1"/>
  <w16cid:commentId w16cid:paraId="183C9572" w16cid:durableId="2433FB0E"/>
  <w16cid:commentId w16cid:paraId="4685E8DD" w16cid:durableId="2433FB3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E55C7" w14:textId="77777777" w:rsidR="00AF3AC3" w:rsidRDefault="00AF3AC3" w:rsidP="00BC0511">
      <w:pPr>
        <w:spacing w:after="0" w:line="240" w:lineRule="auto"/>
      </w:pPr>
      <w:r>
        <w:separator/>
      </w:r>
    </w:p>
  </w:endnote>
  <w:endnote w:type="continuationSeparator" w:id="0">
    <w:p w14:paraId="3275DC80" w14:textId="77777777" w:rsidR="00AF3AC3" w:rsidRDefault="00AF3AC3" w:rsidP="00BC0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07A0B" w14:textId="77777777" w:rsidR="00AF3AC3" w:rsidRDefault="00AF3AC3" w:rsidP="00BC0511">
      <w:pPr>
        <w:spacing w:after="0" w:line="240" w:lineRule="auto"/>
      </w:pPr>
      <w:r>
        <w:separator/>
      </w:r>
    </w:p>
  </w:footnote>
  <w:footnote w:type="continuationSeparator" w:id="0">
    <w:p w14:paraId="750BC2D9" w14:textId="77777777" w:rsidR="00AF3AC3" w:rsidRDefault="00AF3AC3" w:rsidP="00BC0511">
      <w:pPr>
        <w:spacing w:after="0" w:line="240" w:lineRule="auto"/>
      </w:pPr>
      <w:r>
        <w:continuationSeparator/>
      </w:r>
    </w:p>
  </w:footnote>
  <w:footnote w:id="1">
    <w:p w14:paraId="16D199AA" w14:textId="77777777" w:rsidR="000B1BD1" w:rsidRPr="00D80939" w:rsidRDefault="000B1BD1" w:rsidP="00D80939">
      <w:pPr>
        <w:pStyle w:val="FootnoteText"/>
        <w:jc w:val="both"/>
        <w:rPr>
          <w:rFonts w:ascii="Arial" w:hAnsi="Arial" w:cs="Arial"/>
        </w:rPr>
      </w:pPr>
      <w:r w:rsidRPr="00D80939">
        <w:rPr>
          <w:rStyle w:val="FootnoteReference"/>
          <w:rFonts w:ascii="Arial" w:hAnsi="Arial" w:cs="Arial"/>
        </w:rPr>
        <w:footnoteRef/>
      </w:r>
      <w:r w:rsidRPr="00D80939">
        <w:rPr>
          <w:rFonts w:ascii="Arial" w:hAnsi="Arial" w:cs="Arial"/>
        </w:rPr>
        <w:t xml:space="preserve"> Section 17(2)</w:t>
      </w:r>
      <w:r w:rsidRPr="00D80939">
        <w:rPr>
          <w:rFonts w:ascii="Arial" w:hAnsi="Arial" w:cs="Arial"/>
          <w:i/>
          <w:iCs/>
        </w:rPr>
        <w:t>(d)</w:t>
      </w:r>
      <w:r w:rsidRPr="00D80939">
        <w:rPr>
          <w:rFonts w:ascii="Arial" w:hAnsi="Arial" w:cs="Arial"/>
        </w:rPr>
        <w:t xml:space="preserve"> of the Superior Courts Act 10 of 2013 reads:</w:t>
      </w:r>
    </w:p>
    <w:p w14:paraId="0200CA7B" w14:textId="77777777" w:rsidR="000B1BD1" w:rsidRPr="00B0446D" w:rsidRDefault="000B1BD1" w:rsidP="00D80939">
      <w:pPr>
        <w:pStyle w:val="FootnoteText"/>
        <w:jc w:val="both"/>
        <w:rPr>
          <w:rFonts w:ascii="Arial" w:hAnsi="Arial" w:cs="Arial"/>
        </w:rPr>
      </w:pPr>
      <w:r w:rsidRPr="00D80939">
        <w:rPr>
          <w:rFonts w:ascii="Arial" w:hAnsi="Arial" w:cs="Arial"/>
        </w:rPr>
        <w:t xml:space="preserve">‘The judges considering an application referred to in paragraph </w:t>
      </w:r>
      <w:r w:rsidRPr="00B0446D">
        <w:rPr>
          <w:rFonts w:ascii="Arial" w:hAnsi="Arial" w:cs="Arial"/>
          <w:i/>
        </w:rPr>
        <w:t>(b)</w:t>
      </w:r>
      <w:r w:rsidRPr="00AB6E40">
        <w:rPr>
          <w:rFonts w:ascii="Arial" w:hAnsi="Arial" w:cs="Arial"/>
        </w:rPr>
        <w:t xml:space="preserve"> may dispose of the application without the hearing of oral argum</w:t>
      </w:r>
      <w:r w:rsidRPr="00AC6DFA">
        <w:rPr>
          <w:rFonts w:ascii="Arial" w:hAnsi="Arial" w:cs="Arial"/>
        </w:rPr>
        <w:t xml:space="preserve">ent, but may, if they are of the opinion that the circumstances so require, order that it be </w:t>
      </w:r>
      <w:r w:rsidRPr="00BC1FB8">
        <w:rPr>
          <w:rFonts w:ascii="Arial" w:hAnsi="Arial" w:cs="Arial"/>
        </w:rPr>
        <w:t>argued before them at a time and place appointed, and may, whether or not they have so ordered, grant or refuse the application or refer it to the court for consideration.’</w:t>
      </w:r>
    </w:p>
  </w:footnote>
  <w:footnote w:id="2">
    <w:p w14:paraId="3E3CE052" w14:textId="3FC0CFD7" w:rsidR="000B1BD1" w:rsidRPr="00B0446D" w:rsidRDefault="000B1BD1" w:rsidP="00AB6E40">
      <w:pPr>
        <w:autoSpaceDE w:val="0"/>
        <w:autoSpaceDN w:val="0"/>
        <w:adjustRightInd w:val="0"/>
        <w:spacing w:after="0" w:line="240" w:lineRule="auto"/>
        <w:jc w:val="both"/>
        <w:rPr>
          <w:rFonts w:ascii="Arial" w:hAnsi="Arial" w:cs="Arial"/>
          <w:b/>
          <w:sz w:val="20"/>
          <w:szCs w:val="20"/>
        </w:rPr>
      </w:pPr>
      <w:r w:rsidRPr="00AB6E40">
        <w:rPr>
          <w:rStyle w:val="FootnoteReference"/>
          <w:rFonts w:ascii="Arial" w:hAnsi="Arial" w:cs="Arial"/>
          <w:sz w:val="20"/>
          <w:szCs w:val="20"/>
        </w:rPr>
        <w:footnoteRef/>
      </w:r>
      <w:r w:rsidRPr="00B0446D">
        <w:rPr>
          <w:rFonts w:ascii="Arial" w:hAnsi="Arial" w:cs="Arial"/>
          <w:sz w:val="20"/>
          <w:szCs w:val="20"/>
        </w:rPr>
        <w:t xml:space="preserve"> Section 317(5) of the Criminal Procedure Act 51 of 1977 reads:</w:t>
      </w:r>
    </w:p>
    <w:p w14:paraId="1F0BD8FF" w14:textId="5619E1BC" w:rsidR="000B1BD1" w:rsidRPr="00B0446D" w:rsidRDefault="000B1BD1" w:rsidP="00B0446D">
      <w:pPr>
        <w:tabs>
          <w:tab w:val="left" w:pos="426"/>
        </w:tabs>
        <w:autoSpaceDE w:val="0"/>
        <w:autoSpaceDN w:val="0"/>
        <w:adjustRightInd w:val="0"/>
        <w:spacing w:after="0" w:line="240" w:lineRule="auto"/>
        <w:jc w:val="both"/>
        <w:rPr>
          <w:rFonts w:ascii="Arial" w:hAnsi="Arial" w:cs="Arial"/>
        </w:rPr>
      </w:pPr>
      <w:r w:rsidRPr="00D80939">
        <w:rPr>
          <w:rFonts w:ascii="Arial" w:hAnsi="Arial" w:cs="Arial"/>
          <w:sz w:val="20"/>
          <w:szCs w:val="20"/>
        </w:rPr>
        <w:t>‘</w:t>
      </w:r>
      <w:r w:rsidRPr="00B0446D">
        <w:rPr>
          <w:rFonts w:ascii="Arial" w:hAnsi="Arial" w:cs="Arial"/>
          <w:sz w:val="20"/>
          <w:szCs w:val="20"/>
        </w:rPr>
        <w:t xml:space="preserve">If an application for condonation or for a special entry is refused, the accused may, within a period of 21 days of such refusal or within such extended period as may on good cause shown, be allowed, by petition addressed to the President of the Supreme Court of Appeal, apply to the Supreme Court of Appeal for condonation or for a special entry to be made on the record stating in what respect the proceedings are alleged to be irregular or not according to law, as the case may be, and thereupon the provisions of subsections (11), (12), (13), (14) and (15) of section 316 shall </w:t>
      </w:r>
      <w:r w:rsidRPr="00B0446D">
        <w:rPr>
          <w:rFonts w:ascii="Arial" w:hAnsi="Arial" w:cs="Arial"/>
          <w:i/>
          <w:iCs/>
          <w:sz w:val="20"/>
          <w:szCs w:val="20"/>
        </w:rPr>
        <w:t xml:space="preserve">mutatis mutandis </w:t>
      </w:r>
      <w:r w:rsidRPr="00B0446D">
        <w:rPr>
          <w:rFonts w:ascii="Arial" w:hAnsi="Arial" w:cs="Arial"/>
          <w:sz w:val="20"/>
          <w:szCs w:val="20"/>
        </w:rPr>
        <w:t xml:space="preserve">apply.’ </w:t>
      </w:r>
    </w:p>
  </w:footnote>
  <w:footnote w:id="3">
    <w:p w14:paraId="4BC3F8EE" w14:textId="77777777" w:rsidR="000B1BD1" w:rsidRPr="00AB6E40" w:rsidRDefault="000B1BD1" w:rsidP="00AB6E40">
      <w:pPr>
        <w:autoSpaceDE w:val="0"/>
        <w:autoSpaceDN w:val="0"/>
        <w:adjustRightInd w:val="0"/>
        <w:spacing w:after="0" w:line="240" w:lineRule="auto"/>
        <w:jc w:val="both"/>
        <w:rPr>
          <w:rFonts w:ascii="Arial" w:hAnsi="Arial" w:cs="Arial"/>
          <w:sz w:val="20"/>
          <w:szCs w:val="20"/>
        </w:rPr>
      </w:pPr>
      <w:r w:rsidRPr="00AB6E40">
        <w:rPr>
          <w:rStyle w:val="FootnoteReference"/>
          <w:rFonts w:ascii="Arial" w:hAnsi="Arial" w:cs="Arial"/>
          <w:sz w:val="20"/>
          <w:szCs w:val="20"/>
        </w:rPr>
        <w:footnoteRef/>
      </w:r>
      <w:r w:rsidRPr="00AB6E40">
        <w:rPr>
          <w:rFonts w:ascii="Arial" w:hAnsi="Arial" w:cs="Arial"/>
          <w:sz w:val="20"/>
          <w:szCs w:val="20"/>
        </w:rPr>
        <w:t xml:space="preserve"> See the definition of appeal in s 1 of the Superior Courts Act: </w:t>
      </w:r>
      <w:r w:rsidRPr="00AC6DFA">
        <w:rPr>
          <w:rFonts w:ascii="Arial" w:hAnsi="Arial" w:cs="Arial"/>
          <w:sz w:val="20"/>
          <w:szCs w:val="20"/>
        </w:rPr>
        <w:t>‘</w:t>
      </w:r>
      <w:r w:rsidRPr="00B0446D">
        <w:rPr>
          <w:rFonts w:ascii="Arial" w:hAnsi="Arial" w:cs="Arial"/>
          <w:bCs/>
          <w:sz w:val="20"/>
          <w:szCs w:val="20"/>
        </w:rPr>
        <w:t>“appeal”</w:t>
      </w:r>
      <w:r w:rsidRPr="00AB6E40">
        <w:rPr>
          <w:rFonts w:ascii="Arial" w:hAnsi="Arial" w:cs="Arial"/>
          <w:b/>
          <w:bCs/>
          <w:sz w:val="20"/>
          <w:szCs w:val="20"/>
        </w:rPr>
        <w:t xml:space="preserve"> </w:t>
      </w:r>
      <w:r w:rsidRPr="00AB6E40">
        <w:rPr>
          <w:rFonts w:ascii="Arial" w:hAnsi="Arial" w:cs="Arial"/>
          <w:sz w:val="20"/>
          <w:szCs w:val="20"/>
        </w:rPr>
        <w:t>in Chapter 5, does not include an appeal in a matter regulated in terms of the Criminal Procedure Act, 1977 (Act No. 51 of 1977), or in terms of any other criminal procedural law’.</w:t>
      </w:r>
    </w:p>
  </w:footnote>
  <w:footnote w:id="4">
    <w:p w14:paraId="64B707F0" w14:textId="2EAE1D9E" w:rsidR="000B1BD1" w:rsidRPr="00B0446D" w:rsidRDefault="000B1BD1" w:rsidP="00B0446D">
      <w:pPr>
        <w:autoSpaceDE w:val="0"/>
        <w:autoSpaceDN w:val="0"/>
        <w:adjustRightInd w:val="0"/>
        <w:spacing w:after="0" w:line="240" w:lineRule="auto"/>
        <w:contextualSpacing/>
        <w:jc w:val="both"/>
        <w:rPr>
          <w:rFonts w:ascii="Arial" w:hAnsi="Arial" w:cs="Arial"/>
        </w:rPr>
      </w:pPr>
      <w:r w:rsidRPr="00B0446D">
        <w:rPr>
          <w:rStyle w:val="FootnoteReference"/>
          <w:rFonts w:ascii="Arial" w:hAnsi="Arial" w:cs="Arial"/>
          <w:sz w:val="20"/>
          <w:szCs w:val="20"/>
        </w:rPr>
        <w:footnoteRef/>
      </w:r>
      <w:r w:rsidRPr="00B0446D">
        <w:rPr>
          <w:rFonts w:ascii="Arial" w:hAnsi="Arial" w:cs="Arial"/>
          <w:sz w:val="20"/>
          <w:szCs w:val="20"/>
        </w:rPr>
        <w:t xml:space="preserve"> </w:t>
      </w:r>
      <w:r w:rsidRPr="00D80939">
        <w:rPr>
          <w:rFonts w:ascii="Arial" w:hAnsi="Arial" w:cs="Arial"/>
          <w:sz w:val="20"/>
          <w:szCs w:val="20"/>
        </w:rPr>
        <w:t xml:space="preserve">See also </w:t>
      </w:r>
      <w:r w:rsidRPr="00D80939">
        <w:rPr>
          <w:rFonts w:ascii="Arial" w:hAnsi="Arial" w:cs="Arial"/>
          <w:i/>
          <w:sz w:val="20"/>
          <w:szCs w:val="20"/>
        </w:rPr>
        <w:t>Director of Public Prosecutions: Limpopo v Molope and Another</w:t>
      </w:r>
      <w:r w:rsidRPr="00D80939">
        <w:rPr>
          <w:rFonts w:ascii="Arial" w:hAnsi="Arial" w:cs="Arial"/>
          <w:sz w:val="20"/>
          <w:szCs w:val="20"/>
        </w:rPr>
        <w:t xml:space="preserve"> [2020] ZASCA 69; 2020 (2) SACR 343 (SCA); [2020] 3 All SA 633 (SCA) paras 44 and 45, where the State had similarly summarised the evidence that was led in the trial court without setting out the trial court’s factual finding in its s 319 application</w:t>
      </w:r>
      <w:r w:rsidRPr="00D80939">
        <w:rPr>
          <w:rFonts w:ascii="Arial" w:hAnsi="Arial" w:cs="Arial"/>
          <w:iCs/>
          <w:sz w:val="20"/>
          <w:szCs w:val="20"/>
        </w:rPr>
        <w:t>.</w:t>
      </w:r>
      <w:r w:rsidRPr="00D80939">
        <w:rPr>
          <w:rFonts w:ascii="Arial" w:hAnsi="Arial" w:cs="Arial"/>
          <w:i/>
          <w:iCs/>
          <w:sz w:val="20"/>
          <w:szCs w:val="20"/>
        </w:rPr>
        <w:t xml:space="preserve"> </w:t>
      </w:r>
      <w:r w:rsidRPr="00D80939">
        <w:rPr>
          <w:rFonts w:ascii="Arial" w:hAnsi="Arial" w:cs="Arial"/>
          <w:iCs/>
          <w:sz w:val="20"/>
          <w:szCs w:val="20"/>
        </w:rPr>
        <w:t xml:space="preserve">Even though the trial court did not frame the question of law in its judgment, nor did it record the factual findings on which the purported point of law was dependant, the State did not request the trial court to clarify its findings. Despite these shortcomings, the trial court </w:t>
      </w:r>
      <w:r w:rsidRPr="00D80939">
        <w:rPr>
          <w:rFonts w:ascii="Arial" w:hAnsi="Arial" w:cs="Arial"/>
          <w:sz w:val="20"/>
          <w:szCs w:val="20"/>
        </w:rPr>
        <w:t xml:space="preserve">accepted that there were questions of law that had to be reserved and granted the State’s 319 application. On appeal, this Court said </w:t>
      </w:r>
      <w:r w:rsidRPr="00D80939">
        <w:rPr>
          <w:rFonts w:ascii="Arial" w:hAnsi="Arial" w:cs="Arial"/>
          <w:iCs/>
          <w:sz w:val="20"/>
          <w:szCs w:val="20"/>
        </w:rPr>
        <w:t xml:space="preserve">that the requirements of s 319 had not been complied with, and </w:t>
      </w:r>
      <w:r w:rsidRPr="00D80939">
        <w:rPr>
          <w:rFonts w:ascii="Arial" w:hAnsi="Arial" w:cs="Arial"/>
          <w:sz w:val="20"/>
          <w:szCs w:val="20"/>
        </w:rPr>
        <w:t xml:space="preserve">it was incumbent on the State to request the trial court for its factual findings so that the questions of law could be properly framed and considered; See also </w:t>
      </w:r>
      <w:r w:rsidRPr="00D80939">
        <w:rPr>
          <w:rFonts w:ascii="Arial" w:hAnsi="Arial" w:cs="Arial"/>
          <w:i/>
          <w:sz w:val="20"/>
          <w:szCs w:val="20"/>
        </w:rPr>
        <w:t>Director of Public Prosecutions: Western Cape v Schoeman and Another</w:t>
      </w:r>
      <w:r w:rsidRPr="00D80939">
        <w:rPr>
          <w:rFonts w:ascii="Arial" w:hAnsi="Arial" w:cs="Arial"/>
          <w:sz w:val="20"/>
          <w:szCs w:val="20"/>
        </w:rPr>
        <w:t xml:space="preserve"> [2019] ZASCA 158; 2020 (1) SACR 449 (SCA)</w:t>
      </w:r>
      <w:r w:rsidRPr="00B0446D">
        <w:rPr>
          <w:rFonts w:ascii="Arial" w:hAnsi="Arial" w:cs="Arial"/>
          <w:sz w:val="20"/>
          <w:szCs w:val="20"/>
        </w:rPr>
        <w:t xml:space="preserve"> </w:t>
      </w:r>
      <w:r w:rsidRPr="00D80939">
        <w:rPr>
          <w:rFonts w:ascii="Arial" w:hAnsi="Arial" w:cs="Arial"/>
          <w:sz w:val="20"/>
          <w:szCs w:val="20"/>
        </w:rPr>
        <w:t>para 44, where the trial court had refused the s 319 application. On appeal to this Court, the State had not complied with the requirements for reserving questions of law under s 319, and therefore the State had not properly reserved its points of law.</w:t>
      </w:r>
    </w:p>
  </w:footnote>
  <w:footnote w:id="5">
    <w:p w14:paraId="327F2798" w14:textId="77777777" w:rsidR="000B1BD1" w:rsidRPr="008C683A" w:rsidRDefault="000B1BD1" w:rsidP="00AB6E40">
      <w:pPr>
        <w:pStyle w:val="FootnoteText"/>
        <w:jc w:val="both"/>
        <w:rPr>
          <w:rFonts w:ascii="Arial" w:hAnsi="Arial" w:cs="Arial"/>
        </w:rPr>
      </w:pPr>
      <w:r w:rsidRPr="00B0446D">
        <w:rPr>
          <w:rStyle w:val="FootnoteReference"/>
          <w:rFonts w:ascii="Arial" w:hAnsi="Arial" w:cs="Arial"/>
        </w:rPr>
        <w:footnoteRef/>
      </w:r>
      <w:r w:rsidRPr="00B0446D">
        <w:rPr>
          <w:rFonts w:ascii="Arial" w:hAnsi="Arial" w:cs="Arial"/>
        </w:rPr>
        <w:t xml:space="preserve"> </w:t>
      </w:r>
      <w:r w:rsidRPr="00AB6E40">
        <w:rPr>
          <w:rFonts w:ascii="Arial" w:hAnsi="Arial" w:cs="Arial"/>
          <w:i/>
          <w:iCs/>
        </w:rPr>
        <w:t>S v Boekhoud</w:t>
      </w:r>
      <w:r w:rsidRPr="008C683A">
        <w:rPr>
          <w:rFonts w:ascii="Arial" w:hAnsi="Arial" w:cs="Arial"/>
        </w:rPr>
        <w:t xml:space="preserve"> [2011] ZASCA 48; 2011 (2) SACR 124 (SCA) para 34.</w:t>
      </w:r>
    </w:p>
  </w:footnote>
  <w:footnote w:id="6">
    <w:p w14:paraId="356DFF2F" w14:textId="2D9D1D34" w:rsidR="000B1BD1" w:rsidRPr="00AC6DFA" w:rsidRDefault="000B1BD1" w:rsidP="008C683A">
      <w:pPr>
        <w:pStyle w:val="FootnoteText"/>
        <w:jc w:val="both"/>
        <w:rPr>
          <w:rFonts w:ascii="Arial" w:hAnsi="Arial" w:cs="Arial"/>
        </w:rPr>
      </w:pPr>
      <w:r w:rsidRPr="00AB6E40">
        <w:rPr>
          <w:rStyle w:val="FootnoteReference"/>
          <w:rFonts w:ascii="Arial" w:hAnsi="Arial" w:cs="Arial"/>
        </w:rPr>
        <w:footnoteRef/>
      </w:r>
      <w:r w:rsidRPr="00AB6E40">
        <w:rPr>
          <w:rFonts w:ascii="Arial" w:hAnsi="Arial" w:cs="Arial"/>
        </w:rPr>
        <w:t xml:space="preserve"> </w:t>
      </w:r>
      <w:r w:rsidRPr="00B0446D">
        <w:rPr>
          <w:rFonts w:ascii="Arial" w:hAnsi="Arial" w:cs="Arial"/>
          <w:i/>
        </w:rPr>
        <w:t>Director of Public Prosecutions</w:t>
      </w:r>
      <w:r w:rsidRPr="00AB6E40">
        <w:rPr>
          <w:rFonts w:ascii="Arial" w:hAnsi="Arial" w:cs="Arial"/>
          <w:i/>
        </w:rPr>
        <w:t>:</w:t>
      </w:r>
      <w:r w:rsidRPr="00B0446D">
        <w:rPr>
          <w:rFonts w:ascii="Arial" w:hAnsi="Arial" w:cs="Arial"/>
          <w:i/>
        </w:rPr>
        <w:t xml:space="preserve"> </w:t>
      </w:r>
      <w:r w:rsidRPr="00AB6E40">
        <w:rPr>
          <w:rFonts w:ascii="Arial" w:hAnsi="Arial" w:cs="Arial"/>
          <w:i/>
        </w:rPr>
        <w:t>Western Cape v Schoeman and Another</w:t>
      </w:r>
      <w:r w:rsidRPr="008C683A">
        <w:rPr>
          <w:rFonts w:ascii="Arial" w:hAnsi="Arial" w:cs="Arial"/>
        </w:rPr>
        <w:t xml:space="preserve"> [2019] ZASCA 158; 2020 (1) SACR 449 (SCA)</w:t>
      </w:r>
      <w:r w:rsidRPr="00B0446D">
        <w:rPr>
          <w:rFonts w:ascii="Arial" w:hAnsi="Arial" w:cs="Arial"/>
        </w:rPr>
        <w:t xml:space="preserve"> </w:t>
      </w:r>
      <w:r w:rsidRPr="00AB6E40">
        <w:rPr>
          <w:rFonts w:ascii="Arial" w:hAnsi="Arial" w:cs="Arial"/>
        </w:rPr>
        <w:t>para</w:t>
      </w:r>
      <w:r w:rsidRPr="008C683A">
        <w:rPr>
          <w:rFonts w:ascii="Arial" w:hAnsi="Arial" w:cs="Arial"/>
        </w:rPr>
        <w:t xml:space="preserve"> 40.</w:t>
      </w:r>
    </w:p>
  </w:footnote>
  <w:footnote w:id="7">
    <w:p w14:paraId="0AD3B09C" w14:textId="77777777" w:rsidR="000B1BD1" w:rsidRPr="008C683A" w:rsidRDefault="000B1BD1" w:rsidP="008C683A">
      <w:pPr>
        <w:pStyle w:val="FootnoteText"/>
        <w:jc w:val="both"/>
        <w:rPr>
          <w:rFonts w:ascii="Arial" w:hAnsi="Arial" w:cs="Arial"/>
        </w:rPr>
      </w:pPr>
      <w:r w:rsidRPr="00AB6E40">
        <w:rPr>
          <w:rStyle w:val="FootnoteReference"/>
          <w:rFonts w:ascii="Arial" w:hAnsi="Arial" w:cs="Arial"/>
        </w:rPr>
        <w:footnoteRef/>
      </w:r>
      <w:r w:rsidRPr="00AB6E40">
        <w:rPr>
          <w:rFonts w:ascii="Arial" w:hAnsi="Arial" w:cs="Arial"/>
        </w:rPr>
        <w:t xml:space="preserve"> </w:t>
      </w:r>
      <w:r w:rsidRPr="008C683A">
        <w:rPr>
          <w:rFonts w:ascii="Arial" w:hAnsi="Arial" w:cs="Arial"/>
          <w:i/>
        </w:rPr>
        <w:t>Director of Public Prosecutions: Western Cape v Schoeman and Another</w:t>
      </w:r>
      <w:r w:rsidRPr="008C683A">
        <w:rPr>
          <w:rFonts w:ascii="Arial" w:hAnsi="Arial" w:cs="Arial"/>
        </w:rPr>
        <w:t xml:space="preserve"> [2019] ZASCA 158; 2020 (1) SACR 449 (SCA) para 1.     </w:t>
      </w:r>
    </w:p>
  </w:footnote>
  <w:footnote w:id="8">
    <w:p w14:paraId="642746D6" w14:textId="77777777" w:rsidR="000B1BD1" w:rsidRPr="00AB6E40" w:rsidRDefault="000B1BD1" w:rsidP="008C683A">
      <w:pPr>
        <w:pStyle w:val="FootnoteText"/>
        <w:jc w:val="both"/>
        <w:rPr>
          <w:rFonts w:ascii="Arial" w:hAnsi="Arial" w:cs="Arial"/>
        </w:rPr>
      </w:pPr>
      <w:r w:rsidRPr="00AB6E40">
        <w:rPr>
          <w:rStyle w:val="FootnoteReference"/>
          <w:rFonts w:ascii="Arial" w:hAnsi="Arial" w:cs="Arial"/>
        </w:rPr>
        <w:footnoteRef/>
      </w:r>
      <w:r w:rsidRPr="00AB6E40">
        <w:rPr>
          <w:rFonts w:ascii="Arial" w:hAnsi="Arial" w:cs="Arial"/>
        </w:rPr>
        <w:t xml:space="preserve"> Ibid para 39.</w:t>
      </w:r>
    </w:p>
  </w:footnote>
  <w:footnote w:id="9">
    <w:p w14:paraId="6B7055CB" w14:textId="376072E5" w:rsidR="000B1BD1" w:rsidRPr="00AC6DFA" w:rsidRDefault="000B1BD1" w:rsidP="008C683A">
      <w:pPr>
        <w:pStyle w:val="FootnoteText"/>
        <w:jc w:val="both"/>
        <w:rPr>
          <w:rFonts w:ascii="Arial" w:hAnsi="Arial" w:cs="Arial"/>
          <w:iCs/>
        </w:rPr>
      </w:pPr>
      <w:r w:rsidRPr="00AB6E40">
        <w:rPr>
          <w:rStyle w:val="FootnoteReference"/>
          <w:rFonts w:ascii="Arial" w:hAnsi="Arial" w:cs="Arial"/>
        </w:rPr>
        <w:footnoteRef/>
      </w:r>
      <w:r w:rsidRPr="00AB6E40">
        <w:rPr>
          <w:rFonts w:ascii="Arial" w:hAnsi="Arial" w:cs="Arial"/>
        </w:rPr>
        <w:t xml:space="preserve"> </w:t>
      </w:r>
      <w:r w:rsidRPr="008C683A">
        <w:rPr>
          <w:rFonts w:ascii="Arial" w:hAnsi="Arial" w:cs="Arial"/>
          <w:i/>
        </w:rPr>
        <w:t xml:space="preserve">Director of Public Prosecutions: Natal v Magidela and Others </w:t>
      </w:r>
      <w:r w:rsidRPr="008C683A">
        <w:rPr>
          <w:rFonts w:ascii="Arial" w:hAnsi="Arial" w:cs="Arial"/>
          <w:iCs/>
        </w:rPr>
        <w:t>[2000] ZASCA 4; [2000] 2 All SA 337 (A); [2000] JOL 6331 (A)</w:t>
      </w:r>
      <w:r w:rsidRPr="00AC6DFA">
        <w:rPr>
          <w:rFonts w:ascii="Arial" w:hAnsi="Arial" w:cs="Arial"/>
          <w:iCs/>
        </w:rPr>
        <w:t xml:space="preserve"> para 9.</w:t>
      </w:r>
    </w:p>
  </w:footnote>
  <w:footnote w:id="10">
    <w:p w14:paraId="4F983D5D" w14:textId="77777777" w:rsidR="000B1BD1" w:rsidRPr="00AB6E40" w:rsidRDefault="000B1BD1" w:rsidP="008C683A">
      <w:pPr>
        <w:pStyle w:val="FootnoteText"/>
        <w:tabs>
          <w:tab w:val="left" w:pos="3544"/>
        </w:tabs>
        <w:jc w:val="both"/>
        <w:rPr>
          <w:rFonts w:ascii="Arial" w:hAnsi="Arial" w:cs="Arial"/>
        </w:rPr>
      </w:pPr>
      <w:r w:rsidRPr="00AB6E40">
        <w:rPr>
          <w:rStyle w:val="FootnoteReference"/>
          <w:rFonts w:ascii="Arial" w:hAnsi="Arial" w:cs="Arial"/>
        </w:rPr>
        <w:footnoteRef/>
      </w:r>
      <w:r w:rsidRPr="00AB6E40">
        <w:rPr>
          <w:rFonts w:ascii="Arial" w:hAnsi="Arial" w:cs="Arial"/>
        </w:rPr>
        <w:t xml:space="preserve"> Ibid fn 1 para 40.</w:t>
      </w:r>
    </w:p>
  </w:footnote>
  <w:footnote w:id="11">
    <w:p w14:paraId="1E76F2ED" w14:textId="77777777" w:rsidR="000B1BD1" w:rsidRPr="008C683A" w:rsidRDefault="000B1BD1" w:rsidP="00AC6DFA">
      <w:pPr>
        <w:pStyle w:val="FootnoteText"/>
        <w:jc w:val="both"/>
        <w:rPr>
          <w:rFonts w:ascii="Arial" w:hAnsi="Arial" w:cs="Arial"/>
        </w:rPr>
      </w:pPr>
      <w:r w:rsidRPr="00AB6E40">
        <w:rPr>
          <w:rStyle w:val="FootnoteReference"/>
          <w:rFonts w:ascii="Arial" w:hAnsi="Arial" w:cs="Arial"/>
        </w:rPr>
        <w:footnoteRef/>
      </w:r>
      <w:r w:rsidRPr="00AB6E40">
        <w:rPr>
          <w:rFonts w:ascii="Arial" w:hAnsi="Arial" w:cs="Arial"/>
        </w:rPr>
        <w:t xml:space="preserve"> </w:t>
      </w:r>
      <w:r w:rsidRPr="008C683A">
        <w:rPr>
          <w:rFonts w:ascii="Arial" w:hAnsi="Arial" w:cs="Arial"/>
          <w:i/>
          <w:iCs/>
        </w:rPr>
        <w:t xml:space="preserve">S v Petro Louise Enterprises (Pty) Ltd and Others </w:t>
      </w:r>
      <w:r w:rsidRPr="008C683A">
        <w:rPr>
          <w:rFonts w:ascii="Arial" w:hAnsi="Arial" w:cs="Arial"/>
        </w:rPr>
        <w:t>1978 (1) SA 271 (T).</w:t>
      </w:r>
    </w:p>
  </w:footnote>
  <w:footnote w:id="12">
    <w:p w14:paraId="54523547" w14:textId="2DB72B86" w:rsidR="000B1BD1" w:rsidRPr="008C683A" w:rsidRDefault="000B1BD1" w:rsidP="00BC1FB8">
      <w:pPr>
        <w:pStyle w:val="FootnoteText"/>
        <w:jc w:val="both"/>
        <w:rPr>
          <w:rFonts w:ascii="Arial" w:hAnsi="Arial" w:cs="Arial"/>
        </w:rPr>
      </w:pPr>
      <w:r w:rsidRPr="00AB6E40">
        <w:rPr>
          <w:rStyle w:val="FootnoteReference"/>
          <w:rFonts w:ascii="Arial" w:hAnsi="Arial" w:cs="Arial"/>
        </w:rPr>
        <w:footnoteRef/>
      </w:r>
      <w:r w:rsidRPr="00AB6E40">
        <w:rPr>
          <w:rFonts w:ascii="Arial" w:hAnsi="Arial" w:cs="Arial"/>
        </w:rPr>
        <w:t xml:space="preserve"> </w:t>
      </w:r>
      <w:r w:rsidRPr="008C683A">
        <w:rPr>
          <w:rFonts w:ascii="Arial" w:hAnsi="Arial" w:cs="Arial"/>
          <w:i/>
        </w:rPr>
        <w:t>Director of Public Prosecutions: Limpopo v Molope and Another</w:t>
      </w:r>
      <w:r w:rsidRPr="008C683A">
        <w:rPr>
          <w:rFonts w:ascii="Arial" w:hAnsi="Arial" w:cs="Arial"/>
        </w:rPr>
        <w:t xml:space="preserve"> [2020] ZASCA 69; [2020] 3 All SA 633 (SCA); 2020 (2) SACR 343 (SCA).</w:t>
      </w:r>
    </w:p>
  </w:footnote>
  <w:footnote w:id="13">
    <w:p w14:paraId="70D2D40F" w14:textId="77777777" w:rsidR="000B1BD1" w:rsidRPr="00AB6E40" w:rsidRDefault="000B1BD1" w:rsidP="007B10E0">
      <w:pPr>
        <w:pStyle w:val="FootnoteText"/>
        <w:jc w:val="both"/>
        <w:rPr>
          <w:rFonts w:ascii="Arial" w:hAnsi="Arial" w:cs="Arial"/>
        </w:rPr>
      </w:pPr>
      <w:r w:rsidRPr="00AB6E40">
        <w:rPr>
          <w:rStyle w:val="FootnoteReference"/>
          <w:rFonts w:ascii="Arial" w:hAnsi="Arial" w:cs="Arial"/>
        </w:rPr>
        <w:footnoteRef/>
      </w:r>
      <w:r w:rsidRPr="00AB6E40">
        <w:rPr>
          <w:rFonts w:ascii="Arial" w:hAnsi="Arial" w:cs="Arial"/>
        </w:rPr>
        <w:t xml:space="preserve"> Ibid para 57.</w:t>
      </w:r>
    </w:p>
  </w:footnote>
  <w:footnote w:id="14">
    <w:p w14:paraId="631E3989" w14:textId="77777777" w:rsidR="000B1BD1" w:rsidRPr="008C683A" w:rsidRDefault="000B1BD1">
      <w:pPr>
        <w:pStyle w:val="FootnoteText"/>
        <w:jc w:val="both"/>
        <w:rPr>
          <w:rFonts w:ascii="Arial" w:hAnsi="Arial" w:cs="Arial"/>
        </w:rPr>
      </w:pPr>
      <w:r w:rsidRPr="00AB6E40">
        <w:rPr>
          <w:rStyle w:val="FootnoteReference"/>
          <w:rFonts w:ascii="Arial" w:hAnsi="Arial" w:cs="Arial"/>
        </w:rPr>
        <w:footnoteRef/>
      </w:r>
      <w:r w:rsidRPr="00AB6E40">
        <w:rPr>
          <w:rFonts w:ascii="Arial" w:hAnsi="Arial" w:cs="Arial"/>
        </w:rPr>
        <w:t xml:space="preserve"> </w:t>
      </w:r>
      <w:r w:rsidRPr="008C683A">
        <w:rPr>
          <w:rFonts w:ascii="Arial" w:hAnsi="Arial" w:cs="Arial"/>
          <w:iCs/>
        </w:rPr>
        <w:t>Ibid</w:t>
      </w:r>
      <w:r w:rsidRPr="008C683A">
        <w:rPr>
          <w:rFonts w:ascii="Arial" w:hAnsi="Arial" w:cs="Arial"/>
        </w:rPr>
        <w:t xml:space="preserve"> para 13.</w:t>
      </w:r>
    </w:p>
  </w:footnote>
  <w:footnote w:id="15">
    <w:p w14:paraId="199220CD" w14:textId="0A248ED1" w:rsidR="000B1BD1" w:rsidRPr="00D80939" w:rsidRDefault="000B1BD1" w:rsidP="00B0446D">
      <w:pPr>
        <w:pStyle w:val="Heading2"/>
        <w:shd w:val="clear" w:color="auto" w:fill="FFFFFF"/>
        <w:spacing w:before="0" w:line="240" w:lineRule="auto"/>
        <w:contextualSpacing/>
        <w:jc w:val="both"/>
        <w:rPr>
          <w:rFonts w:ascii="Arial" w:hAnsi="Arial" w:cs="Arial"/>
          <w:b/>
          <w:bCs/>
          <w:color w:val="auto"/>
          <w:sz w:val="20"/>
          <w:szCs w:val="20"/>
        </w:rPr>
      </w:pPr>
      <w:r w:rsidRPr="00AB6E40">
        <w:rPr>
          <w:rStyle w:val="FootnoteReference"/>
          <w:rFonts w:ascii="Arial" w:hAnsi="Arial" w:cs="Arial"/>
          <w:color w:val="auto"/>
          <w:sz w:val="20"/>
          <w:szCs w:val="20"/>
        </w:rPr>
        <w:footnoteRef/>
      </w:r>
      <w:r w:rsidRPr="00AB6E40">
        <w:rPr>
          <w:rFonts w:ascii="Arial" w:hAnsi="Arial" w:cs="Arial"/>
          <w:color w:val="auto"/>
          <w:sz w:val="20"/>
          <w:szCs w:val="20"/>
        </w:rPr>
        <w:t xml:space="preserve"> </w:t>
      </w:r>
      <w:r w:rsidRPr="008C683A">
        <w:rPr>
          <w:rFonts w:ascii="Arial" w:hAnsi="Arial" w:cs="Arial"/>
          <w:i/>
          <w:color w:val="auto"/>
          <w:sz w:val="20"/>
          <w:szCs w:val="20"/>
        </w:rPr>
        <w:t>Maake v Director of Public Prosecutions</w:t>
      </w:r>
      <w:r w:rsidRPr="008C683A">
        <w:rPr>
          <w:rFonts w:ascii="Arial" w:hAnsi="Arial" w:cs="Arial"/>
          <w:color w:val="auto"/>
          <w:sz w:val="20"/>
          <w:szCs w:val="20"/>
        </w:rPr>
        <w:t xml:space="preserve"> [2010] ZASCA 51; 2011 (1) SACR 263 (SCA); [2011] 1 All SA 460 (SCA) </w:t>
      </w:r>
      <w:r w:rsidRPr="007B10E0">
        <w:rPr>
          <w:rFonts w:ascii="Arial" w:hAnsi="Arial" w:cs="Arial"/>
          <w:color w:val="auto"/>
          <w:sz w:val="20"/>
          <w:szCs w:val="20"/>
        </w:rPr>
        <w:t xml:space="preserve">paras 6-8. </w:t>
      </w:r>
    </w:p>
  </w:footnote>
  <w:footnote w:id="16">
    <w:p w14:paraId="16011EC2" w14:textId="66B8233A" w:rsidR="000B1BD1" w:rsidRPr="007B10E0" w:rsidRDefault="000B1BD1" w:rsidP="00AB6E40">
      <w:pPr>
        <w:pStyle w:val="FootnoteText"/>
        <w:jc w:val="both"/>
        <w:rPr>
          <w:rFonts w:ascii="Arial" w:hAnsi="Arial" w:cs="Arial"/>
          <w:iCs/>
        </w:rPr>
      </w:pPr>
      <w:r w:rsidRPr="00AB6E40">
        <w:rPr>
          <w:rStyle w:val="FootnoteReference"/>
          <w:rFonts w:ascii="Arial" w:hAnsi="Arial" w:cs="Arial"/>
        </w:rPr>
        <w:footnoteRef/>
      </w:r>
      <w:r w:rsidRPr="00AB6E40">
        <w:rPr>
          <w:rFonts w:ascii="Arial" w:hAnsi="Arial" w:cs="Arial"/>
        </w:rPr>
        <w:t xml:space="preserve"> </w:t>
      </w:r>
      <w:r w:rsidRPr="008C683A">
        <w:rPr>
          <w:rFonts w:ascii="Arial" w:hAnsi="Arial" w:cs="Arial"/>
          <w:i/>
        </w:rPr>
        <w:t xml:space="preserve">Magmoed v Janse van Rensburg and Others </w:t>
      </w:r>
      <w:r w:rsidRPr="008C683A">
        <w:rPr>
          <w:rFonts w:ascii="Arial" w:hAnsi="Arial" w:cs="Arial"/>
          <w:iCs/>
        </w:rPr>
        <w:t>[1992] ZASCA 208; 1993 (1) SA 777 (AD); [1993] 4 All SA 175 (AD); [1993] 1 All SA 396 (A)</w:t>
      </w:r>
      <w:r w:rsidRPr="00BC1FB8">
        <w:rPr>
          <w:rFonts w:ascii="Arial" w:hAnsi="Arial" w:cs="Arial"/>
          <w:iCs/>
        </w:rPr>
        <w:t>.</w:t>
      </w:r>
    </w:p>
  </w:footnote>
  <w:footnote w:id="17">
    <w:p w14:paraId="4405BA7D" w14:textId="47942D96" w:rsidR="000B1BD1" w:rsidRPr="007B10E0" w:rsidRDefault="000B1BD1" w:rsidP="008C683A">
      <w:pPr>
        <w:pStyle w:val="FootnoteText"/>
        <w:jc w:val="both"/>
        <w:rPr>
          <w:rFonts w:ascii="Arial" w:hAnsi="Arial" w:cs="Arial"/>
        </w:rPr>
      </w:pPr>
      <w:r w:rsidRPr="00AB6E40">
        <w:rPr>
          <w:rStyle w:val="FootnoteReference"/>
          <w:rFonts w:ascii="Arial" w:hAnsi="Arial" w:cs="Arial"/>
        </w:rPr>
        <w:footnoteRef/>
      </w:r>
      <w:r w:rsidRPr="00AB6E40">
        <w:rPr>
          <w:rFonts w:ascii="Arial" w:hAnsi="Arial" w:cs="Arial"/>
        </w:rPr>
        <w:t xml:space="preserve"> </w:t>
      </w:r>
      <w:r w:rsidRPr="008C683A">
        <w:rPr>
          <w:rFonts w:ascii="Arial" w:hAnsi="Arial" w:cs="Arial"/>
          <w:i/>
        </w:rPr>
        <w:t>Queen v Judelman</w:t>
      </w:r>
      <w:r w:rsidRPr="008C683A">
        <w:rPr>
          <w:rFonts w:ascii="Arial" w:hAnsi="Arial" w:cs="Arial"/>
        </w:rPr>
        <w:t xml:space="preserve"> </w:t>
      </w:r>
      <w:r w:rsidRPr="00BC1FB8">
        <w:rPr>
          <w:rFonts w:ascii="Arial" w:hAnsi="Arial" w:cs="Arial"/>
        </w:rPr>
        <w:t>(1893) 1</w:t>
      </w:r>
      <w:r w:rsidRPr="007B10E0">
        <w:rPr>
          <w:rFonts w:ascii="Arial" w:hAnsi="Arial" w:cs="Arial"/>
        </w:rPr>
        <w:t>0 SC 12.</w:t>
      </w:r>
    </w:p>
  </w:footnote>
  <w:footnote w:id="18">
    <w:p w14:paraId="2AD0283A" w14:textId="77777777" w:rsidR="000B1BD1" w:rsidRPr="008C683A" w:rsidRDefault="000B1BD1" w:rsidP="00B0446D">
      <w:pPr>
        <w:spacing w:after="0" w:line="240" w:lineRule="auto"/>
        <w:jc w:val="both"/>
        <w:rPr>
          <w:rFonts w:ascii="Arial" w:hAnsi="Arial" w:cs="Arial"/>
          <w:sz w:val="20"/>
          <w:szCs w:val="20"/>
        </w:rPr>
      </w:pPr>
      <w:r w:rsidRPr="00AB6E40">
        <w:rPr>
          <w:rStyle w:val="FootnoteReference"/>
          <w:rFonts w:ascii="Arial" w:hAnsi="Arial" w:cs="Arial"/>
          <w:sz w:val="20"/>
          <w:szCs w:val="20"/>
        </w:rPr>
        <w:footnoteRef/>
      </w:r>
      <w:r w:rsidRPr="00AB6E40">
        <w:rPr>
          <w:rFonts w:ascii="Arial" w:hAnsi="Arial" w:cs="Arial"/>
          <w:sz w:val="20"/>
          <w:szCs w:val="20"/>
        </w:rPr>
        <w:t xml:space="preserve"> Ibid</w:t>
      </w:r>
      <w:r w:rsidRPr="008C683A">
        <w:rPr>
          <w:rFonts w:ascii="Arial" w:hAnsi="Arial" w:cs="Arial"/>
          <w:bCs/>
          <w:sz w:val="20"/>
          <w:szCs w:val="20"/>
        </w:rPr>
        <w:t xml:space="preserve"> at 15.</w:t>
      </w:r>
    </w:p>
  </w:footnote>
  <w:footnote w:id="19">
    <w:p w14:paraId="635D9A80" w14:textId="77777777" w:rsidR="000B1BD1" w:rsidRPr="007B10E0" w:rsidRDefault="000B1BD1" w:rsidP="00AB6E40">
      <w:pPr>
        <w:pStyle w:val="FootnoteText"/>
        <w:jc w:val="both"/>
        <w:rPr>
          <w:rFonts w:ascii="Arial" w:hAnsi="Arial" w:cs="Arial"/>
        </w:rPr>
      </w:pPr>
      <w:r w:rsidRPr="00AB6E40">
        <w:rPr>
          <w:rStyle w:val="FootnoteReference"/>
          <w:rFonts w:ascii="Arial" w:hAnsi="Arial" w:cs="Arial"/>
        </w:rPr>
        <w:footnoteRef/>
      </w:r>
      <w:r w:rsidRPr="00AB6E40">
        <w:rPr>
          <w:rFonts w:ascii="Arial" w:hAnsi="Arial" w:cs="Arial"/>
        </w:rPr>
        <w:t xml:space="preserve"> </w:t>
      </w:r>
      <w:r w:rsidRPr="008C683A">
        <w:rPr>
          <w:rFonts w:ascii="Arial" w:hAnsi="Arial" w:cs="Arial"/>
          <w:i/>
        </w:rPr>
        <w:t>Magmoed</w:t>
      </w:r>
      <w:r w:rsidRPr="008C683A">
        <w:rPr>
          <w:rFonts w:ascii="Arial" w:hAnsi="Arial" w:cs="Arial"/>
        </w:rPr>
        <w:t xml:space="preserve"> </w:t>
      </w:r>
      <w:r w:rsidRPr="00BC1FB8">
        <w:rPr>
          <w:rFonts w:ascii="Arial" w:hAnsi="Arial" w:cs="Arial"/>
        </w:rPr>
        <w:t>para</w:t>
      </w:r>
      <w:r w:rsidRPr="007B10E0">
        <w:rPr>
          <w:rFonts w:ascii="Arial" w:hAnsi="Arial" w:cs="Arial"/>
        </w:rPr>
        <w:t>s 27-28.</w:t>
      </w:r>
    </w:p>
  </w:footnote>
  <w:footnote w:id="20">
    <w:p w14:paraId="4290FEB4" w14:textId="77777777" w:rsidR="000B1BD1" w:rsidRPr="00B0446D" w:rsidRDefault="000B1BD1" w:rsidP="008C683A">
      <w:pPr>
        <w:pStyle w:val="Default"/>
        <w:jc w:val="both"/>
        <w:rPr>
          <w:color w:val="auto"/>
          <w:sz w:val="20"/>
          <w:szCs w:val="20"/>
        </w:rPr>
      </w:pPr>
      <w:r w:rsidRPr="00B0446D">
        <w:rPr>
          <w:rStyle w:val="FootnoteReference"/>
          <w:color w:val="auto"/>
          <w:sz w:val="20"/>
          <w:szCs w:val="20"/>
        </w:rPr>
        <w:footnoteRef/>
      </w:r>
      <w:r w:rsidRPr="00B0446D">
        <w:rPr>
          <w:color w:val="auto"/>
          <w:sz w:val="20"/>
          <w:szCs w:val="20"/>
        </w:rPr>
        <w:t xml:space="preserve"> </w:t>
      </w:r>
      <w:r w:rsidRPr="00B0446D">
        <w:rPr>
          <w:i/>
          <w:iCs/>
          <w:color w:val="auto"/>
          <w:sz w:val="20"/>
          <w:szCs w:val="20"/>
        </w:rPr>
        <w:t>Molope</w:t>
      </w:r>
      <w:r w:rsidRPr="00B0446D">
        <w:rPr>
          <w:iCs/>
          <w:color w:val="auto"/>
          <w:sz w:val="20"/>
          <w:szCs w:val="20"/>
        </w:rPr>
        <w:t xml:space="preserve"> </w:t>
      </w:r>
      <w:r w:rsidRPr="00B0446D">
        <w:rPr>
          <w:color w:val="auto"/>
          <w:sz w:val="20"/>
          <w:szCs w:val="20"/>
        </w:rPr>
        <w:t>para 15.</w:t>
      </w:r>
    </w:p>
  </w:footnote>
  <w:footnote w:id="21">
    <w:p w14:paraId="4F88127C" w14:textId="5F025E9A" w:rsidR="000B1BD1" w:rsidRPr="00D80939" w:rsidRDefault="000B1BD1" w:rsidP="008C683A">
      <w:pPr>
        <w:pStyle w:val="FootnoteText"/>
        <w:contextualSpacing/>
        <w:jc w:val="both"/>
        <w:rPr>
          <w:rFonts w:ascii="Arial" w:hAnsi="Arial" w:cs="Arial"/>
        </w:rPr>
      </w:pPr>
      <w:r w:rsidRPr="00C13ABE">
        <w:rPr>
          <w:rStyle w:val="FootnoteReference"/>
          <w:rFonts w:ascii="Arial" w:hAnsi="Arial" w:cs="Arial"/>
        </w:rPr>
        <w:footnoteRef/>
      </w:r>
      <w:r w:rsidRPr="00C13ABE">
        <w:rPr>
          <w:rFonts w:ascii="Arial" w:hAnsi="Arial" w:cs="Arial"/>
        </w:rPr>
        <w:t xml:space="preserve"> </w:t>
      </w:r>
      <w:r w:rsidRPr="00AB6E40">
        <w:rPr>
          <w:rFonts w:ascii="Arial" w:hAnsi="Arial" w:cs="Arial"/>
          <w:i/>
        </w:rPr>
        <w:t>Magmoed</w:t>
      </w:r>
      <w:r w:rsidRPr="008C683A">
        <w:rPr>
          <w:rFonts w:ascii="Arial" w:hAnsi="Arial" w:cs="Arial"/>
        </w:rPr>
        <w:t xml:space="preserve"> p</w:t>
      </w:r>
      <w:r w:rsidRPr="00BC1FB8">
        <w:rPr>
          <w:rFonts w:ascii="Arial" w:hAnsi="Arial" w:cs="Arial"/>
          <w:bCs/>
        </w:rPr>
        <w:t>ara 3</w:t>
      </w:r>
      <w:r w:rsidRPr="00D80939">
        <w:rPr>
          <w:rFonts w:ascii="Arial" w:hAnsi="Arial" w:cs="Arial"/>
          <w:bCs/>
        </w:rPr>
        <w:t>7.</w:t>
      </w:r>
    </w:p>
  </w:footnote>
  <w:footnote w:id="22">
    <w:p w14:paraId="323A09BF" w14:textId="26C32E52" w:rsidR="000B1BD1" w:rsidRPr="00C13ABE" w:rsidRDefault="000B1BD1" w:rsidP="00B0446D">
      <w:pPr>
        <w:pStyle w:val="FootnoteText"/>
        <w:jc w:val="both"/>
        <w:rPr>
          <w:rFonts w:ascii="Arial" w:hAnsi="Arial" w:cs="Arial"/>
        </w:rPr>
      </w:pPr>
      <w:r w:rsidRPr="00C13ABE">
        <w:rPr>
          <w:rStyle w:val="FootnoteReference"/>
          <w:rFonts w:ascii="Arial" w:hAnsi="Arial" w:cs="Arial"/>
        </w:rPr>
        <w:footnoteRef/>
      </w:r>
      <w:r w:rsidRPr="00C13ABE">
        <w:rPr>
          <w:rFonts w:ascii="Arial" w:hAnsi="Arial" w:cs="Arial"/>
        </w:rPr>
        <w:t xml:space="preserve"> C R S</w:t>
      </w:r>
      <w:r w:rsidRPr="00AB6E40">
        <w:rPr>
          <w:rFonts w:ascii="Arial" w:hAnsi="Arial" w:cs="Arial"/>
        </w:rPr>
        <w:t>ny</w:t>
      </w:r>
      <w:r w:rsidRPr="008C683A">
        <w:rPr>
          <w:rFonts w:ascii="Arial" w:hAnsi="Arial" w:cs="Arial"/>
        </w:rPr>
        <w:t>man</w:t>
      </w:r>
      <w:r w:rsidRPr="00B0446D">
        <w:rPr>
          <w:rFonts w:ascii="Arial" w:hAnsi="Arial" w:cs="Arial"/>
          <w:i/>
          <w:iCs/>
        </w:rPr>
        <w:t xml:space="preserve"> Criminal Law</w:t>
      </w:r>
      <w:r w:rsidRPr="00B0446D">
        <w:rPr>
          <w:rFonts w:ascii="Arial" w:hAnsi="Arial" w:cs="Arial"/>
        </w:rPr>
        <w:t> 4 ed (2002) at 260.</w:t>
      </w:r>
    </w:p>
  </w:footnote>
  <w:footnote w:id="23">
    <w:p w14:paraId="7794B109" w14:textId="77777777" w:rsidR="000B1BD1" w:rsidRPr="00C13ABE" w:rsidRDefault="000B1BD1" w:rsidP="00B0446D">
      <w:pPr>
        <w:pStyle w:val="FootnoteText"/>
        <w:jc w:val="both"/>
        <w:rPr>
          <w:rFonts w:ascii="Arial" w:hAnsi="Arial" w:cs="Arial"/>
        </w:rPr>
      </w:pPr>
      <w:r w:rsidRPr="00D80939">
        <w:rPr>
          <w:rStyle w:val="FootnoteReference"/>
          <w:rFonts w:ascii="Arial" w:hAnsi="Arial" w:cs="Arial"/>
        </w:rPr>
        <w:footnoteRef/>
      </w:r>
      <w:r w:rsidRPr="00D80939">
        <w:rPr>
          <w:rFonts w:ascii="Arial" w:hAnsi="Arial" w:cs="Arial"/>
          <w:i/>
        </w:rPr>
        <w:t xml:space="preserve"> S </w:t>
      </w:r>
      <w:bookmarkStart w:id="4" w:name="LPHit2"/>
      <w:bookmarkEnd w:id="4"/>
      <w:r w:rsidRPr="00D80939">
        <w:rPr>
          <w:rFonts w:ascii="Arial" w:hAnsi="Arial" w:cs="Arial"/>
          <w:i/>
        </w:rPr>
        <w:t>v </w:t>
      </w:r>
      <w:bookmarkStart w:id="5" w:name="LPHit3"/>
      <w:bookmarkEnd w:id="5"/>
      <w:r w:rsidRPr="00D80939">
        <w:rPr>
          <w:rFonts w:ascii="Arial" w:hAnsi="Arial" w:cs="Arial"/>
          <w:i/>
        </w:rPr>
        <w:t>Van </w:t>
      </w:r>
      <w:bookmarkStart w:id="6" w:name="LPHit4"/>
      <w:bookmarkEnd w:id="6"/>
      <w:r w:rsidRPr="00D80939">
        <w:rPr>
          <w:rFonts w:ascii="Arial" w:hAnsi="Arial" w:cs="Arial"/>
          <w:i/>
        </w:rPr>
        <w:t>der </w:t>
      </w:r>
      <w:bookmarkStart w:id="7" w:name="LPHit5"/>
      <w:bookmarkEnd w:id="7"/>
      <w:r w:rsidRPr="00D80939">
        <w:rPr>
          <w:rFonts w:ascii="Arial" w:hAnsi="Arial" w:cs="Arial"/>
          <w:i/>
        </w:rPr>
        <w:t>Meyden </w:t>
      </w:r>
      <w:r w:rsidRPr="00C13ABE">
        <w:rPr>
          <w:rFonts w:ascii="Arial" w:hAnsi="Arial" w:cs="Arial"/>
        </w:rPr>
        <w:t>1999 (1) SACR 447 (W) at 449H.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621178"/>
      <w:docPartObj>
        <w:docPartGallery w:val="Page Numbers (Top of Page)"/>
        <w:docPartUnique/>
      </w:docPartObj>
    </w:sdtPr>
    <w:sdtEndPr>
      <w:rPr>
        <w:rFonts w:ascii="Arial" w:hAnsi="Arial" w:cs="Arial"/>
        <w:noProof/>
      </w:rPr>
    </w:sdtEndPr>
    <w:sdtContent>
      <w:p w14:paraId="1A410CF3" w14:textId="6D10C798" w:rsidR="000B1BD1" w:rsidRPr="008F1DAB" w:rsidRDefault="000B1BD1">
        <w:pPr>
          <w:pStyle w:val="Header"/>
          <w:jc w:val="right"/>
          <w:rPr>
            <w:rFonts w:ascii="Arial" w:hAnsi="Arial" w:cs="Arial"/>
          </w:rPr>
        </w:pPr>
        <w:r w:rsidRPr="008F1DAB">
          <w:rPr>
            <w:rFonts w:ascii="Arial" w:hAnsi="Arial" w:cs="Arial"/>
          </w:rPr>
          <w:fldChar w:fldCharType="begin"/>
        </w:r>
        <w:r w:rsidRPr="008F1DAB">
          <w:rPr>
            <w:rFonts w:ascii="Arial" w:hAnsi="Arial" w:cs="Arial"/>
          </w:rPr>
          <w:instrText xml:space="preserve"> PAGE   \* MERGEFORMAT </w:instrText>
        </w:r>
        <w:r w:rsidRPr="008F1DAB">
          <w:rPr>
            <w:rFonts w:ascii="Arial" w:hAnsi="Arial" w:cs="Arial"/>
          </w:rPr>
          <w:fldChar w:fldCharType="separate"/>
        </w:r>
        <w:r w:rsidR="004A77F3">
          <w:rPr>
            <w:rFonts w:ascii="Arial" w:hAnsi="Arial" w:cs="Arial"/>
            <w:noProof/>
          </w:rPr>
          <w:t>4</w:t>
        </w:r>
        <w:r w:rsidRPr="008F1DAB">
          <w:rPr>
            <w:rFonts w:ascii="Arial" w:hAnsi="Arial" w:cs="Arial"/>
            <w:noProof/>
          </w:rPr>
          <w:fldChar w:fldCharType="end"/>
        </w:r>
      </w:p>
    </w:sdtContent>
  </w:sdt>
  <w:p w14:paraId="4C9A8A03" w14:textId="77777777" w:rsidR="000B1BD1" w:rsidRDefault="000B1B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6"/>
    <w:multiLevelType w:val="multilevel"/>
    <w:tmpl w:val="00000889"/>
    <w:lvl w:ilvl="0">
      <w:start w:val="64"/>
      <w:numFmt w:val="decimal"/>
      <w:lvlText w:val="[%1]"/>
      <w:lvlJc w:val="left"/>
      <w:pPr>
        <w:ind w:left="120" w:hanging="720"/>
      </w:pPr>
      <w:rPr>
        <w:rFonts w:ascii="Arial" w:hAnsi="Arial" w:cs="Arial"/>
        <w:b w:val="0"/>
        <w:bCs w:val="0"/>
        <w:w w:val="99"/>
        <w:sz w:val="24"/>
        <w:szCs w:val="24"/>
      </w:rPr>
    </w:lvl>
    <w:lvl w:ilvl="1">
      <w:numFmt w:val="bullet"/>
      <w:lvlText w:val="•"/>
      <w:lvlJc w:val="left"/>
      <w:pPr>
        <w:ind w:left="1034" w:hanging="720"/>
      </w:pPr>
    </w:lvl>
    <w:lvl w:ilvl="2">
      <w:numFmt w:val="bullet"/>
      <w:lvlText w:val="•"/>
      <w:lvlJc w:val="left"/>
      <w:pPr>
        <w:ind w:left="1949" w:hanging="720"/>
      </w:pPr>
    </w:lvl>
    <w:lvl w:ilvl="3">
      <w:numFmt w:val="bullet"/>
      <w:lvlText w:val="•"/>
      <w:lvlJc w:val="left"/>
      <w:pPr>
        <w:ind w:left="2863" w:hanging="720"/>
      </w:pPr>
    </w:lvl>
    <w:lvl w:ilvl="4">
      <w:numFmt w:val="bullet"/>
      <w:lvlText w:val="•"/>
      <w:lvlJc w:val="left"/>
      <w:pPr>
        <w:ind w:left="3778" w:hanging="720"/>
      </w:pPr>
    </w:lvl>
    <w:lvl w:ilvl="5">
      <w:numFmt w:val="bullet"/>
      <w:lvlText w:val="•"/>
      <w:lvlJc w:val="left"/>
      <w:pPr>
        <w:ind w:left="4693" w:hanging="720"/>
      </w:pPr>
    </w:lvl>
    <w:lvl w:ilvl="6">
      <w:numFmt w:val="bullet"/>
      <w:lvlText w:val="•"/>
      <w:lvlJc w:val="left"/>
      <w:pPr>
        <w:ind w:left="5607" w:hanging="720"/>
      </w:pPr>
    </w:lvl>
    <w:lvl w:ilvl="7">
      <w:numFmt w:val="bullet"/>
      <w:lvlText w:val="•"/>
      <w:lvlJc w:val="left"/>
      <w:pPr>
        <w:ind w:left="6522" w:hanging="720"/>
      </w:pPr>
    </w:lvl>
    <w:lvl w:ilvl="8">
      <w:numFmt w:val="bullet"/>
      <w:lvlText w:val="•"/>
      <w:lvlJc w:val="left"/>
      <w:pPr>
        <w:ind w:left="7437" w:hanging="720"/>
      </w:pPr>
    </w:lvl>
  </w:abstractNum>
  <w:abstractNum w:abstractNumId="1" w15:restartNumberingAfterBreak="0">
    <w:nsid w:val="005C710F"/>
    <w:multiLevelType w:val="hybridMultilevel"/>
    <w:tmpl w:val="5D32DDB4"/>
    <w:lvl w:ilvl="0" w:tplc="BBF2E56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6F5C46"/>
    <w:multiLevelType w:val="hybridMultilevel"/>
    <w:tmpl w:val="B358C0C2"/>
    <w:lvl w:ilvl="0" w:tplc="7EBEA89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20700B9"/>
    <w:multiLevelType w:val="multilevel"/>
    <w:tmpl w:val="C122EC48"/>
    <w:lvl w:ilvl="0">
      <w:start w:val="52"/>
      <w:numFmt w:val="decimal"/>
      <w:lvlText w:val="%1"/>
      <w:lvlJc w:val="left"/>
      <w:pPr>
        <w:ind w:left="375" w:hanging="375"/>
      </w:pPr>
      <w:rPr>
        <w:rFonts w:ascii="Bembo" w:hAnsi="Bembo" w:cs="Bembo" w:hint="default"/>
        <w:sz w:val="20"/>
      </w:rPr>
    </w:lvl>
    <w:lvl w:ilvl="1">
      <w:start w:val="2"/>
      <w:numFmt w:val="decimal"/>
      <w:lvlText w:val="%1.%2"/>
      <w:lvlJc w:val="left"/>
      <w:pPr>
        <w:ind w:left="1317" w:hanging="375"/>
      </w:pPr>
      <w:rPr>
        <w:rFonts w:ascii="Arial" w:hAnsi="Arial" w:cs="Arial" w:hint="default"/>
        <w:sz w:val="22"/>
        <w:szCs w:val="22"/>
      </w:rPr>
    </w:lvl>
    <w:lvl w:ilvl="2">
      <w:start w:val="1"/>
      <w:numFmt w:val="decimal"/>
      <w:lvlText w:val="%1.%2.%3"/>
      <w:lvlJc w:val="left"/>
      <w:pPr>
        <w:ind w:left="2604" w:hanging="720"/>
      </w:pPr>
      <w:rPr>
        <w:rFonts w:ascii="Bembo" w:hAnsi="Bembo" w:cs="Bembo" w:hint="default"/>
        <w:sz w:val="20"/>
      </w:rPr>
    </w:lvl>
    <w:lvl w:ilvl="3">
      <w:start w:val="1"/>
      <w:numFmt w:val="decimal"/>
      <w:lvlText w:val="%1.%2.%3.%4"/>
      <w:lvlJc w:val="left"/>
      <w:pPr>
        <w:ind w:left="3546" w:hanging="720"/>
      </w:pPr>
      <w:rPr>
        <w:rFonts w:ascii="Bembo" w:hAnsi="Bembo" w:cs="Bembo" w:hint="default"/>
        <w:sz w:val="20"/>
      </w:rPr>
    </w:lvl>
    <w:lvl w:ilvl="4">
      <w:start w:val="1"/>
      <w:numFmt w:val="decimal"/>
      <w:lvlText w:val="%1.%2.%3.%4.%5"/>
      <w:lvlJc w:val="left"/>
      <w:pPr>
        <w:ind w:left="4848" w:hanging="1080"/>
      </w:pPr>
      <w:rPr>
        <w:rFonts w:ascii="Bembo" w:hAnsi="Bembo" w:cs="Bembo" w:hint="default"/>
        <w:sz w:val="20"/>
      </w:rPr>
    </w:lvl>
    <w:lvl w:ilvl="5">
      <w:start w:val="1"/>
      <w:numFmt w:val="decimal"/>
      <w:lvlText w:val="%1.%2.%3.%4.%5.%6"/>
      <w:lvlJc w:val="left"/>
      <w:pPr>
        <w:ind w:left="5790" w:hanging="1080"/>
      </w:pPr>
      <w:rPr>
        <w:rFonts w:ascii="Bembo" w:hAnsi="Bembo" w:cs="Bembo" w:hint="default"/>
        <w:sz w:val="20"/>
      </w:rPr>
    </w:lvl>
    <w:lvl w:ilvl="6">
      <w:start w:val="1"/>
      <w:numFmt w:val="decimal"/>
      <w:lvlText w:val="%1.%2.%3.%4.%5.%6.%7"/>
      <w:lvlJc w:val="left"/>
      <w:pPr>
        <w:ind w:left="7092" w:hanging="1440"/>
      </w:pPr>
      <w:rPr>
        <w:rFonts w:ascii="Bembo" w:hAnsi="Bembo" w:cs="Bembo" w:hint="default"/>
        <w:sz w:val="20"/>
      </w:rPr>
    </w:lvl>
    <w:lvl w:ilvl="7">
      <w:start w:val="1"/>
      <w:numFmt w:val="decimal"/>
      <w:lvlText w:val="%1.%2.%3.%4.%5.%6.%7.%8"/>
      <w:lvlJc w:val="left"/>
      <w:pPr>
        <w:ind w:left="8034" w:hanging="1440"/>
      </w:pPr>
      <w:rPr>
        <w:rFonts w:ascii="Bembo" w:hAnsi="Bembo" w:cs="Bembo" w:hint="default"/>
        <w:sz w:val="20"/>
      </w:rPr>
    </w:lvl>
    <w:lvl w:ilvl="8">
      <w:start w:val="1"/>
      <w:numFmt w:val="decimal"/>
      <w:lvlText w:val="%1.%2.%3.%4.%5.%6.%7.%8.%9"/>
      <w:lvlJc w:val="left"/>
      <w:pPr>
        <w:ind w:left="9336" w:hanging="1800"/>
      </w:pPr>
      <w:rPr>
        <w:rFonts w:ascii="Bembo" w:hAnsi="Bembo" w:cs="Bembo" w:hint="default"/>
        <w:sz w:val="20"/>
      </w:rPr>
    </w:lvl>
  </w:abstractNum>
  <w:abstractNum w:abstractNumId="4" w15:restartNumberingAfterBreak="0">
    <w:nsid w:val="043D5AB4"/>
    <w:multiLevelType w:val="hybridMultilevel"/>
    <w:tmpl w:val="2F961ACC"/>
    <w:lvl w:ilvl="0" w:tplc="167262EA">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 w15:restartNumberingAfterBreak="0">
    <w:nsid w:val="06B049C2"/>
    <w:multiLevelType w:val="hybridMultilevel"/>
    <w:tmpl w:val="D82E1B32"/>
    <w:lvl w:ilvl="0" w:tplc="9B1E473A">
      <w:start w:val="1"/>
      <w:numFmt w:val="decimal"/>
      <w:lvlText w:val="%1"/>
      <w:lvlJc w:val="left"/>
      <w:pPr>
        <w:ind w:left="720" w:hanging="360"/>
      </w:pPr>
      <w:rPr>
        <w:rFonts w:ascii="Arial" w:eastAsiaTheme="minorHAnsi"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7451077"/>
    <w:multiLevelType w:val="hybridMultilevel"/>
    <w:tmpl w:val="CB74C6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95A7A26"/>
    <w:multiLevelType w:val="hybridMultilevel"/>
    <w:tmpl w:val="94761F34"/>
    <w:lvl w:ilvl="0" w:tplc="5502B600">
      <w:start w:val="1"/>
      <w:numFmt w:val="decimal"/>
      <w:pStyle w:val="JUDGMENTNUMBERED"/>
      <w:lvlText w:val="[%1]"/>
      <w:lvlJc w:val="left"/>
      <w:pPr>
        <w:ind w:left="104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6"/>
        <w:szCs w:val="26"/>
        <w:u w:val="none"/>
        <w:vertAlign w:val="baseline"/>
      </w:rPr>
    </w:lvl>
    <w:lvl w:ilvl="1" w:tplc="E72E60BC">
      <w:start w:val="1"/>
      <w:numFmt w:val="decimal"/>
      <w:lvlText w:val="(%2)"/>
      <w:lvlJc w:val="left"/>
      <w:pPr>
        <w:ind w:left="1440" w:hanging="360"/>
      </w:pPr>
      <w:rPr>
        <w:rFonts w:cs="Times New Roman" w:hint="default"/>
      </w:rPr>
    </w:lvl>
    <w:lvl w:ilvl="2" w:tplc="623E6E4A">
      <w:start w:val="1"/>
      <w:numFmt w:val="decimal"/>
      <w:lvlText w:val="%3."/>
      <w:lvlJc w:val="left"/>
      <w:pPr>
        <w:ind w:left="2340" w:hanging="360"/>
      </w:pPr>
      <w:rPr>
        <w:rFonts w:cs="Times New Roman" w:hint="default"/>
        <w:i/>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B723708"/>
    <w:multiLevelType w:val="hybridMultilevel"/>
    <w:tmpl w:val="CE02B7E6"/>
    <w:lvl w:ilvl="0" w:tplc="93FE0860">
      <w:start w:val="1"/>
      <w:numFmt w:val="lowerLetter"/>
      <w:lvlText w:val="(%1)"/>
      <w:lvlJc w:val="left"/>
      <w:pPr>
        <w:ind w:left="735" w:hanging="375"/>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FC81243"/>
    <w:multiLevelType w:val="hybridMultilevel"/>
    <w:tmpl w:val="3C144068"/>
    <w:lvl w:ilvl="0" w:tplc="6A7A347C">
      <w:start w:val="1"/>
      <w:numFmt w:val="lowerLetter"/>
      <w:lvlText w:val="(%1)"/>
      <w:lvlJc w:val="left"/>
      <w:pPr>
        <w:ind w:left="927" w:hanging="360"/>
      </w:pPr>
      <w:rPr>
        <w:rFonts w:hint="default"/>
        <w:i/>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 w15:restartNumberingAfterBreak="0">
    <w:nsid w:val="10C04C4F"/>
    <w:multiLevelType w:val="hybridMultilevel"/>
    <w:tmpl w:val="4AE6D75E"/>
    <w:lvl w:ilvl="0" w:tplc="EC8C4944">
      <w:start w:val="4"/>
      <w:numFmt w:val="lowerLetter"/>
      <w:lvlText w:val="(%1)"/>
      <w:lvlJc w:val="left"/>
      <w:pPr>
        <w:ind w:left="1069" w:hanging="360"/>
      </w:pPr>
      <w:rPr>
        <w:rFonts w:hint="default"/>
        <w:i/>
      </w:rPr>
    </w:lvl>
    <w:lvl w:ilvl="1" w:tplc="1C090019" w:tentative="1">
      <w:start w:val="1"/>
      <w:numFmt w:val="lowerLetter"/>
      <w:lvlText w:val="%2."/>
      <w:lvlJc w:val="left"/>
      <w:pPr>
        <w:ind w:left="1015" w:hanging="360"/>
      </w:pPr>
    </w:lvl>
    <w:lvl w:ilvl="2" w:tplc="1C09001B" w:tentative="1">
      <w:start w:val="1"/>
      <w:numFmt w:val="lowerRoman"/>
      <w:lvlText w:val="%3."/>
      <w:lvlJc w:val="right"/>
      <w:pPr>
        <w:ind w:left="1735" w:hanging="180"/>
      </w:pPr>
    </w:lvl>
    <w:lvl w:ilvl="3" w:tplc="1C09000F" w:tentative="1">
      <w:start w:val="1"/>
      <w:numFmt w:val="decimal"/>
      <w:lvlText w:val="%4."/>
      <w:lvlJc w:val="left"/>
      <w:pPr>
        <w:ind w:left="2455" w:hanging="360"/>
      </w:pPr>
    </w:lvl>
    <w:lvl w:ilvl="4" w:tplc="1C090019" w:tentative="1">
      <w:start w:val="1"/>
      <w:numFmt w:val="lowerLetter"/>
      <w:lvlText w:val="%5."/>
      <w:lvlJc w:val="left"/>
      <w:pPr>
        <w:ind w:left="3175" w:hanging="360"/>
      </w:pPr>
    </w:lvl>
    <w:lvl w:ilvl="5" w:tplc="1C09001B" w:tentative="1">
      <w:start w:val="1"/>
      <w:numFmt w:val="lowerRoman"/>
      <w:lvlText w:val="%6."/>
      <w:lvlJc w:val="right"/>
      <w:pPr>
        <w:ind w:left="3895" w:hanging="180"/>
      </w:pPr>
    </w:lvl>
    <w:lvl w:ilvl="6" w:tplc="1C09000F" w:tentative="1">
      <w:start w:val="1"/>
      <w:numFmt w:val="decimal"/>
      <w:lvlText w:val="%7."/>
      <w:lvlJc w:val="left"/>
      <w:pPr>
        <w:ind w:left="4615" w:hanging="360"/>
      </w:pPr>
    </w:lvl>
    <w:lvl w:ilvl="7" w:tplc="1C090019" w:tentative="1">
      <w:start w:val="1"/>
      <w:numFmt w:val="lowerLetter"/>
      <w:lvlText w:val="%8."/>
      <w:lvlJc w:val="left"/>
      <w:pPr>
        <w:ind w:left="5335" w:hanging="360"/>
      </w:pPr>
    </w:lvl>
    <w:lvl w:ilvl="8" w:tplc="1C09001B" w:tentative="1">
      <w:start w:val="1"/>
      <w:numFmt w:val="lowerRoman"/>
      <w:lvlText w:val="%9."/>
      <w:lvlJc w:val="right"/>
      <w:pPr>
        <w:ind w:left="6055" w:hanging="180"/>
      </w:pPr>
    </w:lvl>
  </w:abstractNum>
  <w:abstractNum w:abstractNumId="11" w15:restartNumberingAfterBreak="0">
    <w:nsid w:val="149678F8"/>
    <w:multiLevelType w:val="hybridMultilevel"/>
    <w:tmpl w:val="81924D4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50D41CB"/>
    <w:multiLevelType w:val="hybridMultilevel"/>
    <w:tmpl w:val="BB24E9B8"/>
    <w:lvl w:ilvl="0" w:tplc="E6F6E722">
      <w:start w:val="4"/>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F500359"/>
    <w:multiLevelType w:val="hybridMultilevel"/>
    <w:tmpl w:val="EFB22B22"/>
    <w:lvl w:ilvl="0" w:tplc="07C6826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3924162"/>
    <w:multiLevelType w:val="hybridMultilevel"/>
    <w:tmpl w:val="E0800E72"/>
    <w:lvl w:ilvl="0" w:tplc="11EAC0E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E5B2040"/>
    <w:multiLevelType w:val="hybridMultilevel"/>
    <w:tmpl w:val="DBCE2084"/>
    <w:lvl w:ilvl="0" w:tplc="69C043A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68512A"/>
    <w:multiLevelType w:val="hybridMultilevel"/>
    <w:tmpl w:val="C860A9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B316AA"/>
    <w:multiLevelType w:val="hybridMultilevel"/>
    <w:tmpl w:val="66DC610A"/>
    <w:lvl w:ilvl="0" w:tplc="45F2DA9C">
      <w:start w:val="1"/>
      <w:numFmt w:val="lowerLetter"/>
      <w:lvlText w:val="(%1)"/>
      <w:lvlJc w:val="left"/>
      <w:pPr>
        <w:ind w:left="720" w:hanging="360"/>
      </w:pPr>
      <w:rPr>
        <w:rFonts w:ascii="Arial" w:eastAsiaTheme="minorHAnsi"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737EA0"/>
    <w:multiLevelType w:val="hybridMultilevel"/>
    <w:tmpl w:val="B1DCC79E"/>
    <w:lvl w:ilvl="0" w:tplc="95FEBDCC">
      <w:start w:val="1"/>
      <w:numFmt w:val="decimal"/>
      <w:lvlText w:val="%1."/>
      <w:lvlJc w:val="left"/>
      <w:pPr>
        <w:ind w:left="720" w:hanging="360"/>
      </w:pPr>
      <w:rPr>
        <w:rFonts w:ascii="Arial" w:eastAsiaTheme="minorHAnsi"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E8F2D15"/>
    <w:multiLevelType w:val="hybridMultilevel"/>
    <w:tmpl w:val="BA42F9F8"/>
    <w:lvl w:ilvl="0" w:tplc="CBC8631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F1B2B84"/>
    <w:multiLevelType w:val="hybridMultilevel"/>
    <w:tmpl w:val="74B0F3BE"/>
    <w:lvl w:ilvl="0" w:tplc="FC1C87D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0217CBF"/>
    <w:multiLevelType w:val="hybridMultilevel"/>
    <w:tmpl w:val="1680973C"/>
    <w:lvl w:ilvl="0" w:tplc="BBF2E56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063543C"/>
    <w:multiLevelType w:val="hybridMultilevel"/>
    <w:tmpl w:val="6FF2F8A2"/>
    <w:lvl w:ilvl="0" w:tplc="BBF2E562">
      <w:start w:val="1"/>
      <w:numFmt w:val="lowerRoman"/>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23" w15:restartNumberingAfterBreak="0">
    <w:nsid w:val="418A1B46"/>
    <w:multiLevelType w:val="hybridMultilevel"/>
    <w:tmpl w:val="0338EA4E"/>
    <w:lvl w:ilvl="0" w:tplc="EEE08F40">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440E0F30"/>
    <w:multiLevelType w:val="hybridMultilevel"/>
    <w:tmpl w:val="F5D2137C"/>
    <w:lvl w:ilvl="0" w:tplc="4A448992">
      <w:start w:val="1"/>
      <w:numFmt w:val="decimal"/>
      <w:lvlText w:val="[%1]"/>
      <w:lvlJc w:val="left"/>
      <w:pPr>
        <w:ind w:left="720" w:hanging="360"/>
      </w:pPr>
      <w:rPr>
        <w:rFonts w:ascii="Times New Roman" w:hAnsi="Times New Roman"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D13BD"/>
    <w:multiLevelType w:val="multilevel"/>
    <w:tmpl w:val="1B9A4CA6"/>
    <w:lvl w:ilvl="0">
      <w:start w:val="1"/>
      <w:numFmt w:val="decimal"/>
      <w:pStyle w:val="JUGMENTNUMBERED"/>
      <w:lvlText w:val="[%1]"/>
      <w:lvlJc w:val="left"/>
      <w:pPr>
        <w:tabs>
          <w:tab w:val="num" w:pos="68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sz w:val="26"/>
        <w:szCs w:val="2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D5F7AD0"/>
    <w:multiLevelType w:val="hybridMultilevel"/>
    <w:tmpl w:val="B6BCB97C"/>
    <w:lvl w:ilvl="0" w:tplc="46F8FFD8">
      <w:start w:val="3"/>
      <w:numFmt w:val="lowerLetter"/>
      <w:lvlText w:val="(%1)"/>
      <w:lvlJc w:val="left"/>
      <w:pPr>
        <w:ind w:left="927" w:hanging="360"/>
      </w:pPr>
      <w:rPr>
        <w:rFonts w:hint="default"/>
        <w:i/>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7" w15:restartNumberingAfterBreak="0">
    <w:nsid w:val="50F05BCF"/>
    <w:multiLevelType w:val="hybridMultilevel"/>
    <w:tmpl w:val="E744AF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3DF60D0"/>
    <w:multiLevelType w:val="hybridMultilevel"/>
    <w:tmpl w:val="0C4AF536"/>
    <w:lvl w:ilvl="0" w:tplc="1990ECF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9445802"/>
    <w:multiLevelType w:val="hybridMultilevel"/>
    <w:tmpl w:val="FB4C2D9A"/>
    <w:lvl w:ilvl="0" w:tplc="10F4AA74">
      <w:start w:val="3"/>
      <w:numFmt w:val="lowerRoman"/>
      <w:lvlText w:val="(%1)"/>
      <w:lvlJc w:val="left"/>
      <w:pPr>
        <w:ind w:left="1287"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609D40CC"/>
    <w:multiLevelType w:val="hybridMultilevel"/>
    <w:tmpl w:val="F77846A8"/>
    <w:lvl w:ilvl="0" w:tplc="F1ACE06A">
      <w:start w:val="1"/>
      <w:numFmt w:val="bullet"/>
      <w:lvlText w:val="-"/>
      <w:lvlJc w:val="left"/>
      <w:pPr>
        <w:ind w:left="1080" w:hanging="360"/>
      </w:pPr>
      <w:rPr>
        <w:rFonts w:ascii="Arial" w:eastAsiaTheme="minorHAnsi" w:hAnsi="Arial" w:cs="Arial" w:hint="default"/>
        <w:sz w:val="24"/>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675027F1"/>
    <w:multiLevelType w:val="hybridMultilevel"/>
    <w:tmpl w:val="A68834A8"/>
    <w:lvl w:ilvl="0" w:tplc="64FC87C6">
      <w:start w:val="1"/>
      <w:numFmt w:val="decimal"/>
      <w:lvlText w:val="%1."/>
      <w:lvlJc w:val="left"/>
      <w:pPr>
        <w:ind w:left="644" w:hanging="360"/>
      </w:pPr>
      <w:rPr>
        <w:rFonts w:hint="default"/>
        <w:b w:val="0"/>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2" w15:restartNumberingAfterBreak="0">
    <w:nsid w:val="6975019D"/>
    <w:multiLevelType w:val="multilevel"/>
    <w:tmpl w:val="D086648C"/>
    <w:lvl w:ilvl="0">
      <w:start w:val="52"/>
      <w:numFmt w:val="decimal"/>
      <w:lvlText w:val="%1."/>
      <w:lvlJc w:val="left"/>
      <w:pPr>
        <w:ind w:left="435" w:hanging="435"/>
      </w:pPr>
      <w:rPr>
        <w:rFonts w:hint="default"/>
        <w:b w:val="0"/>
        <w:i w:val="0"/>
      </w:rPr>
    </w:lvl>
    <w:lvl w:ilvl="1">
      <w:start w:val="1"/>
      <w:numFmt w:val="decimal"/>
      <w:lvlText w:val="%1.%2."/>
      <w:lvlJc w:val="left"/>
      <w:pPr>
        <w:ind w:left="1377" w:hanging="435"/>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546" w:hanging="72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5790" w:hanging="108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034" w:hanging="1440"/>
      </w:pPr>
      <w:rPr>
        <w:rFonts w:hint="default"/>
      </w:rPr>
    </w:lvl>
    <w:lvl w:ilvl="8">
      <w:start w:val="1"/>
      <w:numFmt w:val="decimal"/>
      <w:lvlText w:val="%1.%2.%3.%4.%5.%6.%7.%8.%9."/>
      <w:lvlJc w:val="left"/>
      <w:pPr>
        <w:ind w:left="9336" w:hanging="1800"/>
      </w:pPr>
      <w:rPr>
        <w:rFonts w:hint="default"/>
      </w:rPr>
    </w:lvl>
  </w:abstractNum>
  <w:abstractNum w:abstractNumId="33" w15:restartNumberingAfterBreak="0">
    <w:nsid w:val="6B4A425E"/>
    <w:multiLevelType w:val="hybridMultilevel"/>
    <w:tmpl w:val="92FC5C30"/>
    <w:lvl w:ilvl="0" w:tplc="69C043A8">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4" w15:restartNumberingAfterBreak="0">
    <w:nsid w:val="6BBB2A52"/>
    <w:multiLevelType w:val="hybridMultilevel"/>
    <w:tmpl w:val="F5E4B1D8"/>
    <w:lvl w:ilvl="0" w:tplc="1DD28814">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5" w15:restartNumberingAfterBreak="0">
    <w:nsid w:val="6C153B0F"/>
    <w:multiLevelType w:val="hybridMultilevel"/>
    <w:tmpl w:val="C1902C30"/>
    <w:lvl w:ilvl="0" w:tplc="C25E2214">
      <w:start w:val="5"/>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C96788A"/>
    <w:multiLevelType w:val="hybridMultilevel"/>
    <w:tmpl w:val="41524E72"/>
    <w:lvl w:ilvl="0" w:tplc="BB065E94">
      <w:start w:val="1"/>
      <w:numFmt w:val="upp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7" w15:restartNumberingAfterBreak="0">
    <w:nsid w:val="6DB91EEA"/>
    <w:multiLevelType w:val="hybridMultilevel"/>
    <w:tmpl w:val="112292FE"/>
    <w:lvl w:ilvl="0" w:tplc="868E5958">
      <w:start w:val="1"/>
      <w:numFmt w:val="upperLetter"/>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F642380"/>
    <w:multiLevelType w:val="hybridMultilevel"/>
    <w:tmpl w:val="4C248696"/>
    <w:lvl w:ilvl="0" w:tplc="BBF2E562">
      <w:start w:val="1"/>
      <w:numFmt w:val="lowerRoman"/>
      <w:lvlText w:val="(%1)"/>
      <w:lvlJc w:val="left"/>
      <w:pPr>
        <w:ind w:left="927" w:hanging="360"/>
      </w:pPr>
      <w:rPr>
        <w:rFonts w:hint="default"/>
      </w:r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9" w15:restartNumberingAfterBreak="0">
    <w:nsid w:val="712E3C8A"/>
    <w:multiLevelType w:val="hybridMultilevel"/>
    <w:tmpl w:val="7214FBDC"/>
    <w:lvl w:ilvl="0" w:tplc="55007546">
      <w:start w:val="2"/>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0" w15:restartNumberingAfterBreak="0">
    <w:nsid w:val="72A32178"/>
    <w:multiLevelType w:val="hybridMultilevel"/>
    <w:tmpl w:val="3F70253E"/>
    <w:lvl w:ilvl="0" w:tplc="5046124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5AA4E79"/>
    <w:multiLevelType w:val="hybridMultilevel"/>
    <w:tmpl w:val="12361F9C"/>
    <w:lvl w:ilvl="0" w:tplc="0CAED6A4">
      <w:start w:val="1"/>
      <w:numFmt w:val="lowerLetter"/>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AE611F4"/>
    <w:multiLevelType w:val="multilevel"/>
    <w:tmpl w:val="D9485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7"/>
  </w:num>
  <w:num w:numId="3">
    <w:abstractNumId w:val="33"/>
  </w:num>
  <w:num w:numId="4">
    <w:abstractNumId w:val="21"/>
  </w:num>
  <w:num w:numId="5">
    <w:abstractNumId w:val="1"/>
  </w:num>
  <w:num w:numId="6">
    <w:abstractNumId w:val="38"/>
  </w:num>
  <w:num w:numId="7">
    <w:abstractNumId w:val="36"/>
  </w:num>
  <w:num w:numId="8">
    <w:abstractNumId w:val="39"/>
  </w:num>
  <w:num w:numId="9">
    <w:abstractNumId w:val="9"/>
  </w:num>
  <w:num w:numId="10">
    <w:abstractNumId w:val="22"/>
  </w:num>
  <w:num w:numId="11">
    <w:abstractNumId w:val="10"/>
  </w:num>
  <w:num w:numId="12">
    <w:abstractNumId w:val="34"/>
  </w:num>
  <w:num w:numId="13">
    <w:abstractNumId w:val="4"/>
  </w:num>
  <w:num w:numId="14">
    <w:abstractNumId w:val="26"/>
  </w:num>
  <w:num w:numId="15">
    <w:abstractNumId w:val="32"/>
  </w:num>
  <w:num w:numId="16">
    <w:abstractNumId w:val="3"/>
  </w:num>
  <w:num w:numId="17">
    <w:abstractNumId w:val="29"/>
  </w:num>
  <w:num w:numId="18">
    <w:abstractNumId w:val="18"/>
  </w:num>
  <w:num w:numId="19">
    <w:abstractNumId w:val="17"/>
  </w:num>
  <w:num w:numId="20">
    <w:abstractNumId w:val="40"/>
  </w:num>
  <w:num w:numId="21">
    <w:abstractNumId w:val="20"/>
  </w:num>
  <w:num w:numId="22">
    <w:abstractNumId w:val="5"/>
  </w:num>
  <w:num w:numId="23">
    <w:abstractNumId w:val="28"/>
  </w:num>
  <w:num w:numId="24">
    <w:abstractNumId w:val="19"/>
  </w:num>
  <w:num w:numId="25">
    <w:abstractNumId w:val="41"/>
  </w:num>
  <w:num w:numId="26">
    <w:abstractNumId w:val="30"/>
  </w:num>
  <w:num w:numId="27">
    <w:abstractNumId w:val="8"/>
  </w:num>
  <w:num w:numId="28">
    <w:abstractNumId w:val="37"/>
  </w:num>
  <w:num w:numId="29">
    <w:abstractNumId w:val="2"/>
  </w:num>
  <w:num w:numId="30">
    <w:abstractNumId w:val="6"/>
  </w:num>
  <w:num w:numId="31">
    <w:abstractNumId w:val="14"/>
  </w:num>
  <w:num w:numId="32">
    <w:abstractNumId w:val="31"/>
  </w:num>
  <w:num w:numId="33">
    <w:abstractNumId w:val="0"/>
    <w:lvlOverride w:ilvl="0">
      <w:startOverride w:val="64"/>
    </w:lvlOverride>
    <w:lvlOverride w:ilvl="1"/>
    <w:lvlOverride w:ilvl="2"/>
    <w:lvlOverride w:ilvl="3"/>
    <w:lvlOverride w:ilvl="4"/>
    <w:lvlOverride w:ilvl="5"/>
    <w:lvlOverride w:ilvl="6"/>
    <w:lvlOverride w:ilvl="7"/>
    <w:lvlOverride w:ilvl="8"/>
  </w:num>
  <w:num w:numId="34">
    <w:abstractNumId w:val="16"/>
  </w:num>
  <w:num w:numId="35">
    <w:abstractNumId w:val="23"/>
  </w:num>
  <w:num w:numId="36">
    <w:abstractNumId w:val="35"/>
  </w:num>
  <w:num w:numId="37">
    <w:abstractNumId w:val="12"/>
  </w:num>
  <w:num w:numId="38">
    <w:abstractNumId w:val="15"/>
  </w:num>
  <w:num w:numId="39">
    <w:abstractNumId w:val="27"/>
  </w:num>
  <w:num w:numId="40">
    <w:abstractNumId w:val="11"/>
  </w:num>
  <w:num w:numId="41">
    <w:abstractNumId w:val="13"/>
  </w:num>
  <w:num w:numId="42">
    <w:abstractNumId w:val="42"/>
  </w:num>
  <w:num w:numId="43">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66"/>
    <w:rsid w:val="00001053"/>
    <w:rsid w:val="00001E5D"/>
    <w:rsid w:val="000022EE"/>
    <w:rsid w:val="000031C9"/>
    <w:rsid w:val="00003305"/>
    <w:rsid w:val="00003355"/>
    <w:rsid w:val="0000414F"/>
    <w:rsid w:val="00005837"/>
    <w:rsid w:val="00005A64"/>
    <w:rsid w:val="000062EE"/>
    <w:rsid w:val="00006A44"/>
    <w:rsid w:val="00006D2A"/>
    <w:rsid w:val="000076C2"/>
    <w:rsid w:val="0000786D"/>
    <w:rsid w:val="00010281"/>
    <w:rsid w:val="00010843"/>
    <w:rsid w:val="000112B7"/>
    <w:rsid w:val="00011B51"/>
    <w:rsid w:val="0001217E"/>
    <w:rsid w:val="000121A3"/>
    <w:rsid w:val="0001248D"/>
    <w:rsid w:val="00013C7F"/>
    <w:rsid w:val="0001456A"/>
    <w:rsid w:val="0001477C"/>
    <w:rsid w:val="00014E20"/>
    <w:rsid w:val="000155B3"/>
    <w:rsid w:val="00015BFB"/>
    <w:rsid w:val="0001618A"/>
    <w:rsid w:val="00016F23"/>
    <w:rsid w:val="000176C2"/>
    <w:rsid w:val="00017AA6"/>
    <w:rsid w:val="00017BEC"/>
    <w:rsid w:val="0002047C"/>
    <w:rsid w:val="00020DE8"/>
    <w:rsid w:val="00021385"/>
    <w:rsid w:val="00021EF1"/>
    <w:rsid w:val="0002350B"/>
    <w:rsid w:val="00024D11"/>
    <w:rsid w:val="00026968"/>
    <w:rsid w:val="000269B0"/>
    <w:rsid w:val="00026CB5"/>
    <w:rsid w:val="00027395"/>
    <w:rsid w:val="00027A2A"/>
    <w:rsid w:val="00030A48"/>
    <w:rsid w:val="00030C9D"/>
    <w:rsid w:val="000316C5"/>
    <w:rsid w:val="0003388D"/>
    <w:rsid w:val="00034053"/>
    <w:rsid w:val="000348DB"/>
    <w:rsid w:val="00034D8D"/>
    <w:rsid w:val="000354C6"/>
    <w:rsid w:val="00035971"/>
    <w:rsid w:val="000373C9"/>
    <w:rsid w:val="000377AB"/>
    <w:rsid w:val="00041032"/>
    <w:rsid w:val="00041C21"/>
    <w:rsid w:val="00041FD0"/>
    <w:rsid w:val="0004351C"/>
    <w:rsid w:val="00043769"/>
    <w:rsid w:val="0004389C"/>
    <w:rsid w:val="00043CEB"/>
    <w:rsid w:val="00044010"/>
    <w:rsid w:val="00044438"/>
    <w:rsid w:val="0004481B"/>
    <w:rsid w:val="000454C7"/>
    <w:rsid w:val="00045F13"/>
    <w:rsid w:val="00046697"/>
    <w:rsid w:val="00046B24"/>
    <w:rsid w:val="0004746D"/>
    <w:rsid w:val="00047BE8"/>
    <w:rsid w:val="00050038"/>
    <w:rsid w:val="00051060"/>
    <w:rsid w:val="000511E4"/>
    <w:rsid w:val="00051A05"/>
    <w:rsid w:val="0005240D"/>
    <w:rsid w:val="0005240F"/>
    <w:rsid w:val="000526FE"/>
    <w:rsid w:val="00053657"/>
    <w:rsid w:val="00053671"/>
    <w:rsid w:val="000536A1"/>
    <w:rsid w:val="000539D0"/>
    <w:rsid w:val="00053BCE"/>
    <w:rsid w:val="00053CE5"/>
    <w:rsid w:val="00053D5B"/>
    <w:rsid w:val="00054123"/>
    <w:rsid w:val="00054745"/>
    <w:rsid w:val="00054AF2"/>
    <w:rsid w:val="00054DCA"/>
    <w:rsid w:val="000550B3"/>
    <w:rsid w:val="00055D76"/>
    <w:rsid w:val="00055F08"/>
    <w:rsid w:val="00056014"/>
    <w:rsid w:val="0005667F"/>
    <w:rsid w:val="00056BDA"/>
    <w:rsid w:val="000571D5"/>
    <w:rsid w:val="000578C1"/>
    <w:rsid w:val="00057D65"/>
    <w:rsid w:val="00060145"/>
    <w:rsid w:val="00060445"/>
    <w:rsid w:val="000625CC"/>
    <w:rsid w:val="000626CE"/>
    <w:rsid w:val="0006284D"/>
    <w:rsid w:val="00062D73"/>
    <w:rsid w:val="00062E2C"/>
    <w:rsid w:val="00063070"/>
    <w:rsid w:val="000639C9"/>
    <w:rsid w:val="00064004"/>
    <w:rsid w:val="000649B8"/>
    <w:rsid w:val="000652A0"/>
    <w:rsid w:val="00065A98"/>
    <w:rsid w:val="000663AA"/>
    <w:rsid w:val="00066534"/>
    <w:rsid w:val="00066ECB"/>
    <w:rsid w:val="00067322"/>
    <w:rsid w:val="00067CC9"/>
    <w:rsid w:val="0007089B"/>
    <w:rsid w:val="00070AF5"/>
    <w:rsid w:val="000717F1"/>
    <w:rsid w:val="00071CA8"/>
    <w:rsid w:val="0007232E"/>
    <w:rsid w:val="00072AFC"/>
    <w:rsid w:val="0007382C"/>
    <w:rsid w:val="00073C3C"/>
    <w:rsid w:val="00074D00"/>
    <w:rsid w:val="00074E96"/>
    <w:rsid w:val="0007571A"/>
    <w:rsid w:val="00075F94"/>
    <w:rsid w:val="00076196"/>
    <w:rsid w:val="0007670C"/>
    <w:rsid w:val="0007766D"/>
    <w:rsid w:val="0008038F"/>
    <w:rsid w:val="00080416"/>
    <w:rsid w:val="000806D9"/>
    <w:rsid w:val="00080F9C"/>
    <w:rsid w:val="00081667"/>
    <w:rsid w:val="00081F41"/>
    <w:rsid w:val="0008238C"/>
    <w:rsid w:val="0008265D"/>
    <w:rsid w:val="00082DF5"/>
    <w:rsid w:val="00082E5F"/>
    <w:rsid w:val="00083AEB"/>
    <w:rsid w:val="00083D57"/>
    <w:rsid w:val="00083E12"/>
    <w:rsid w:val="0008402B"/>
    <w:rsid w:val="00084CF0"/>
    <w:rsid w:val="0008558D"/>
    <w:rsid w:val="00085ADA"/>
    <w:rsid w:val="00086173"/>
    <w:rsid w:val="0008689E"/>
    <w:rsid w:val="00086CFF"/>
    <w:rsid w:val="00087285"/>
    <w:rsid w:val="000906D4"/>
    <w:rsid w:val="00090937"/>
    <w:rsid w:val="000911F0"/>
    <w:rsid w:val="0009153F"/>
    <w:rsid w:val="00091911"/>
    <w:rsid w:val="000922C8"/>
    <w:rsid w:val="00092E19"/>
    <w:rsid w:val="000934AD"/>
    <w:rsid w:val="00093B21"/>
    <w:rsid w:val="00093EA7"/>
    <w:rsid w:val="000942B4"/>
    <w:rsid w:val="00095528"/>
    <w:rsid w:val="000956DD"/>
    <w:rsid w:val="00095793"/>
    <w:rsid w:val="00095E33"/>
    <w:rsid w:val="0009741D"/>
    <w:rsid w:val="000977E9"/>
    <w:rsid w:val="00097852"/>
    <w:rsid w:val="000A021F"/>
    <w:rsid w:val="000A074E"/>
    <w:rsid w:val="000A11A7"/>
    <w:rsid w:val="000A1792"/>
    <w:rsid w:val="000A1C83"/>
    <w:rsid w:val="000A1C90"/>
    <w:rsid w:val="000A1F8F"/>
    <w:rsid w:val="000A26A2"/>
    <w:rsid w:val="000A2A53"/>
    <w:rsid w:val="000A36C5"/>
    <w:rsid w:val="000A4823"/>
    <w:rsid w:val="000A494D"/>
    <w:rsid w:val="000A50DE"/>
    <w:rsid w:val="000A55ED"/>
    <w:rsid w:val="000A5D65"/>
    <w:rsid w:val="000A62E5"/>
    <w:rsid w:val="000A643B"/>
    <w:rsid w:val="000A6E9C"/>
    <w:rsid w:val="000B0466"/>
    <w:rsid w:val="000B10B0"/>
    <w:rsid w:val="000B1BD1"/>
    <w:rsid w:val="000B4144"/>
    <w:rsid w:val="000B49A3"/>
    <w:rsid w:val="000B4D3B"/>
    <w:rsid w:val="000B5766"/>
    <w:rsid w:val="000B5D7E"/>
    <w:rsid w:val="000B63FF"/>
    <w:rsid w:val="000B6CEC"/>
    <w:rsid w:val="000B7072"/>
    <w:rsid w:val="000B7996"/>
    <w:rsid w:val="000B7BC3"/>
    <w:rsid w:val="000C1D33"/>
    <w:rsid w:val="000C2A5B"/>
    <w:rsid w:val="000C33A6"/>
    <w:rsid w:val="000C37EB"/>
    <w:rsid w:val="000C3C51"/>
    <w:rsid w:val="000C4049"/>
    <w:rsid w:val="000C48CF"/>
    <w:rsid w:val="000C4AAB"/>
    <w:rsid w:val="000C4DC9"/>
    <w:rsid w:val="000C4E05"/>
    <w:rsid w:val="000C5000"/>
    <w:rsid w:val="000C607C"/>
    <w:rsid w:val="000C61D7"/>
    <w:rsid w:val="000C6A22"/>
    <w:rsid w:val="000D083E"/>
    <w:rsid w:val="000D1FFC"/>
    <w:rsid w:val="000D2649"/>
    <w:rsid w:val="000D2EC2"/>
    <w:rsid w:val="000D3228"/>
    <w:rsid w:val="000D3AA3"/>
    <w:rsid w:val="000D3DA3"/>
    <w:rsid w:val="000D3E5B"/>
    <w:rsid w:val="000D3ED5"/>
    <w:rsid w:val="000D516F"/>
    <w:rsid w:val="000D5906"/>
    <w:rsid w:val="000D5DED"/>
    <w:rsid w:val="000D69BC"/>
    <w:rsid w:val="000D6E8D"/>
    <w:rsid w:val="000D6F36"/>
    <w:rsid w:val="000D727D"/>
    <w:rsid w:val="000D72E2"/>
    <w:rsid w:val="000D73AE"/>
    <w:rsid w:val="000E09AB"/>
    <w:rsid w:val="000E1413"/>
    <w:rsid w:val="000E1B78"/>
    <w:rsid w:val="000E27CD"/>
    <w:rsid w:val="000E290D"/>
    <w:rsid w:val="000E291C"/>
    <w:rsid w:val="000E2979"/>
    <w:rsid w:val="000E36C9"/>
    <w:rsid w:val="000E36FB"/>
    <w:rsid w:val="000E503D"/>
    <w:rsid w:val="000E614A"/>
    <w:rsid w:val="000E6208"/>
    <w:rsid w:val="000E6A2F"/>
    <w:rsid w:val="000E7028"/>
    <w:rsid w:val="000E764F"/>
    <w:rsid w:val="000E7F91"/>
    <w:rsid w:val="000F0FB0"/>
    <w:rsid w:val="000F1F8B"/>
    <w:rsid w:val="000F241E"/>
    <w:rsid w:val="000F2944"/>
    <w:rsid w:val="000F33DC"/>
    <w:rsid w:val="000F3433"/>
    <w:rsid w:val="000F389A"/>
    <w:rsid w:val="000F3DFA"/>
    <w:rsid w:val="000F44F1"/>
    <w:rsid w:val="000F4505"/>
    <w:rsid w:val="000F46E4"/>
    <w:rsid w:val="000F4E7A"/>
    <w:rsid w:val="000F53C4"/>
    <w:rsid w:val="000F6198"/>
    <w:rsid w:val="000F633C"/>
    <w:rsid w:val="000F6490"/>
    <w:rsid w:val="000F65E4"/>
    <w:rsid w:val="000F6789"/>
    <w:rsid w:val="000F698D"/>
    <w:rsid w:val="000F7688"/>
    <w:rsid w:val="000F7DC7"/>
    <w:rsid w:val="000F7FE1"/>
    <w:rsid w:val="00101695"/>
    <w:rsid w:val="001022A5"/>
    <w:rsid w:val="00102861"/>
    <w:rsid w:val="001039B2"/>
    <w:rsid w:val="00103BA4"/>
    <w:rsid w:val="00104BFF"/>
    <w:rsid w:val="00105D84"/>
    <w:rsid w:val="00105DB4"/>
    <w:rsid w:val="00110175"/>
    <w:rsid w:val="0011053A"/>
    <w:rsid w:val="00110AD9"/>
    <w:rsid w:val="0011140A"/>
    <w:rsid w:val="00112C67"/>
    <w:rsid w:val="0011316B"/>
    <w:rsid w:val="00113759"/>
    <w:rsid w:val="00114305"/>
    <w:rsid w:val="001146E6"/>
    <w:rsid w:val="00114B29"/>
    <w:rsid w:val="00114CD1"/>
    <w:rsid w:val="00114F8A"/>
    <w:rsid w:val="001151CD"/>
    <w:rsid w:val="00115803"/>
    <w:rsid w:val="00116036"/>
    <w:rsid w:val="00117AF5"/>
    <w:rsid w:val="00120CE5"/>
    <w:rsid w:val="00120D2D"/>
    <w:rsid w:val="00121843"/>
    <w:rsid w:val="001241CD"/>
    <w:rsid w:val="001246B8"/>
    <w:rsid w:val="001248D3"/>
    <w:rsid w:val="00124B12"/>
    <w:rsid w:val="001255A5"/>
    <w:rsid w:val="0012611B"/>
    <w:rsid w:val="001261E7"/>
    <w:rsid w:val="00126B51"/>
    <w:rsid w:val="00127CAC"/>
    <w:rsid w:val="00130155"/>
    <w:rsid w:val="00130A57"/>
    <w:rsid w:val="0013183E"/>
    <w:rsid w:val="00131B4E"/>
    <w:rsid w:val="00131ED9"/>
    <w:rsid w:val="00131F41"/>
    <w:rsid w:val="0013216C"/>
    <w:rsid w:val="00132AE0"/>
    <w:rsid w:val="001330EA"/>
    <w:rsid w:val="00133388"/>
    <w:rsid w:val="00133D9F"/>
    <w:rsid w:val="00134552"/>
    <w:rsid w:val="001348E7"/>
    <w:rsid w:val="001349A2"/>
    <w:rsid w:val="00135045"/>
    <w:rsid w:val="00135D4C"/>
    <w:rsid w:val="00135D8A"/>
    <w:rsid w:val="0013701E"/>
    <w:rsid w:val="001403F8"/>
    <w:rsid w:val="001404CE"/>
    <w:rsid w:val="0014073F"/>
    <w:rsid w:val="001418AC"/>
    <w:rsid w:val="00141972"/>
    <w:rsid w:val="00141CCC"/>
    <w:rsid w:val="00141DB6"/>
    <w:rsid w:val="00142947"/>
    <w:rsid w:val="00142A64"/>
    <w:rsid w:val="00142E4B"/>
    <w:rsid w:val="001436FA"/>
    <w:rsid w:val="00143802"/>
    <w:rsid w:val="00143914"/>
    <w:rsid w:val="00143E90"/>
    <w:rsid w:val="0014455F"/>
    <w:rsid w:val="00144656"/>
    <w:rsid w:val="00144DD8"/>
    <w:rsid w:val="00145407"/>
    <w:rsid w:val="00145B0A"/>
    <w:rsid w:val="00145E6E"/>
    <w:rsid w:val="001474EA"/>
    <w:rsid w:val="001507C9"/>
    <w:rsid w:val="00150DF0"/>
    <w:rsid w:val="00151018"/>
    <w:rsid w:val="00151942"/>
    <w:rsid w:val="00151AC7"/>
    <w:rsid w:val="001521B4"/>
    <w:rsid w:val="00152E56"/>
    <w:rsid w:val="00152E8E"/>
    <w:rsid w:val="00153689"/>
    <w:rsid w:val="00153F25"/>
    <w:rsid w:val="00154023"/>
    <w:rsid w:val="00154C0A"/>
    <w:rsid w:val="00154ECC"/>
    <w:rsid w:val="00154EDC"/>
    <w:rsid w:val="001553CD"/>
    <w:rsid w:val="001555B0"/>
    <w:rsid w:val="00155B6D"/>
    <w:rsid w:val="00155D1E"/>
    <w:rsid w:val="00155DC5"/>
    <w:rsid w:val="00156628"/>
    <w:rsid w:val="00157195"/>
    <w:rsid w:val="001572BC"/>
    <w:rsid w:val="001573D9"/>
    <w:rsid w:val="00157DE6"/>
    <w:rsid w:val="00157E6A"/>
    <w:rsid w:val="0016017E"/>
    <w:rsid w:val="00160661"/>
    <w:rsid w:val="00160A07"/>
    <w:rsid w:val="00160D0B"/>
    <w:rsid w:val="00160F0B"/>
    <w:rsid w:val="0016160D"/>
    <w:rsid w:val="001627AD"/>
    <w:rsid w:val="00162D67"/>
    <w:rsid w:val="00164448"/>
    <w:rsid w:val="00164926"/>
    <w:rsid w:val="00164991"/>
    <w:rsid w:val="00164BAA"/>
    <w:rsid w:val="00165491"/>
    <w:rsid w:val="001663BB"/>
    <w:rsid w:val="0016682A"/>
    <w:rsid w:val="0016687D"/>
    <w:rsid w:val="00167497"/>
    <w:rsid w:val="00167C3B"/>
    <w:rsid w:val="00167E68"/>
    <w:rsid w:val="001709C7"/>
    <w:rsid w:val="00171110"/>
    <w:rsid w:val="00171F36"/>
    <w:rsid w:val="001720AC"/>
    <w:rsid w:val="00172436"/>
    <w:rsid w:val="001728A6"/>
    <w:rsid w:val="00173533"/>
    <w:rsid w:val="001745C7"/>
    <w:rsid w:val="00174AFA"/>
    <w:rsid w:val="00174F88"/>
    <w:rsid w:val="0017549F"/>
    <w:rsid w:val="0017666A"/>
    <w:rsid w:val="00176B14"/>
    <w:rsid w:val="00176FD5"/>
    <w:rsid w:val="00177396"/>
    <w:rsid w:val="001806F3"/>
    <w:rsid w:val="00180A0B"/>
    <w:rsid w:val="00180D7A"/>
    <w:rsid w:val="0018104C"/>
    <w:rsid w:val="00182004"/>
    <w:rsid w:val="001827F5"/>
    <w:rsid w:val="00182F83"/>
    <w:rsid w:val="00183E79"/>
    <w:rsid w:val="001842C4"/>
    <w:rsid w:val="001844CB"/>
    <w:rsid w:val="00185575"/>
    <w:rsid w:val="0018594A"/>
    <w:rsid w:val="00185D18"/>
    <w:rsid w:val="00186189"/>
    <w:rsid w:val="00186DDF"/>
    <w:rsid w:val="00187062"/>
    <w:rsid w:val="0018770D"/>
    <w:rsid w:val="00187B7E"/>
    <w:rsid w:val="0019035C"/>
    <w:rsid w:val="00190920"/>
    <w:rsid w:val="00190C4B"/>
    <w:rsid w:val="001915DD"/>
    <w:rsid w:val="001917FE"/>
    <w:rsid w:val="001918A3"/>
    <w:rsid w:val="00191AFD"/>
    <w:rsid w:val="00191BD1"/>
    <w:rsid w:val="001923C1"/>
    <w:rsid w:val="00192965"/>
    <w:rsid w:val="00193932"/>
    <w:rsid w:val="00193D8E"/>
    <w:rsid w:val="001940F3"/>
    <w:rsid w:val="001944D2"/>
    <w:rsid w:val="00195313"/>
    <w:rsid w:val="00195429"/>
    <w:rsid w:val="00195586"/>
    <w:rsid w:val="001955B1"/>
    <w:rsid w:val="00195F21"/>
    <w:rsid w:val="00196391"/>
    <w:rsid w:val="00196969"/>
    <w:rsid w:val="00196F69"/>
    <w:rsid w:val="001973D0"/>
    <w:rsid w:val="00197728"/>
    <w:rsid w:val="00197949"/>
    <w:rsid w:val="00197AC9"/>
    <w:rsid w:val="00197CCD"/>
    <w:rsid w:val="00197D4E"/>
    <w:rsid w:val="00197D72"/>
    <w:rsid w:val="001A084A"/>
    <w:rsid w:val="001A09B9"/>
    <w:rsid w:val="001A0E89"/>
    <w:rsid w:val="001A1026"/>
    <w:rsid w:val="001A1B1F"/>
    <w:rsid w:val="001A2773"/>
    <w:rsid w:val="001A38F1"/>
    <w:rsid w:val="001A40CE"/>
    <w:rsid w:val="001A425F"/>
    <w:rsid w:val="001A4463"/>
    <w:rsid w:val="001A490E"/>
    <w:rsid w:val="001A4CAC"/>
    <w:rsid w:val="001A4DD9"/>
    <w:rsid w:val="001A4FC5"/>
    <w:rsid w:val="001A5BD0"/>
    <w:rsid w:val="001A7472"/>
    <w:rsid w:val="001A76EA"/>
    <w:rsid w:val="001A776D"/>
    <w:rsid w:val="001B0703"/>
    <w:rsid w:val="001B144E"/>
    <w:rsid w:val="001B1AAE"/>
    <w:rsid w:val="001B1C81"/>
    <w:rsid w:val="001B2E80"/>
    <w:rsid w:val="001B3FDA"/>
    <w:rsid w:val="001B40DF"/>
    <w:rsid w:val="001B49A4"/>
    <w:rsid w:val="001B543E"/>
    <w:rsid w:val="001B59C9"/>
    <w:rsid w:val="001B5AE7"/>
    <w:rsid w:val="001B66AE"/>
    <w:rsid w:val="001B6CB3"/>
    <w:rsid w:val="001B757D"/>
    <w:rsid w:val="001B7623"/>
    <w:rsid w:val="001C0349"/>
    <w:rsid w:val="001C069D"/>
    <w:rsid w:val="001C0EAC"/>
    <w:rsid w:val="001C2572"/>
    <w:rsid w:val="001C258D"/>
    <w:rsid w:val="001C285C"/>
    <w:rsid w:val="001C497E"/>
    <w:rsid w:val="001C4EBC"/>
    <w:rsid w:val="001C521A"/>
    <w:rsid w:val="001C5C4C"/>
    <w:rsid w:val="001C7403"/>
    <w:rsid w:val="001C7A1F"/>
    <w:rsid w:val="001D02F1"/>
    <w:rsid w:val="001D0AF4"/>
    <w:rsid w:val="001D1666"/>
    <w:rsid w:val="001D23FE"/>
    <w:rsid w:val="001D2FEE"/>
    <w:rsid w:val="001D30D8"/>
    <w:rsid w:val="001D3E85"/>
    <w:rsid w:val="001D48F4"/>
    <w:rsid w:val="001D50FF"/>
    <w:rsid w:val="001D5E9D"/>
    <w:rsid w:val="001D67E7"/>
    <w:rsid w:val="001D7273"/>
    <w:rsid w:val="001E0834"/>
    <w:rsid w:val="001E0E23"/>
    <w:rsid w:val="001E2B6F"/>
    <w:rsid w:val="001E3B2A"/>
    <w:rsid w:val="001E3D1D"/>
    <w:rsid w:val="001E3EFB"/>
    <w:rsid w:val="001E42FA"/>
    <w:rsid w:val="001E52F2"/>
    <w:rsid w:val="001E5812"/>
    <w:rsid w:val="001E68A2"/>
    <w:rsid w:val="001E6D04"/>
    <w:rsid w:val="001E7639"/>
    <w:rsid w:val="001E7E8A"/>
    <w:rsid w:val="001F198D"/>
    <w:rsid w:val="001F2953"/>
    <w:rsid w:val="001F29EC"/>
    <w:rsid w:val="001F393B"/>
    <w:rsid w:val="001F394A"/>
    <w:rsid w:val="001F55C8"/>
    <w:rsid w:val="001F5F2E"/>
    <w:rsid w:val="001F63AD"/>
    <w:rsid w:val="001F646D"/>
    <w:rsid w:val="001F6ED8"/>
    <w:rsid w:val="002007AB"/>
    <w:rsid w:val="00200C69"/>
    <w:rsid w:val="00200F55"/>
    <w:rsid w:val="002010A3"/>
    <w:rsid w:val="00202026"/>
    <w:rsid w:val="00202643"/>
    <w:rsid w:val="00203137"/>
    <w:rsid w:val="0020313A"/>
    <w:rsid w:val="002038E8"/>
    <w:rsid w:val="00203A9E"/>
    <w:rsid w:val="00203F3E"/>
    <w:rsid w:val="0020453B"/>
    <w:rsid w:val="00204CCD"/>
    <w:rsid w:val="0020537C"/>
    <w:rsid w:val="00205558"/>
    <w:rsid w:val="002057F8"/>
    <w:rsid w:val="00205BC7"/>
    <w:rsid w:val="00205D5D"/>
    <w:rsid w:val="00206368"/>
    <w:rsid w:val="002071D8"/>
    <w:rsid w:val="002079F4"/>
    <w:rsid w:val="00207A3B"/>
    <w:rsid w:val="00207C40"/>
    <w:rsid w:val="0021184A"/>
    <w:rsid w:val="002119C2"/>
    <w:rsid w:val="0021237B"/>
    <w:rsid w:val="00212856"/>
    <w:rsid w:val="00212C9B"/>
    <w:rsid w:val="00213564"/>
    <w:rsid w:val="00213DC1"/>
    <w:rsid w:val="002141AE"/>
    <w:rsid w:val="00214774"/>
    <w:rsid w:val="00215291"/>
    <w:rsid w:val="00215F2D"/>
    <w:rsid w:val="00215F74"/>
    <w:rsid w:val="00216490"/>
    <w:rsid w:val="0022130A"/>
    <w:rsid w:val="00222513"/>
    <w:rsid w:val="002225B2"/>
    <w:rsid w:val="002228DF"/>
    <w:rsid w:val="00223561"/>
    <w:rsid w:val="00224E36"/>
    <w:rsid w:val="002251E1"/>
    <w:rsid w:val="00225C70"/>
    <w:rsid w:val="00226A8E"/>
    <w:rsid w:val="002273A3"/>
    <w:rsid w:val="00227B4B"/>
    <w:rsid w:val="00232030"/>
    <w:rsid w:val="0023356F"/>
    <w:rsid w:val="00235613"/>
    <w:rsid w:val="00236274"/>
    <w:rsid w:val="00236EEF"/>
    <w:rsid w:val="00237075"/>
    <w:rsid w:val="00237DC0"/>
    <w:rsid w:val="00240358"/>
    <w:rsid w:val="00240D8B"/>
    <w:rsid w:val="00240ED1"/>
    <w:rsid w:val="00241155"/>
    <w:rsid w:val="00243B9F"/>
    <w:rsid w:val="0024416C"/>
    <w:rsid w:val="00244315"/>
    <w:rsid w:val="0024470E"/>
    <w:rsid w:val="00244A7D"/>
    <w:rsid w:val="00244ADA"/>
    <w:rsid w:val="0024582E"/>
    <w:rsid w:val="00245C09"/>
    <w:rsid w:val="00246B36"/>
    <w:rsid w:val="00246DDB"/>
    <w:rsid w:val="00247D2F"/>
    <w:rsid w:val="002511D9"/>
    <w:rsid w:val="00252992"/>
    <w:rsid w:val="00252F8C"/>
    <w:rsid w:val="00253087"/>
    <w:rsid w:val="0025421F"/>
    <w:rsid w:val="00254258"/>
    <w:rsid w:val="002547A3"/>
    <w:rsid w:val="002547B5"/>
    <w:rsid w:val="002560F3"/>
    <w:rsid w:val="002570F5"/>
    <w:rsid w:val="002577F8"/>
    <w:rsid w:val="00257A0F"/>
    <w:rsid w:val="002616AD"/>
    <w:rsid w:val="0026192D"/>
    <w:rsid w:val="00261A7A"/>
    <w:rsid w:val="002634B2"/>
    <w:rsid w:val="00263730"/>
    <w:rsid w:val="002639DD"/>
    <w:rsid w:val="00264B7D"/>
    <w:rsid w:val="00266395"/>
    <w:rsid w:val="00266479"/>
    <w:rsid w:val="002675DD"/>
    <w:rsid w:val="00267D02"/>
    <w:rsid w:val="00267E81"/>
    <w:rsid w:val="00270955"/>
    <w:rsid w:val="00270B9D"/>
    <w:rsid w:val="0027211E"/>
    <w:rsid w:val="002722A0"/>
    <w:rsid w:val="00272A14"/>
    <w:rsid w:val="00272B5E"/>
    <w:rsid w:val="002745EF"/>
    <w:rsid w:val="00274A40"/>
    <w:rsid w:val="00274B3C"/>
    <w:rsid w:val="002754E2"/>
    <w:rsid w:val="00276C3B"/>
    <w:rsid w:val="0027714F"/>
    <w:rsid w:val="0027762F"/>
    <w:rsid w:val="002777FA"/>
    <w:rsid w:val="00280438"/>
    <w:rsid w:val="002804CA"/>
    <w:rsid w:val="00280A64"/>
    <w:rsid w:val="002811D3"/>
    <w:rsid w:val="00281F41"/>
    <w:rsid w:val="00281F8A"/>
    <w:rsid w:val="002838B5"/>
    <w:rsid w:val="00284624"/>
    <w:rsid w:val="0028470E"/>
    <w:rsid w:val="00284B39"/>
    <w:rsid w:val="002851A5"/>
    <w:rsid w:val="00285C47"/>
    <w:rsid w:val="00286299"/>
    <w:rsid w:val="0028691F"/>
    <w:rsid w:val="00286F7E"/>
    <w:rsid w:val="00287DB2"/>
    <w:rsid w:val="00287F30"/>
    <w:rsid w:val="002913EA"/>
    <w:rsid w:val="002916A0"/>
    <w:rsid w:val="00291D92"/>
    <w:rsid w:val="00291E8D"/>
    <w:rsid w:val="0029288A"/>
    <w:rsid w:val="00292A4C"/>
    <w:rsid w:val="00294039"/>
    <w:rsid w:val="002955C6"/>
    <w:rsid w:val="00297440"/>
    <w:rsid w:val="00297832"/>
    <w:rsid w:val="00297A9B"/>
    <w:rsid w:val="002A008A"/>
    <w:rsid w:val="002A040B"/>
    <w:rsid w:val="002A1B04"/>
    <w:rsid w:val="002A1FE5"/>
    <w:rsid w:val="002A2D74"/>
    <w:rsid w:val="002A35BC"/>
    <w:rsid w:val="002A50A1"/>
    <w:rsid w:val="002A520F"/>
    <w:rsid w:val="002A5230"/>
    <w:rsid w:val="002A52F2"/>
    <w:rsid w:val="002A54BC"/>
    <w:rsid w:val="002A625A"/>
    <w:rsid w:val="002A7BE1"/>
    <w:rsid w:val="002B071B"/>
    <w:rsid w:val="002B0B44"/>
    <w:rsid w:val="002B144E"/>
    <w:rsid w:val="002B2190"/>
    <w:rsid w:val="002B2A9C"/>
    <w:rsid w:val="002B2D2C"/>
    <w:rsid w:val="002B3245"/>
    <w:rsid w:val="002B3B17"/>
    <w:rsid w:val="002B3D8D"/>
    <w:rsid w:val="002B4D21"/>
    <w:rsid w:val="002B5326"/>
    <w:rsid w:val="002B53DB"/>
    <w:rsid w:val="002B5EDD"/>
    <w:rsid w:val="002B65A7"/>
    <w:rsid w:val="002B671D"/>
    <w:rsid w:val="002B6875"/>
    <w:rsid w:val="002B7BE1"/>
    <w:rsid w:val="002B7C1B"/>
    <w:rsid w:val="002C0921"/>
    <w:rsid w:val="002C3317"/>
    <w:rsid w:val="002C3D16"/>
    <w:rsid w:val="002C5C22"/>
    <w:rsid w:val="002C68E5"/>
    <w:rsid w:val="002C6F10"/>
    <w:rsid w:val="002C7890"/>
    <w:rsid w:val="002D0C85"/>
    <w:rsid w:val="002D0CA4"/>
    <w:rsid w:val="002D0D9A"/>
    <w:rsid w:val="002D11C0"/>
    <w:rsid w:val="002D132F"/>
    <w:rsid w:val="002D1E7D"/>
    <w:rsid w:val="002D24AC"/>
    <w:rsid w:val="002D3716"/>
    <w:rsid w:val="002D3853"/>
    <w:rsid w:val="002D56A4"/>
    <w:rsid w:val="002D5B22"/>
    <w:rsid w:val="002D5C23"/>
    <w:rsid w:val="002D686E"/>
    <w:rsid w:val="002D6B04"/>
    <w:rsid w:val="002E038A"/>
    <w:rsid w:val="002E03CD"/>
    <w:rsid w:val="002E1053"/>
    <w:rsid w:val="002E2712"/>
    <w:rsid w:val="002E2C85"/>
    <w:rsid w:val="002E32ED"/>
    <w:rsid w:val="002E4D52"/>
    <w:rsid w:val="002E5C2C"/>
    <w:rsid w:val="002E5F19"/>
    <w:rsid w:val="002E602B"/>
    <w:rsid w:val="002E692C"/>
    <w:rsid w:val="002F0A71"/>
    <w:rsid w:val="002F1524"/>
    <w:rsid w:val="002F1939"/>
    <w:rsid w:val="002F1D55"/>
    <w:rsid w:val="002F2E15"/>
    <w:rsid w:val="002F30B3"/>
    <w:rsid w:val="002F3753"/>
    <w:rsid w:val="002F463A"/>
    <w:rsid w:val="002F7033"/>
    <w:rsid w:val="002F74C2"/>
    <w:rsid w:val="002F7A7E"/>
    <w:rsid w:val="002F7D68"/>
    <w:rsid w:val="002F7E59"/>
    <w:rsid w:val="002F7F08"/>
    <w:rsid w:val="00300843"/>
    <w:rsid w:val="00301A0D"/>
    <w:rsid w:val="0030266D"/>
    <w:rsid w:val="00302C87"/>
    <w:rsid w:val="0030371B"/>
    <w:rsid w:val="00304EBA"/>
    <w:rsid w:val="00305200"/>
    <w:rsid w:val="00305E19"/>
    <w:rsid w:val="00305E47"/>
    <w:rsid w:val="0030646E"/>
    <w:rsid w:val="00306BE1"/>
    <w:rsid w:val="003076A9"/>
    <w:rsid w:val="0030793D"/>
    <w:rsid w:val="003079DF"/>
    <w:rsid w:val="00307A92"/>
    <w:rsid w:val="00307D28"/>
    <w:rsid w:val="003100F2"/>
    <w:rsid w:val="00311654"/>
    <w:rsid w:val="00312370"/>
    <w:rsid w:val="00312599"/>
    <w:rsid w:val="0031268B"/>
    <w:rsid w:val="00312831"/>
    <w:rsid w:val="003128DD"/>
    <w:rsid w:val="00312C1E"/>
    <w:rsid w:val="00312EDB"/>
    <w:rsid w:val="00313B50"/>
    <w:rsid w:val="00314706"/>
    <w:rsid w:val="0031496E"/>
    <w:rsid w:val="00314D21"/>
    <w:rsid w:val="00314D34"/>
    <w:rsid w:val="0031504D"/>
    <w:rsid w:val="0031662C"/>
    <w:rsid w:val="00317B08"/>
    <w:rsid w:val="00317E05"/>
    <w:rsid w:val="00320674"/>
    <w:rsid w:val="00321C3C"/>
    <w:rsid w:val="00322533"/>
    <w:rsid w:val="00322DF0"/>
    <w:rsid w:val="00323509"/>
    <w:rsid w:val="00323B7E"/>
    <w:rsid w:val="0032483F"/>
    <w:rsid w:val="00325596"/>
    <w:rsid w:val="003264DE"/>
    <w:rsid w:val="003265A5"/>
    <w:rsid w:val="003266C2"/>
    <w:rsid w:val="00326E86"/>
    <w:rsid w:val="003272E9"/>
    <w:rsid w:val="0032758A"/>
    <w:rsid w:val="003301C5"/>
    <w:rsid w:val="00330DA5"/>
    <w:rsid w:val="003311B3"/>
    <w:rsid w:val="0033191C"/>
    <w:rsid w:val="00331ABC"/>
    <w:rsid w:val="00332067"/>
    <w:rsid w:val="0033234E"/>
    <w:rsid w:val="0033338F"/>
    <w:rsid w:val="003337C5"/>
    <w:rsid w:val="00333BFF"/>
    <w:rsid w:val="003342A0"/>
    <w:rsid w:val="0033618A"/>
    <w:rsid w:val="00337F89"/>
    <w:rsid w:val="003400B5"/>
    <w:rsid w:val="003401D6"/>
    <w:rsid w:val="00341566"/>
    <w:rsid w:val="0034182F"/>
    <w:rsid w:val="00345D15"/>
    <w:rsid w:val="00345E3B"/>
    <w:rsid w:val="00345FCD"/>
    <w:rsid w:val="003462EF"/>
    <w:rsid w:val="00350C95"/>
    <w:rsid w:val="00351A36"/>
    <w:rsid w:val="00351E50"/>
    <w:rsid w:val="00352029"/>
    <w:rsid w:val="0035246D"/>
    <w:rsid w:val="003528E2"/>
    <w:rsid w:val="00352D5A"/>
    <w:rsid w:val="00352D9B"/>
    <w:rsid w:val="00353274"/>
    <w:rsid w:val="00353FB1"/>
    <w:rsid w:val="0035433C"/>
    <w:rsid w:val="00354602"/>
    <w:rsid w:val="003546A4"/>
    <w:rsid w:val="00354CE3"/>
    <w:rsid w:val="00354F35"/>
    <w:rsid w:val="00354FE1"/>
    <w:rsid w:val="00355A58"/>
    <w:rsid w:val="00356244"/>
    <w:rsid w:val="00361CC7"/>
    <w:rsid w:val="003621AB"/>
    <w:rsid w:val="00363836"/>
    <w:rsid w:val="00363F6A"/>
    <w:rsid w:val="003640E3"/>
    <w:rsid w:val="003653A1"/>
    <w:rsid w:val="003654D4"/>
    <w:rsid w:val="00365F63"/>
    <w:rsid w:val="00366D0C"/>
    <w:rsid w:val="0036719E"/>
    <w:rsid w:val="0036780B"/>
    <w:rsid w:val="00370727"/>
    <w:rsid w:val="00370DF2"/>
    <w:rsid w:val="00372062"/>
    <w:rsid w:val="00372FAA"/>
    <w:rsid w:val="00373380"/>
    <w:rsid w:val="00373EBA"/>
    <w:rsid w:val="00374720"/>
    <w:rsid w:val="00374B91"/>
    <w:rsid w:val="0037506D"/>
    <w:rsid w:val="003753CC"/>
    <w:rsid w:val="00375D29"/>
    <w:rsid w:val="003769EC"/>
    <w:rsid w:val="00380AEF"/>
    <w:rsid w:val="00380E99"/>
    <w:rsid w:val="00381013"/>
    <w:rsid w:val="00381714"/>
    <w:rsid w:val="00381790"/>
    <w:rsid w:val="00381C50"/>
    <w:rsid w:val="00382412"/>
    <w:rsid w:val="00382782"/>
    <w:rsid w:val="003828D0"/>
    <w:rsid w:val="00382A04"/>
    <w:rsid w:val="00383063"/>
    <w:rsid w:val="0038320F"/>
    <w:rsid w:val="00383DC4"/>
    <w:rsid w:val="00384B48"/>
    <w:rsid w:val="00384F0D"/>
    <w:rsid w:val="003852C7"/>
    <w:rsid w:val="00387A67"/>
    <w:rsid w:val="003906C2"/>
    <w:rsid w:val="0039072F"/>
    <w:rsid w:val="00390A0B"/>
    <w:rsid w:val="00391103"/>
    <w:rsid w:val="00392D92"/>
    <w:rsid w:val="00393489"/>
    <w:rsid w:val="00393891"/>
    <w:rsid w:val="00393992"/>
    <w:rsid w:val="00393AD8"/>
    <w:rsid w:val="00394173"/>
    <w:rsid w:val="00394595"/>
    <w:rsid w:val="00395154"/>
    <w:rsid w:val="003958C8"/>
    <w:rsid w:val="0039637A"/>
    <w:rsid w:val="00397597"/>
    <w:rsid w:val="003975D3"/>
    <w:rsid w:val="003A0061"/>
    <w:rsid w:val="003A0EDA"/>
    <w:rsid w:val="003A243D"/>
    <w:rsid w:val="003A2836"/>
    <w:rsid w:val="003A2DAA"/>
    <w:rsid w:val="003A3B82"/>
    <w:rsid w:val="003A3C51"/>
    <w:rsid w:val="003A410C"/>
    <w:rsid w:val="003A4534"/>
    <w:rsid w:val="003A612A"/>
    <w:rsid w:val="003A61A8"/>
    <w:rsid w:val="003A66A0"/>
    <w:rsid w:val="003A7587"/>
    <w:rsid w:val="003B0648"/>
    <w:rsid w:val="003B0CF3"/>
    <w:rsid w:val="003B13C4"/>
    <w:rsid w:val="003B17C9"/>
    <w:rsid w:val="003B1E07"/>
    <w:rsid w:val="003B1F44"/>
    <w:rsid w:val="003B2C52"/>
    <w:rsid w:val="003B2DB0"/>
    <w:rsid w:val="003B3299"/>
    <w:rsid w:val="003B3BED"/>
    <w:rsid w:val="003B3CD4"/>
    <w:rsid w:val="003B41AB"/>
    <w:rsid w:val="003B4552"/>
    <w:rsid w:val="003B469E"/>
    <w:rsid w:val="003B5424"/>
    <w:rsid w:val="003B68B2"/>
    <w:rsid w:val="003B68F3"/>
    <w:rsid w:val="003C0102"/>
    <w:rsid w:val="003C03FC"/>
    <w:rsid w:val="003C192A"/>
    <w:rsid w:val="003C1EA2"/>
    <w:rsid w:val="003C255A"/>
    <w:rsid w:val="003C2606"/>
    <w:rsid w:val="003C26D9"/>
    <w:rsid w:val="003C29CF"/>
    <w:rsid w:val="003C318D"/>
    <w:rsid w:val="003C3203"/>
    <w:rsid w:val="003C4247"/>
    <w:rsid w:val="003C5377"/>
    <w:rsid w:val="003C59F3"/>
    <w:rsid w:val="003C639A"/>
    <w:rsid w:val="003C6647"/>
    <w:rsid w:val="003C6E37"/>
    <w:rsid w:val="003C7670"/>
    <w:rsid w:val="003C7968"/>
    <w:rsid w:val="003C7973"/>
    <w:rsid w:val="003D083A"/>
    <w:rsid w:val="003D0C96"/>
    <w:rsid w:val="003D1A30"/>
    <w:rsid w:val="003D1E39"/>
    <w:rsid w:val="003D32E3"/>
    <w:rsid w:val="003D33E9"/>
    <w:rsid w:val="003D3509"/>
    <w:rsid w:val="003D3640"/>
    <w:rsid w:val="003D5202"/>
    <w:rsid w:val="003D5783"/>
    <w:rsid w:val="003D595C"/>
    <w:rsid w:val="003D6155"/>
    <w:rsid w:val="003D6A92"/>
    <w:rsid w:val="003D7190"/>
    <w:rsid w:val="003D735C"/>
    <w:rsid w:val="003D73C8"/>
    <w:rsid w:val="003D77CB"/>
    <w:rsid w:val="003D77F9"/>
    <w:rsid w:val="003E0213"/>
    <w:rsid w:val="003E0723"/>
    <w:rsid w:val="003E11A7"/>
    <w:rsid w:val="003E259C"/>
    <w:rsid w:val="003E2C34"/>
    <w:rsid w:val="003E326B"/>
    <w:rsid w:val="003E348A"/>
    <w:rsid w:val="003E3A4F"/>
    <w:rsid w:val="003E437A"/>
    <w:rsid w:val="003E4900"/>
    <w:rsid w:val="003E4B95"/>
    <w:rsid w:val="003E5349"/>
    <w:rsid w:val="003E67A7"/>
    <w:rsid w:val="003E685D"/>
    <w:rsid w:val="003E7181"/>
    <w:rsid w:val="003E7305"/>
    <w:rsid w:val="003F0AED"/>
    <w:rsid w:val="003F15CC"/>
    <w:rsid w:val="003F15DE"/>
    <w:rsid w:val="003F1745"/>
    <w:rsid w:val="003F1E18"/>
    <w:rsid w:val="003F1E49"/>
    <w:rsid w:val="003F2738"/>
    <w:rsid w:val="003F2C02"/>
    <w:rsid w:val="003F30FC"/>
    <w:rsid w:val="003F3F60"/>
    <w:rsid w:val="003F6460"/>
    <w:rsid w:val="003F671A"/>
    <w:rsid w:val="004000B2"/>
    <w:rsid w:val="004003D5"/>
    <w:rsid w:val="004015A4"/>
    <w:rsid w:val="004019F2"/>
    <w:rsid w:val="004021C9"/>
    <w:rsid w:val="00403858"/>
    <w:rsid w:val="00403FC0"/>
    <w:rsid w:val="00404832"/>
    <w:rsid w:val="00404E27"/>
    <w:rsid w:val="004055EB"/>
    <w:rsid w:val="004057B2"/>
    <w:rsid w:val="00405AF2"/>
    <w:rsid w:val="00406117"/>
    <w:rsid w:val="00406ACD"/>
    <w:rsid w:val="00406CBF"/>
    <w:rsid w:val="00406E5E"/>
    <w:rsid w:val="00410350"/>
    <w:rsid w:val="004105AF"/>
    <w:rsid w:val="004107C6"/>
    <w:rsid w:val="00410EC4"/>
    <w:rsid w:val="00411633"/>
    <w:rsid w:val="00411FF3"/>
    <w:rsid w:val="00412790"/>
    <w:rsid w:val="00412E04"/>
    <w:rsid w:val="0041381E"/>
    <w:rsid w:val="00413BF4"/>
    <w:rsid w:val="00414A11"/>
    <w:rsid w:val="00415D30"/>
    <w:rsid w:val="00415E71"/>
    <w:rsid w:val="0041660F"/>
    <w:rsid w:val="0041708D"/>
    <w:rsid w:val="004172EC"/>
    <w:rsid w:val="004174C0"/>
    <w:rsid w:val="004177BF"/>
    <w:rsid w:val="00417ED2"/>
    <w:rsid w:val="004205B2"/>
    <w:rsid w:val="0042060F"/>
    <w:rsid w:val="00420A8C"/>
    <w:rsid w:val="004220A0"/>
    <w:rsid w:val="00422121"/>
    <w:rsid w:val="004221B2"/>
    <w:rsid w:val="00422F6B"/>
    <w:rsid w:val="00424294"/>
    <w:rsid w:val="00424887"/>
    <w:rsid w:val="004258AB"/>
    <w:rsid w:val="004258BB"/>
    <w:rsid w:val="00425CA0"/>
    <w:rsid w:val="0042650E"/>
    <w:rsid w:val="00426C1F"/>
    <w:rsid w:val="00427A12"/>
    <w:rsid w:val="00427A61"/>
    <w:rsid w:val="00427D06"/>
    <w:rsid w:val="0043035C"/>
    <w:rsid w:val="00431C4A"/>
    <w:rsid w:val="00432085"/>
    <w:rsid w:val="00432322"/>
    <w:rsid w:val="004331EF"/>
    <w:rsid w:val="00433D2F"/>
    <w:rsid w:val="00434A7B"/>
    <w:rsid w:val="00434E3A"/>
    <w:rsid w:val="0043516D"/>
    <w:rsid w:val="00435B97"/>
    <w:rsid w:val="00436266"/>
    <w:rsid w:val="00436280"/>
    <w:rsid w:val="004377D5"/>
    <w:rsid w:val="00437BC7"/>
    <w:rsid w:val="00442C6A"/>
    <w:rsid w:val="00443053"/>
    <w:rsid w:val="004432B7"/>
    <w:rsid w:val="00443C9E"/>
    <w:rsid w:val="0044473B"/>
    <w:rsid w:val="00444AD7"/>
    <w:rsid w:val="00445AD5"/>
    <w:rsid w:val="00446023"/>
    <w:rsid w:val="00446AAE"/>
    <w:rsid w:val="00447929"/>
    <w:rsid w:val="00447A31"/>
    <w:rsid w:val="004500DF"/>
    <w:rsid w:val="00450159"/>
    <w:rsid w:val="00450B0A"/>
    <w:rsid w:val="004512DC"/>
    <w:rsid w:val="004523C6"/>
    <w:rsid w:val="004528F6"/>
    <w:rsid w:val="00453184"/>
    <w:rsid w:val="004545DA"/>
    <w:rsid w:val="00454ADB"/>
    <w:rsid w:val="004559A5"/>
    <w:rsid w:val="00455C00"/>
    <w:rsid w:val="00455EC7"/>
    <w:rsid w:val="00456490"/>
    <w:rsid w:val="0045677D"/>
    <w:rsid w:val="00456991"/>
    <w:rsid w:val="0045799A"/>
    <w:rsid w:val="00457A97"/>
    <w:rsid w:val="00457D52"/>
    <w:rsid w:val="00460521"/>
    <w:rsid w:val="0046053D"/>
    <w:rsid w:val="004605FE"/>
    <w:rsid w:val="004607D8"/>
    <w:rsid w:val="00461730"/>
    <w:rsid w:val="00462058"/>
    <w:rsid w:val="004622FD"/>
    <w:rsid w:val="0046296D"/>
    <w:rsid w:val="00463072"/>
    <w:rsid w:val="004636BB"/>
    <w:rsid w:val="00463E6E"/>
    <w:rsid w:val="004649D6"/>
    <w:rsid w:val="00464B67"/>
    <w:rsid w:val="00465409"/>
    <w:rsid w:val="0046555A"/>
    <w:rsid w:val="00465648"/>
    <w:rsid w:val="00465B72"/>
    <w:rsid w:val="00466111"/>
    <w:rsid w:val="00466B58"/>
    <w:rsid w:val="004674EC"/>
    <w:rsid w:val="00467685"/>
    <w:rsid w:val="00470457"/>
    <w:rsid w:val="00470B79"/>
    <w:rsid w:val="00472296"/>
    <w:rsid w:val="004722F9"/>
    <w:rsid w:val="0047291A"/>
    <w:rsid w:val="00474952"/>
    <w:rsid w:val="00474B02"/>
    <w:rsid w:val="00474D18"/>
    <w:rsid w:val="00474DCE"/>
    <w:rsid w:val="004754C3"/>
    <w:rsid w:val="00475657"/>
    <w:rsid w:val="004758F9"/>
    <w:rsid w:val="00476030"/>
    <w:rsid w:val="00476474"/>
    <w:rsid w:val="0047664A"/>
    <w:rsid w:val="00476D53"/>
    <w:rsid w:val="00476DBC"/>
    <w:rsid w:val="00477764"/>
    <w:rsid w:val="00477D8B"/>
    <w:rsid w:val="004808D0"/>
    <w:rsid w:val="004809BD"/>
    <w:rsid w:val="00482019"/>
    <w:rsid w:val="004823F6"/>
    <w:rsid w:val="00483080"/>
    <w:rsid w:val="00483368"/>
    <w:rsid w:val="00483841"/>
    <w:rsid w:val="00484AD2"/>
    <w:rsid w:val="00484B66"/>
    <w:rsid w:val="0048515F"/>
    <w:rsid w:val="004855AB"/>
    <w:rsid w:val="004858B8"/>
    <w:rsid w:val="00485A05"/>
    <w:rsid w:val="004860EF"/>
    <w:rsid w:val="004861F2"/>
    <w:rsid w:val="00486BCC"/>
    <w:rsid w:val="004873A9"/>
    <w:rsid w:val="00487678"/>
    <w:rsid w:val="00487757"/>
    <w:rsid w:val="00487BB8"/>
    <w:rsid w:val="004900D9"/>
    <w:rsid w:val="0049039F"/>
    <w:rsid w:val="00490CF0"/>
    <w:rsid w:val="00490F70"/>
    <w:rsid w:val="004914B3"/>
    <w:rsid w:val="004917E0"/>
    <w:rsid w:val="00491C0D"/>
    <w:rsid w:val="004920CE"/>
    <w:rsid w:val="0049217D"/>
    <w:rsid w:val="004921EE"/>
    <w:rsid w:val="00492CA5"/>
    <w:rsid w:val="00493687"/>
    <w:rsid w:val="00493BAF"/>
    <w:rsid w:val="004946B3"/>
    <w:rsid w:val="00494912"/>
    <w:rsid w:val="00494DE0"/>
    <w:rsid w:val="00495136"/>
    <w:rsid w:val="004956BC"/>
    <w:rsid w:val="00495A83"/>
    <w:rsid w:val="0049694D"/>
    <w:rsid w:val="004973DC"/>
    <w:rsid w:val="00497BAA"/>
    <w:rsid w:val="004A067F"/>
    <w:rsid w:val="004A0989"/>
    <w:rsid w:val="004A11D3"/>
    <w:rsid w:val="004A1870"/>
    <w:rsid w:val="004A1985"/>
    <w:rsid w:val="004A219F"/>
    <w:rsid w:val="004A27B3"/>
    <w:rsid w:val="004A2BBF"/>
    <w:rsid w:val="004A34F8"/>
    <w:rsid w:val="004A4C27"/>
    <w:rsid w:val="004A5677"/>
    <w:rsid w:val="004A5AD4"/>
    <w:rsid w:val="004A67C2"/>
    <w:rsid w:val="004A6EA8"/>
    <w:rsid w:val="004A7732"/>
    <w:rsid w:val="004A77F3"/>
    <w:rsid w:val="004A799E"/>
    <w:rsid w:val="004A7DA2"/>
    <w:rsid w:val="004B0DC6"/>
    <w:rsid w:val="004B0ED9"/>
    <w:rsid w:val="004B19BC"/>
    <w:rsid w:val="004B1A66"/>
    <w:rsid w:val="004B2653"/>
    <w:rsid w:val="004B2C58"/>
    <w:rsid w:val="004B2F6E"/>
    <w:rsid w:val="004B4BCA"/>
    <w:rsid w:val="004B50C0"/>
    <w:rsid w:val="004B5D82"/>
    <w:rsid w:val="004B6CAB"/>
    <w:rsid w:val="004C028B"/>
    <w:rsid w:val="004C046E"/>
    <w:rsid w:val="004C09CB"/>
    <w:rsid w:val="004C1100"/>
    <w:rsid w:val="004C3A4B"/>
    <w:rsid w:val="004C3D43"/>
    <w:rsid w:val="004C4788"/>
    <w:rsid w:val="004C4A7B"/>
    <w:rsid w:val="004C4AE7"/>
    <w:rsid w:val="004C4EBB"/>
    <w:rsid w:val="004C56D2"/>
    <w:rsid w:val="004C5745"/>
    <w:rsid w:val="004C5C18"/>
    <w:rsid w:val="004C5E60"/>
    <w:rsid w:val="004C6330"/>
    <w:rsid w:val="004C6799"/>
    <w:rsid w:val="004C6E9E"/>
    <w:rsid w:val="004D0ED2"/>
    <w:rsid w:val="004D276B"/>
    <w:rsid w:val="004D36F1"/>
    <w:rsid w:val="004D42B6"/>
    <w:rsid w:val="004D44F3"/>
    <w:rsid w:val="004D4622"/>
    <w:rsid w:val="004D476D"/>
    <w:rsid w:val="004D4F17"/>
    <w:rsid w:val="004D5347"/>
    <w:rsid w:val="004D54A3"/>
    <w:rsid w:val="004D5646"/>
    <w:rsid w:val="004D5ECD"/>
    <w:rsid w:val="004D6A68"/>
    <w:rsid w:val="004D734E"/>
    <w:rsid w:val="004E0081"/>
    <w:rsid w:val="004E1437"/>
    <w:rsid w:val="004E1557"/>
    <w:rsid w:val="004E30BD"/>
    <w:rsid w:val="004E31E5"/>
    <w:rsid w:val="004E3792"/>
    <w:rsid w:val="004E45EF"/>
    <w:rsid w:val="004E4847"/>
    <w:rsid w:val="004E485C"/>
    <w:rsid w:val="004E5CD0"/>
    <w:rsid w:val="004E6163"/>
    <w:rsid w:val="004E6809"/>
    <w:rsid w:val="004E6A38"/>
    <w:rsid w:val="004E73F9"/>
    <w:rsid w:val="004F00B4"/>
    <w:rsid w:val="004F0899"/>
    <w:rsid w:val="004F0F11"/>
    <w:rsid w:val="004F1240"/>
    <w:rsid w:val="004F1923"/>
    <w:rsid w:val="004F1990"/>
    <w:rsid w:val="004F1C1E"/>
    <w:rsid w:val="004F1C2D"/>
    <w:rsid w:val="004F2864"/>
    <w:rsid w:val="004F2E73"/>
    <w:rsid w:val="004F393C"/>
    <w:rsid w:val="004F3A46"/>
    <w:rsid w:val="004F3E91"/>
    <w:rsid w:val="004F3EF6"/>
    <w:rsid w:val="004F4408"/>
    <w:rsid w:val="004F4450"/>
    <w:rsid w:val="004F44BD"/>
    <w:rsid w:val="004F4F22"/>
    <w:rsid w:val="004F5637"/>
    <w:rsid w:val="004F7D8A"/>
    <w:rsid w:val="004F7DAB"/>
    <w:rsid w:val="004F7ED9"/>
    <w:rsid w:val="0050076A"/>
    <w:rsid w:val="0050111C"/>
    <w:rsid w:val="00502C1C"/>
    <w:rsid w:val="005031D6"/>
    <w:rsid w:val="0050322A"/>
    <w:rsid w:val="0050463E"/>
    <w:rsid w:val="00505248"/>
    <w:rsid w:val="005063D5"/>
    <w:rsid w:val="00506C99"/>
    <w:rsid w:val="00506ED0"/>
    <w:rsid w:val="00506F83"/>
    <w:rsid w:val="0050700B"/>
    <w:rsid w:val="00507058"/>
    <w:rsid w:val="0050718C"/>
    <w:rsid w:val="0050766D"/>
    <w:rsid w:val="005078EC"/>
    <w:rsid w:val="00507B7A"/>
    <w:rsid w:val="00507D41"/>
    <w:rsid w:val="005101F9"/>
    <w:rsid w:val="00510B08"/>
    <w:rsid w:val="00511955"/>
    <w:rsid w:val="005119FB"/>
    <w:rsid w:val="00511B06"/>
    <w:rsid w:val="00512016"/>
    <w:rsid w:val="005135AD"/>
    <w:rsid w:val="0051425C"/>
    <w:rsid w:val="00514D59"/>
    <w:rsid w:val="005156DD"/>
    <w:rsid w:val="00515D02"/>
    <w:rsid w:val="00515E42"/>
    <w:rsid w:val="00515E7C"/>
    <w:rsid w:val="0051608C"/>
    <w:rsid w:val="005165CA"/>
    <w:rsid w:val="00516A14"/>
    <w:rsid w:val="00516E5A"/>
    <w:rsid w:val="00516EC4"/>
    <w:rsid w:val="00517180"/>
    <w:rsid w:val="005172D9"/>
    <w:rsid w:val="00517374"/>
    <w:rsid w:val="00517536"/>
    <w:rsid w:val="00517CB9"/>
    <w:rsid w:val="00517FCD"/>
    <w:rsid w:val="005201FD"/>
    <w:rsid w:val="00520B35"/>
    <w:rsid w:val="0052133A"/>
    <w:rsid w:val="00521395"/>
    <w:rsid w:val="00521A46"/>
    <w:rsid w:val="00521C60"/>
    <w:rsid w:val="005228EA"/>
    <w:rsid w:val="0052295A"/>
    <w:rsid w:val="00523454"/>
    <w:rsid w:val="00523CB1"/>
    <w:rsid w:val="00523DAD"/>
    <w:rsid w:val="0052429F"/>
    <w:rsid w:val="005242E9"/>
    <w:rsid w:val="005244A0"/>
    <w:rsid w:val="00524E88"/>
    <w:rsid w:val="0052512E"/>
    <w:rsid w:val="005263EE"/>
    <w:rsid w:val="005267EF"/>
    <w:rsid w:val="00526822"/>
    <w:rsid w:val="00526DF2"/>
    <w:rsid w:val="005273A2"/>
    <w:rsid w:val="005274C6"/>
    <w:rsid w:val="005277E1"/>
    <w:rsid w:val="00527B20"/>
    <w:rsid w:val="00527D02"/>
    <w:rsid w:val="0053011F"/>
    <w:rsid w:val="00530AE4"/>
    <w:rsid w:val="00530F71"/>
    <w:rsid w:val="00531220"/>
    <w:rsid w:val="005314EC"/>
    <w:rsid w:val="0053153A"/>
    <w:rsid w:val="005317FC"/>
    <w:rsid w:val="00531F2E"/>
    <w:rsid w:val="0053269D"/>
    <w:rsid w:val="0053272C"/>
    <w:rsid w:val="00533153"/>
    <w:rsid w:val="00533797"/>
    <w:rsid w:val="0053472D"/>
    <w:rsid w:val="00534764"/>
    <w:rsid w:val="00536E80"/>
    <w:rsid w:val="005378EE"/>
    <w:rsid w:val="005404AF"/>
    <w:rsid w:val="00540A86"/>
    <w:rsid w:val="00541807"/>
    <w:rsid w:val="00541C6D"/>
    <w:rsid w:val="00542389"/>
    <w:rsid w:val="005437EF"/>
    <w:rsid w:val="005439D2"/>
    <w:rsid w:val="00543E41"/>
    <w:rsid w:val="0054549A"/>
    <w:rsid w:val="005456DD"/>
    <w:rsid w:val="00545824"/>
    <w:rsid w:val="00545C14"/>
    <w:rsid w:val="005473C2"/>
    <w:rsid w:val="005477A0"/>
    <w:rsid w:val="00547801"/>
    <w:rsid w:val="005506F1"/>
    <w:rsid w:val="00550CAC"/>
    <w:rsid w:val="0055236A"/>
    <w:rsid w:val="005524BE"/>
    <w:rsid w:val="00552AE5"/>
    <w:rsid w:val="00552D7E"/>
    <w:rsid w:val="0055383C"/>
    <w:rsid w:val="00553BD9"/>
    <w:rsid w:val="0055455B"/>
    <w:rsid w:val="00554CAB"/>
    <w:rsid w:val="00554DA4"/>
    <w:rsid w:val="00554E37"/>
    <w:rsid w:val="005551F2"/>
    <w:rsid w:val="005571E5"/>
    <w:rsid w:val="00557921"/>
    <w:rsid w:val="00560668"/>
    <w:rsid w:val="00562236"/>
    <w:rsid w:val="00562880"/>
    <w:rsid w:val="00562ED6"/>
    <w:rsid w:val="00562F11"/>
    <w:rsid w:val="005645B4"/>
    <w:rsid w:val="00564DD4"/>
    <w:rsid w:val="0056567C"/>
    <w:rsid w:val="00566B48"/>
    <w:rsid w:val="00567F2F"/>
    <w:rsid w:val="0057012B"/>
    <w:rsid w:val="005705F7"/>
    <w:rsid w:val="00570C35"/>
    <w:rsid w:val="00571198"/>
    <w:rsid w:val="005717BE"/>
    <w:rsid w:val="00571BB9"/>
    <w:rsid w:val="00571D33"/>
    <w:rsid w:val="00573377"/>
    <w:rsid w:val="005736D2"/>
    <w:rsid w:val="005742DB"/>
    <w:rsid w:val="0057474C"/>
    <w:rsid w:val="00574B80"/>
    <w:rsid w:val="00574DD8"/>
    <w:rsid w:val="00575011"/>
    <w:rsid w:val="0057510B"/>
    <w:rsid w:val="005755FD"/>
    <w:rsid w:val="0057632C"/>
    <w:rsid w:val="00576781"/>
    <w:rsid w:val="00577043"/>
    <w:rsid w:val="00577862"/>
    <w:rsid w:val="005811E1"/>
    <w:rsid w:val="0058158A"/>
    <w:rsid w:val="00581625"/>
    <w:rsid w:val="0058170E"/>
    <w:rsid w:val="00581769"/>
    <w:rsid w:val="005818DF"/>
    <w:rsid w:val="00581AD8"/>
    <w:rsid w:val="0058337E"/>
    <w:rsid w:val="00583F60"/>
    <w:rsid w:val="00584635"/>
    <w:rsid w:val="005847B5"/>
    <w:rsid w:val="00585157"/>
    <w:rsid w:val="00585198"/>
    <w:rsid w:val="00585417"/>
    <w:rsid w:val="00585A0C"/>
    <w:rsid w:val="00586C4A"/>
    <w:rsid w:val="00587482"/>
    <w:rsid w:val="005877C2"/>
    <w:rsid w:val="005879A4"/>
    <w:rsid w:val="00590662"/>
    <w:rsid w:val="0059087F"/>
    <w:rsid w:val="005908E4"/>
    <w:rsid w:val="00590C0F"/>
    <w:rsid w:val="00591092"/>
    <w:rsid w:val="00591CB4"/>
    <w:rsid w:val="00592771"/>
    <w:rsid w:val="00592C62"/>
    <w:rsid w:val="00592FD3"/>
    <w:rsid w:val="005936C2"/>
    <w:rsid w:val="0059398E"/>
    <w:rsid w:val="00594195"/>
    <w:rsid w:val="00595608"/>
    <w:rsid w:val="005A0A66"/>
    <w:rsid w:val="005A137D"/>
    <w:rsid w:val="005A1D84"/>
    <w:rsid w:val="005A20D8"/>
    <w:rsid w:val="005A3101"/>
    <w:rsid w:val="005A32D6"/>
    <w:rsid w:val="005A364F"/>
    <w:rsid w:val="005A3667"/>
    <w:rsid w:val="005A3D1C"/>
    <w:rsid w:val="005A4A94"/>
    <w:rsid w:val="005A51E9"/>
    <w:rsid w:val="005A5EEA"/>
    <w:rsid w:val="005A628A"/>
    <w:rsid w:val="005A676E"/>
    <w:rsid w:val="005A6F65"/>
    <w:rsid w:val="005A73AF"/>
    <w:rsid w:val="005A775F"/>
    <w:rsid w:val="005A780A"/>
    <w:rsid w:val="005A79F8"/>
    <w:rsid w:val="005A7BB2"/>
    <w:rsid w:val="005A7F8B"/>
    <w:rsid w:val="005B045A"/>
    <w:rsid w:val="005B14F3"/>
    <w:rsid w:val="005B164D"/>
    <w:rsid w:val="005B1E5C"/>
    <w:rsid w:val="005B2824"/>
    <w:rsid w:val="005B2B9F"/>
    <w:rsid w:val="005B30B6"/>
    <w:rsid w:val="005B30FB"/>
    <w:rsid w:val="005B33FE"/>
    <w:rsid w:val="005B39C4"/>
    <w:rsid w:val="005B3FDA"/>
    <w:rsid w:val="005B57BB"/>
    <w:rsid w:val="005B5A7F"/>
    <w:rsid w:val="005B5EAF"/>
    <w:rsid w:val="005B68C6"/>
    <w:rsid w:val="005C042E"/>
    <w:rsid w:val="005C06A2"/>
    <w:rsid w:val="005C0FA2"/>
    <w:rsid w:val="005C111C"/>
    <w:rsid w:val="005C477E"/>
    <w:rsid w:val="005C4859"/>
    <w:rsid w:val="005C54A6"/>
    <w:rsid w:val="005C567F"/>
    <w:rsid w:val="005C57DF"/>
    <w:rsid w:val="005C5A6D"/>
    <w:rsid w:val="005C639B"/>
    <w:rsid w:val="005C70FC"/>
    <w:rsid w:val="005C7386"/>
    <w:rsid w:val="005C748C"/>
    <w:rsid w:val="005D0467"/>
    <w:rsid w:val="005D0C6E"/>
    <w:rsid w:val="005D6688"/>
    <w:rsid w:val="005D6E65"/>
    <w:rsid w:val="005D7514"/>
    <w:rsid w:val="005D7F3A"/>
    <w:rsid w:val="005E00B0"/>
    <w:rsid w:val="005E0321"/>
    <w:rsid w:val="005E0388"/>
    <w:rsid w:val="005E09A2"/>
    <w:rsid w:val="005E09CE"/>
    <w:rsid w:val="005E1390"/>
    <w:rsid w:val="005E193B"/>
    <w:rsid w:val="005E1DE2"/>
    <w:rsid w:val="005E2561"/>
    <w:rsid w:val="005E2AFB"/>
    <w:rsid w:val="005E2EBA"/>
    <w:rsid w:val="005E2FFE"/>
    <w:rsid w:val="005E3972"/>
    <w:rsid w:val="005E4992"/>
    <w:rsid w:val="005E4AC0"/>
    <w:rsid w:val="005E4E1F"/>
    <w:rsid w:val="005E4F06"/>
    <w:rsid w:val="005E591C"/>
    <w:rsid w:val="005E69BB"/>
    <w:rsid w:val="005E6E3F"/>
    <w:rsid w:val="005E798A"/>
    <w:rsid w:val="005F098F"/>
    <w:rsid w:val="005F3921"/>
    <w:rsid w:val="005F4433"/>
    <w:rsid w:val="005F44DE"/>
    <w:rsid w:val="005F50EA"/>
    <w:rsid w:val="005F5B05"/>
    <w:rsid w:val="005F5C3D"/>
    <w:rsid w:val="005F6029"/>
    <w:rsid w:val="005F7318"/>
    <w:rsid w:val="005F73EF"/>
    <w:rsid w:val="005F74E5"/>
    <w:rsid w:val="005F7BDB"/>
    <w:rsid w:val="005F7D63"/>
    <w:rsid w:val="00600238"/>
    <w:rsid w:val="006006A9"/>
    <w:rsid w:val="00600BA4"/>
    <w:rsid w:val="00601952"/>
    <w:rsid w:val="00601C6E"/>
    <w:rsid w:val="00601D96"/>
    <w:rsid w:val="006022C5"/>
    <w:rsid w:val="006035F9"/>
    <w:rsid w:val="006038E7"/>
    <w:rsid w:val="0060427E"/>
    <w:rsid w:val="006047E4"/>
    <w:rsid w:val="00604814"/>
    <w:rsid w:val="00604E6C"/>
    <w:rsid w:val="00605385"/>
    <w:rsid w:val="006062C8"/>
    <w:rsid w:val="00606623"/>
    <w:rsid w:val="00606AAD"/>
    <w:rsid w:val="00607867"/>
    <w:rsid w:val="00611312"/>
    <w:rsid w:val="006128B0"/>
    <w:rsid w:val="006128D5"/>
    <w:rsid w:val="00612D0D"/>
    <w:rsid w:val="00613959"/>
    <w:rsid w:val="00613A6F"/>
    <w:rsid w:val="00614E1A"/>
    <w:rsid w:val="0061682C"/>
    <w:rsid w:val="00616A08"/>
    <w:rsid w:val="00616B49"/>
    <w:rsid w:val="00616C7A"/>
    <w:rsid w:val="0061757D"/>
    <w:rsid w:val="006177FD"/>
    <w:rsid w:val="00620E9F"/>
    <w:rsid w:val="006215EF"/>
    <w:rsid w:val="006218C6"/>
    <w:rsid w:val="006220C5"/>
    <w:rsid w:val="0062272A"/>
    <w:rsid w:val="00623E46"/>
    <w:rsid w:val="006244A9"/>
    <w:rsid w:val="00624502"/>
    <w:rsid w:val="0062471B"/>
    <w:rsid w:val="00624C46"/>
    <w:rsid w:val="00625574"/>
    <w:rsid w:val="006256DB"/>
    <w:rsid w:val="00625845"/>
    <w:rsid w:val="00625B41"/>
    <w:rsid w:val="0062663D"/>
    <w:rsid w:val="00626AC9"/>
    <w:rsid w:val="00626BDF"/>
    <w:rsid w:val="00626F19"/>
    <w:rsid w:val="00627964"/>
    <w:rsid w:val="006300B7"/>
    <w:rsid w:val="006307C8"/>
    <w:rsid w:val="006313FC"/>
    <w:rsid w:val="006317A6"/>
    <w:rsid w:val="006317E6"/>
    <w:rsid w:val="00631F5D"/>
    <w:rsid w:val="00633967"/>
    <w:rsid w:val="00634F95"/>
    <w:rsid w:val="00635FAA"/>
    <w:rsid w:val="006409AF"/>
    <w:rsid w:val="0064170F"/>
    <w:rsid w:val="0064174D"/>
    <w:rsid w:val="006424E9"/>
    <w:rsid w:val="006426EA"/>
    <w:rsid w:val="00643190"/>
    <w:rsid w:val="00644E64"/>
    <w:rsid w:val="00646136"/>
    <w:rsid w:val="00646881"/>
    <w:rsid w:val="00646948"/>
    <w:rsid w:val="00646DD9"/>
    <w:rsid w:val="00647869"/>
    <w:rsid w:val="00650919"/>
    <w:rsid w:val="00650E62"/>
    <w:rsid w:val="00651677"/>
    <w:rsid w:val="006524E3"/>
    <w:rsid w:val="006525BD"/>
    <w:rsid w:val="00653EDC"/>
    <w:rsid w:val="00654554"/>
    <w:rsid w:val="0065471F"/>
    <w:rsid w:val="006547EE"/>
    <w:rsid w:val="00655007"/>
    <w:rsid w:val="006553B5"/>
    <w:rsid w:val="00656134"/>
    <w:rsid w:val="00656517"/>
    <w:rsid w:val="006565FB"/>
    <w:rsid w:val="006566A6"/>
    <w:rsid w:val="00657014"/>
    <w:rsid w:val="00657720"/>
    <w:rsid w:val="006602DD"/>
    <w:rsid w:val="0066080E"/>
    <w:rsid w:val="00660D51"/>
    <w:rsid w:val="0066117B"/>
    <w:rsid w:val="00661336"/>
    <w:rsid w:val="00662794"/>
    <w:rsid w:val="006627EE"/>
    <w:rsid w:val="006629C1"/>
    <w:rsid w:val="00662F54"/>
    <w:rsid w:val="00663BD0"/>
    <w:rsid w:val="00664B90"/>
    <w:rsid w:val="00665747"/>
    <w:rsid w:val="0066592B"/>
    <w:rsid w:val="00665C0F"/>
    <w:rsid w:val="00666107"/>
    <w:rsid w:val="006666F7"/>
    <w:rsid w:val="00670512"/>
    <w:rsid w:val="00670A7D"/>
    <w:rsid w:val="00670B09"/>
    <w:rsid w:val="006726D3"/>
    <w:rsid w:val="00672AD3"/>
    <w:rsid w:val="00672B71"/>
    <w:rsid w:val="00672E75"/>
    <w:rsid w:val="00672F78"/>
    <w:rsid w:val="006734F7"/>
    <w:rsid w:val="00673637"/>
    <w:rsid w:val="00673681"/>
    <w:rsid w:val="00673BC3"/>
    <w:rsid w:val="00673FC1"/>
    <w:rsid w:val="0067470A"/>
    <w:rsid w:val="00674946"/>
    <w:rsid w:val="00674AE8"/>
    <w:rsid w:val="006750B5"/>
    <w:rsid w:val="006753CE"/>
    <w:rsid w:val="006753E9"/>
    <w:rsid w:val="00675CDC"/>
    <w:rsid w:val="006760E0"/>
    <w:rsid w:val="00676C0E"/>
    <w:rsid w:val="006815DD"/>
    <w:rsid w:val="0068196C"/>
    <w:rsid w:val="006820F7"/>
    <w:rsid w:val="0068227F"/>
    <w:rsid w:val="00682813"/>
    <w:rsid w:val="006829C7"/>
    <w:rsid w:val="00683258"/>
    <w:rsid w:val="0068361C"/>
    <w:rsid w:val="00684300"/>
    <w:rsid w:val="00684EF5"/>
    <w:rsid w:val="0068540F"/>
    <w:rsid w:val="006858AA"/>
    <w:rsid w:val="006865D5"/>
    <w:rsid w:val="00686BBA"/>
    <w:rsid w:val="00687DA9"/>
    <w:rsid w:val="006901D3"/>
    <w:rsid w:val="00692255"/>
    <w:rsid w:val="0069236B"/>
    <w:rsid w:val="0069265E"/>
    <w:rsid w:val="00692AC8"/>
    <w:rsid w:val="00693035"/>
    <w:rsid w:val="00693C60"/>
    <w:rsid w:val="006942E2"/>
    <w:rsid w:val="006943DA"/>
    <w:rsid w:val="00695A34"/>
    <w:rsid w:val="00695EFD"/>
    <w:rsid w:val="00696128"/>
    <w:rsid w:val="00696440"/>
    <w:rsid w:val="00696449"/>
    <w:rsid w:val="00696601"/>
    <w:rsid w:val="006968EA"/>
    <w:rsid w:val="00696D79"/>
    <w:rsid w:val="00696FD1"/>
    <w:rsid w:val="00697612"/>
    <w:rsid w:val="00697A7F"/>
    <w:rsid w:val="00697B1F"/>
    <w:rsid w:val="00697E1E"/>
    <w:rsid w:val="00697FC8"/>
    <w:rsid w:val="006A08A9"/>
    <w:rsid w:val="006A09F3"/>
    <w:rsid w:val="006A1231"/>
    <w:rsid w:val="006A1629"/>
    <w:rsid w:val="006A1959"/>
    <w:rsid w:val="006A206E"/>
    <w:rsid w:val="006A3474"/>
    <w:rsid w:val="006A36AB"/>
    <w:rsid w:val="006A3B4D"/>
    <w:rsid w:val="006A3F0F"/>
    <w:rsid w:val="006A466A"/>
    <w:rsid w:val="006A4BEA"/>
    <w:rsid w:val="006A4FFB"/>
    <w:rsid w:val="006A673E"/>
    <w:rsid w:val="006A6E38"/>
    <w:rsid w:val="006A775E"/>
    <w:rsid w:val="006B068A"/>
    <w:rsid w:val="006B2B43"/>
    <w:rsid w:val="006B3CF7"/>
    <w:rsid w:val="006B4729"/>
    <w:rsid w:val="006B48E4"/>
    <w:rsid w:val="006B4C3B"/>
    <w:rsid w:val="006B58CC"/>
    <w:rsid w:val="006B59B6"/>
    <w:rsid w:val="006B5E97"/>
    <w:rsid w:val="006B7EAC"/>
    <w:rsid w:val="006C1CF2"/>
    <w:rsid w:val="006C27AC"/>
    <w:rsid w:val="006C327C"/>
    <w:rsid w:val="006C3704"/>
    <w:rsid w:val="006C4311"/>
    <w:rsid w:val="006C4348"/>
    <w:rsid w:val="006C612C"/>
    <w:rsid w:val="006C6C85"/>
    <w:rsid w:val="006C710E"/>
    <w:rsid w:val="006C7218"/>
    <w:rsid w:val="006D1B83"/>
    <w:rsid w:val="006D20D5"/>
    <w:rsid w:val="006D21FD"/>
    <w:rsid w:val="006D252D"/>
    <w:rsid w:val="006D2BD4"/>
    <w:rsid w:val="006D2FFE"/>
    <w:rsid w:val="006D33A1"/>
    <w:rsid w:val="006D40AD"/>
    <w:rsid w:val="006D4430"/>
    <w:rsid w:val="006D52A0"/>
    <w:rsid w:val="006D5502"/>
    <w:rsid w:val="006D574C"/>
    <w:rsid w:val="006D5CE5"/>
    <w:rsid w:val="006D693F"/>
    <w:rsid w:val="006D6B4D"/>
    <w:rsid w:val="006D7BA0"/>
    <w:rsid w:val="006D7C8A"/>
    <w:rsid w:val="006E00FE"/>
    <w:rsid w:val="006E0B08"/>
    <w:rsid w:val="006E1007"/>
    <w:rsid w:val="006E1142"/>
    <w:rsid w:val="006E1C7B"/>
    <w:rsid w:val="006E20EE"/>
    <w:rsid w:val="006E2D4A"/>
    <w:rsid w:val="006E3019"/>
    <w:rsid w:val="006E422A"/>
    <w:rsid w:val="006E76EB"/>
    <w:rsid w:val="006F07BC"/>
    <w:rsid w:val="006F1446"/>
    <w:rsid w:val="006F1943"/>
    <w:rsid w:val="006F1DFB"/>
    <w:rsid w:val="006F27D3"/>
    <w:rsid w:val="006F2F8F"/>
    <w:rsid w:val="006F3997"/>
    <w:rsid w:val="006F3E54"/>
    <w:rsid w:val="006F4446"/>
    <w:rsid w:val="006F5E6E"/>
    <w:rsid w:val="006F6368"/>
    <w:rsid w:val="006F7777"/>
    <w:rsid w:val="006F7F1D"/>
    <w:rsid w:val="00700118"/>
    <w:rsid w:val="00700485"/>
    <w:rsid w:val="0070056C"/>
    <w:rsid w:val="0070077D"/>
    <w:rsid w:val="007011EC"/>
    <w:rsid w:val="00701454"/>
    <w:rsid w:val="0070212D"/>
    <w:rsid w:val="00702196"/>
    <w:rsid w:val="007025B6"/>
    <w:rsid w:val="00702EF3"/>
    <w:rsid w:val="0070398D"/>
    <w:rsid w:val="007043B5"/>
    <w:rsid w:val="00704E30"/>
    <w:rsid w:val="007051B6"/>
    <w:rsid w:val="00706018"/>
    <w:rsid w:val="00706235"/>
    <w:rsid w:val="0070667C"/>
    <w:rsid w:val="00706B05"/>
    <w:rsid w:val="00707A8C"/>
    <w:rsid w:val="00707CED"/>
    <w:rsid w:val="007102A0"/>
    <w:rsid w:val="007106D5"/>
    <w:rsid w:val="00710EBB"/>
    <w:rsid w:val="00711CA8"/>
    <w:rsid w:val="00713629"/>
    <w:rsid w:val="00713DEA"/>
    <w:rsid w:val="0071452E"/>
    <w:rsid w:val="00714F70"/>
    <w:rsid w:val="00715C4E"/>
    <w:rsid w:val="00715DAE"/>
    <w:rsid w:val="0071632B"/>
    <w:rsid w:val="007163D9"/>
    <w:rsid w:val="00716865"/>
    <w:rsid w:val="00717073"/>
    <w:rsid w:val="0071773D"/>
    <w:rsid w:val="00717A3B"/>
    <w:rsid w:val="00717C77"/>
    <w:rsid w:val="00717D0A"/>
    <w:rsid w:val="00717E1E"/>
    <w:rsid w:val="00717EAB"/>
    <w:rsid w:val="00720553"/>
    <w:rsid w:val="00720738"/>
    <w:rsid w:val="00721046"/>
    <w:rsid w:val="0072146B"/>
    <w:rsid w:val="007214E5"/>
    <w:rsid w:val="00721C65"/>
    <w:rsid w:val="00722504"/>
    <w:rsid w:val="0072264E"/>
    <w:rsid w:val="00722F83"/>
    <w:rsid w:val="00723CAD"/>
    <w:rsid w:val="00723CE1"/>
    <w:rsid w:val="0072404A"/>
    <w:rsid w:val="00724189"/>
    <w:rsid w:val="007242D6"/>
    <w:rsid w:val="00724309"/>
    <w:rsid w:val="00725004"/>
    <w:rsid w:val="00725A25"/>
    <w:rsid w:val="00726531"/>
    <w:rsid w:val="00726E98"/>
    <w:rsid w:val="0072794A"/>
    <w:rsid w:val="0073017A"/>
    <w:rsid w:val="00730231"/>
    <w:rsid w:val="00730402"/>
    <w:rsid w:val="00730CCC"/>
    <w:rsid w:val="007319E5"/>
    <w:rsid w:val="00731C66"/>
    <w:rsid w:val="00731DDF"/>
    <w:rsid w:val="0073374B"/>
    <w:rsid w:val="0073445E"/>
    <w:rsid w:val="00734B27"/>
    <w:rsid w:val="00734C74"/>
    <w:rsid w:val="0073537B"/>
    <w:rsid w:val="007361E2"/>
    <w:rsid w:val="007365CC"/>
    <w:rsid w:val="00736680"/>
    <w:rsid w:val="0073680F"/>
    <w:rsid w:val="007373E9"/>
    <w:rsid w:val="00737918"/>
    <w:rsid w:val="007415D4"/>
    <w:rsid w:val="00741694"/>
    <w:rsid w:val="007419DB"/>
    <w:rsid w:val="00741DCA"/>
    <w:rsid w:val="00741E24"/>
    <w:rsid w:val="00741EBA"/>
    <w:rsid w:val="00742A23"/>
    <w:rsid w:val="00743AE8"/>
    <w:rsid w:val="007443A1"/>
    <w:rsid w:val="00744DFE"/>
    <w:rsid w:val="00745485"/>
    <w:rsid w:val="007455F9"/>
    <w:rsid w:val="00745615"/>
    <w:rsid w:val="00745B2F"/>
    <w:rsid w:val="007466D3"/>
    <w:rsid w:val="007470D1"/>
    <w:rsid w:val="00747220"/>
    <w:rsid w:val="00747707"/>
    <w:rsid w:val="0075096A"/>
    <w:rsid w:val="00752734"/>
    <w:rsid w:val="00752EA7"/>
    <w:rsid w:val="007530DE"/>
    <w:rsid w:val="007532B3"/>
    <w:rsid w:val="007545A4"/>
    <w:rsid w:val="00754B42"/>
    <w:rsid w:val="00755EF4"/>
    <w:rsid w:val="007562EC"/>
    <w:rsid w:val="00756326"/>
    <w:rsid w:val="007568A5"/>
    <w:rsid w:val="007575BF"/>
    <w:rsid w:val="007602E6"/>
    <w:rsid w:val="0076055D"/>
    <w:rsid w:val="00760A49"/>
    <w:rsid w:val="007618FD"/>
    <w:rsid w:val="007627A8"/>
    <w:rsid w:val="00762A43"/>
    <w:rsid w:val="007642F7"/>
    <w:rsid w:val="00764471"/>
    <w:rsid w:val="00764F0E"/>
    <w:rsid w:val="00766009"/>
    <w:rsid w:val="00766DF2"/>
    <w:rsid w:val="00766FB0"/>
    <w:rsid w:val="00767062"/>
    <w:rsid w:val="00767DEB"/>
    <w:rsid w:val="00770A77"/>
    <w:rsid w:val="007714EC"/>
    <w:rsid w:val="00771535"/>
    <w:rsid w:val="00771EF6"/>
    <w:rsid w:val="0077220B"/>
    <w:rsid w:val="00773CF0"/>
    <w:rsid w:val="00774541"/>
    <w:rsid w:val="00774729"/>
    <w:rsid w:val="007752C3"/>
    <w:rsid w:val="007757F3"/>
    <w:rsid w:val="00775842"/>
    <w:rsid w:val="007759A2"/>
    <w:rsid w:val="00775C4B"/>
    <w:rsid w:val="00775CCE"/>
    <w:rsid w:val="00775E00"/>
    <w:rsid w:val="00776257"/>
    <w:rsid w:val="0077629E"/>
    <w:rsid w:val="0077640A"/>
    <w:rsid w:val="00776534"/>
    <w:rsid w:val="00776ABF"/>
    <w:rsid w:val="0078013A"/>
    <w:rsid w:val="007801C3"/>
    <w:rsid w:val="00780620"/>
    <w:rsid w:val="00780887"/>
    <w:rsid w:val="007808B8"/>
    <w:rsid w:val="00780B70"/>
    <w:rsid w:val="0078125D"/>
    <w:rsid w:val="0078170C"/>
    <w:rsid w:val="0078294C"/>
    <w:rsid w:val="00782E1D"/>
    <w:rsid w:val="007830FE"/>
    <w:rsid w:val="0078318C"/>
    <w:rsid w:val="007834A5"/>
    <w:rsid w:val="00783F08"/>
    <w:rsid w:val="0078445F"/>
    <w:rsid w:val="00786919"/>
    <w:rsid w:val="00787147"/>
    <w:rsid w:val="007872DF"/>
    <w:rsid w:val="0078754B"/>
    <w:rsid w:val="007876F5"/>
    <w:rsid w:val="007904B7"/>
    <w:rsid w:val="0079090F"/>
    <w:rsid w:val="00790FD5"/>
    <w:rsid w:val="007917BD"/>
    <w:rsid w:val="0079317C"/>
    <w:rsid w:val="00793309"/>
    <w:rsid w:val="0079360D"/>
    <w:rsid w:val="00794691"/>
    <w:rsid w:val="00795941"/>
    <w:rsid w:val="00795D2A"/>
    <w:rsid w:val="00796284"/>
    <w:rsid w:val="00796349"/>
    <w:rsid w:val="007964BD"/>
    <w:rsid w:val="007967BB"/>
    <w:rsid w:val="00796B00"/>
    <w:rsid w:val="00797CD4"/>
    <w:rsid w:val="007A0496"/>
    <w:rsid w:val="007A08B3"/>
    <w:rsid w:val="007A0D66"/>
    <w:rsid w:val="007A104A"/>
    <w:rsid w:val="007A1357"/>
    <w:rsid w:val="007A150E"/>
    <w:rsid w:val="007A19F3"/>
    <w:rsid w:val="007A1A03"/>
    <w:rsid w:val="007A1A8D"/>
    <w:rsid w:val="007A1E8C"/>
    <w:rsid w:val="007A3C32"/>
    <w:rsid w:val="007A4413"/>
    <w:rsid w:val="007A441B"/>
    <w:rsid w:val="007A4E08"/>
    <w:rsid w:val="007A4F80"/>
    <w:rsid w:val="007A5382"/>
    <w:rsid w:val="007A54D7"/>
    <w:rsid w:val="007A62BC"/>
    <w:rsid w:val="007A637E"/>
    <w:rsid w:val="007A650B"/>
    <w:rsid w:val="007A7086"/>
    <w:rsid w:val="007B00A8"/>
    <w:rsid w:val="007B0456"/>
    <w:rsid w:val="007B10E0"/>
    <w:rsid w:val="007B1489"/>
    <w:rsid w:val="007B183B"/>
    <w:rsid w:val="007B1972"/>
    <w:rsid w:val="007B1C2D"/>
    <w:rsid w:val="007B2172"/>
    <w:rsid w:val="007B2D84"/>
    <w:rsid w:val="007B33F1"/>
    <w:rsid w:val="007B3414"/>
    <w:rsid w:val="007B3492"/>
    <w:rsid w:val="007B45CC"/>
    <w:rsid w:val="007B540D"/>
    <w:rsid w:val="007B62AF"/>
    <w:rsid w:val="007B6E6C"/>
    <w:rsid w:val="007B7E0D"/>
    <w:rsid w:val="007C003F"/>
    <w:rsid w:val="007C0779"/>
    <w:rsid w:val="007C0DAD"/>
    <w:rsid w:val="007C1C34"/>
    <w:rsid w:val="007C268C"/>
    <w:rsid w:val="007C2987"/>
    <w:rsid w:val="007C30F2"/>
    <w:rsid w:val="007C4A38"/>
    <w:rsid w:val="007C5500"/>
    <w:rsid w:val="007C56A1"/>
    <w:rsid w:val="007C584A"/>
    <w:rsid w:val="007C59BD"/>
    <w:rsid w:val="007C704B"/>
    <w:rsid w:val="007C7AD1"/>
    <w:rsid w:val="007C7C65"/>
    <w:rsid w:val="007C7D23"/>
    <w:rsid w:val="007D02F5"/>
    <w:rsid w:val="007D27FF"/>
    <w:rsid w:val="007D28ED"/>
    <w:rsid w:val="007D2AB5"/>
    <w:rsid w:val="007D3EB4"/>
    <w:rsid w:val="007D4327"/>
    <w:rsid w:val="007D4DDD"/>
    <w:rsid w:val="007D59CF"/>
    <w:rsid w:val="007D636D"/>
    <w:rsid w:val="007D65CD"/>
    <w:rsid w:val="007D79E8"/>
    <w:rsid w:val="007E00EA"/>
    <w:rsid w:val="007E01EC"/>
    <w:rsid w:val="007E03D0"/>
    <w:rsid w:val="007E10DF"/>
    <w:rsid w:val="007E1147"/>
    <w:rsid w:val="007E176E"/>
    <w:rsid w:val="007E1F15"/>
    <w:rsid w:val="007E2413"/>
    <w:rsid w:val="007E2425"/>
    <w:rsid w:val="007E24B7"/>
    <w:rsid w:val="007E285B"/>
    <w:rsid w:val="007E442C"/>
    <w:rsid w:val="007E45D8"/>
    <w:rsid w:val="007E4A31"/>
    <w:rsid w:val="007E4CCE"/>
    <w:rsid w:val="007E50E3"/>
    <w:rsid w:val="007E7BBD"/>
    <w:rsid w:val="007F07A9"/>
    <w:rsid w:val="007F0ABC"/>
    <w:rsid w:val="007F1153"/>
    <w:rsid w:val="007F1E5C"/>
    <w:rsid w:val="007F228F"/>
    <w:rsid w:val="007F2395"/>
    <w:rsid w:val="007F280F"/>
    <w:rsid w:val="007F2EF4"/>
    <w:rsid w:val="007F34E9"/>
    <w:rsid w:val="007F3F25"/>
    <w:rsid w:val="007F4871"/>
    <w:rsid w:val="007F51A6"/>
    <w:rsid w:val="007F5FF0"/>
    <w:rsid w:val="007F6319"/>
    <w:rsid w:val="007F6789"/>
    <w:rsid w:val="007F6AD3"/>
    <w:rsid w:val="007F6B17"/>
    <w:rsid w:val="007F6B2C"/>
    <w:rsid w:val="007F735B"/>
    <w:rsid w:val="007F77FD"/>
    <w:rsid w:val="007F7D50"/>
    <w:rsid w:val="008007CC"/>
    <w:rsid w:val="00800FB0"/>
    <w:rsid w:val="0080158F"/>
    <w:rsid w:val="008033EE"/>
    <w:rsid w:val="00803599"/>
    <w:rsid w:val="008036CD"/>
    <w:rsid w:val="00804CDE"/>
    <w:rsid w:val="00805F7B"/>
    <w:rsid w:val="008063A1"/>
    <w:rsid w:val="008066D7"/>
    <w:rsid w:val="00806734"/>
    <w:rsid w:val="00807400"/>
    <w:rsid w:val="00807517"/>
    <w:rsid w:val="00807596"/>
    <w:rsid w:val="00807889"/>
    <w:rsid w:val="00807D31"/>
    <w:rsid w:val="0081052F"/>
    <w:rsid w:val="00810D3F"/>
    <w:rsid w:val="00811202"/>
    <w:rsid w:val="00811A48"/>
    <w:rsid w:val="0081238F"/>
    <w:rsid w:val="00812AD0"/>
    <w:rsid w:val="00813402"/>
    <w:rsid w:val="008138AB"/>
    <w:rsid w:val="008148F0"/>
    <w:rsid w:val="00814E7B"/>
    <w:rsid w:val="00814FED"/>
    <w:rsid w:val="008155C9"/>
    <w:rsid w:val="00816683"/>
    <w:rsid w:val="00816D98"/>
    <w:rsid w:val="00817FE6"/>
    <w:rsid w:val="008205E6"/>
    <w:rsid w:val="0082088C"/>
    <w:rsid w:val="00821C33"/>
    <w:rsid w:val="008224F8"/>
    <w:rsid w:val="00822623"/>
    <w:rsid w:val="00822E18"/>
    <w:rsid w:val="0082397A"/>
    <w:rsid w:val="00825040"/>
    <w:rsid w:val="00826220"/>
    <w:rsid w:val="00826579"/>
    <w:rsid w:val="00826C0D"/>
    <w:rsid w:val="008318F7"/>
    <w:rsid w:val="00831CB7"/>
    <w:rsid w:val="00833213"/>
    <w:rsid w:val="008336A6"/>
    <w:rsid w:val="00833879"/>
    <w:rsid w:val="00833945"/>
    <w:rsid w:val="00833BD8"/>
    <w:rsid w:val="00834556"/>
    <w:rsid w:val="0083459D"/>
    <w:rsid w:val="00834D15"/>
    <w:rsid w:val="008364BB"/>
    <w:rsid w:val="00837421"/>
    <w:rsid w:val="00840B17"/>
    <w:rsid w:val="00841A85"/>
    <w:rsid w:val="008424F0"/>
    <w:rsid w:val="0084251F"/>
    <w:rsid w:val="00842A02"/>
    <w:rsid w:val="00844645"/>
    <w:rsid w:val="0084529B"/>
    <w:rsid w:val="00845BC7"/>
    <w:rsid w:val="00845FBE"/>
    <w:rsid w:val="00846687"/>
    <w:rsid w:val="00846BB7"/>
    <w:rsid w:val="00846F04"/>
    <w:rsid w:val="008478A8"/>
    <w:rsid w:val="00847CF4"/>
    <w:rsid w:val="00847DF2"/>
    <w:rsid w:val="00847F3A"/>
    <w:rsid w:val="00851268"/>
    <w:rsid w:val="00851582"/>
    <w:rsid w:val="0085222F"/>
    <w:rsid w:val="008532C6"/>
    <w:rsid w:val="00854A3E"/>
    <w:rsid w:val="00855A8C"/>
    <w:rsid w:val="00855E5A"/>
    <w:rsid w:val="0085690D"/>
    <w:rsid w:val="00856BBD"/>
    <w:rsid w:val="00856D73"/>
    <w:rsid w:val="00856E64"/>
    <w:rsid w:val="008574FF"/>
    <w:rsid w:val="00857779"/>
    <w:rsid w:val="0086011C"/>
    <w:rsid w:val="00860492"/>
    <w:rsid w:val="008605E3"/>
    <w:rsid w:val="00860825"/>
    <w:rsid w:val="008621D3"/>
    <w:rsid w:val="00862308"/>
    <w:rsid w:val="00862962"/>
    <w:rsid w:val="00862E79"/>
    <w:rsid w:val="00863D82"/>
    <w:rsid w:val="008641DA"/>
    <w:rsid w:val="008644FA"/>
    <w:rsid w:val="00865454"/>
    <w:rsid w:val="00866DCB"/>
    <w:rsid w:val="00866EF6"/>
    <w:rsid w:val="00866F10"/>
    <w:rsid w:val="008671E2"/>
    <w:rsid w:val="00867896"/>
    <w:rsid w:val="008716FD"/>
    <w:rsid w:val="00871A42"/>
    <w:rsid w:val="00871F28"/>
    <w:rsid w:val="00872832"/>
    <w:rsid w:val="0087346D"/>
    <w:rsid w:val="00873C17"/>
    <w:rsid w:val="008745A7"/>
    <w:rsid w:val="00874F25"/>
    <w:rsid w:val="0087544E"/>
    <w:rsid w:val="008758B2"/>
    <w:rsid w:val="008758D2"/>
    <w:rsid w:val="00875B84"/>
    <w:rsid w:val="00875FA0"/>
    <w:rsid w:val="008761A9"/>
    <w:rsid w:val="0087658E"/>
    <w:rsid w:val="00876A79"/>
    <w:rsid w:val="00876C26"/>
    <w:rsid w:val="00880177"/>
    <w:rsid w:val="0088034B"/>
    <w:rsid w:val="0088216E"/>
    <w:rsid w:val="0088258A"/>
    <w:rsid w:val="008829CC"/>
    <w:rsid w:val="00882BC4"/>
    <w:rsid w:val="00882D4D"/>
    <w:rsid w:val="00883932"/>
    <w:rsid w:val="008845D6"/>
    <w:rsid w:val="00885A8B"/>
    <w:rsid w:val="00885FB9"/>
    <w:rsid w:val="00886A85"/>
    <w:rsid w:val="0088722B"/>
    <w:rsid w:val="00887287"/>
    <w:rsid w:val="00890D3E"/>
    <w:rsid w:val="00890FA8"/>
    <w:rsid w:val="00891B54"/>
    <w:rsid w:val="00891E1B"/>
    <w:rsid w:val="00891E40"/>
    <w:rsid w:val="0089248E"/>
    <w:rsid w:val="00893613"/>
    <w:rsid w:val="008939EC"/>
    <w:rsid w:val="00894F11"/>
    <w:rsid w:val="008958DD"/>
    <w:rsid w:val="00895BC1"/>
    <w:rsid w:val="00895BDF"/>
    <w:rsid w:val="0089612E"/>
    <w:rsid w:val="00897BE7"/>
    <w:rsid w:val="008A0683"/>
    <w:rsid w:val="008A0969"/>
    <w:rsid w:val="008A0B52"/>
    <w:rsid w:val="008A0C6A"/>
    <w:rsid w:val="008A1193"/>
    <w:rsid w:val="008A13E0"/>
    <w:rsid w:val="008A199F"/>
    <w:rsid w:val="008A1BD5"/>
    <w:rsid w:val="008A21EA"/>
    <w:rsid w:val="008A231F"/>
    <w:rsid w:val="008A3047"/>
    <w:rsid w:val="008A36BE"/>
    <w:rsid w:val="008A40E5"/>
    <w:rsid w:val="008A51E0"/>
    <w:rsid w:val="008A5266"/>
    <w:rsid w:val="008A592D"/>
    <w:rsid w:val="008A5D2F"/>
    <w:rsid w:val="008A6180"/>
    <w:rsid w:val="008A6745"/>
    <w:rsid w:val="008A6C87"/>
    <w:rsid w:val="008A6DD8"/>
    <w:rsid w:val="008A762B"/>
    <w:rsid w:val="008B1031"/>
    <w:rsid w:val="008B1544"/>
    <w:rsid w:val="008B2527"/>
    <w:rsid w:val="008B26BC"/>
    <w:rsid w:val="008B27DD"/>
    <w:rsid w:val="008B314B"/>
    <w:rsid w:val="008B3B18"/>
    <w:rsid w:val="008B40EC"/>
    <w:rsid w:val="008B43D8"/>
    <w:rsid w:val="008B4510"/>
    <w:rsid w:val="008B4AFA"/>
    <w:rsid w:val="008B4CFD"/>
    <w:rsid w:val="008B584C"/>
    <w:rsid w:val="008B5A91"/>
    <w:rsid w:val="008B6CFB"/>
    <w:rsid w:val="008B7258"/>
    <w:rsid w:val="008B7818"/>
    <w:rsid w:val="008B7CF3"/>
    <w:rsid w:val="008C0E32"/>
    <w:rsid w:val="008C17DD"/>
    <w:rsid w:val="008C189F"/>
    <w:rsid w:val="008C19E8"/>
    <w:rsid w:val="008C1D85"/>
    <w:rsid w:val="008C2708"/>
    <w:rsid w:val="008C2ED5"/>
    <w:rsid w:val="008C33DE"/>
    <w:rsid w:val="008C352A"/>
    <w:rsid w:val="008C38F2"/>
    <w:rsid w:val="008C3D0F"/>
    <w:rsid w:val="008C3EAF"/>
    <w:rsid w:val="008C45CF"/>
    <w:rsid w:val="008C4ACC"/>
    <w:rsid w:val="008C4C8F"/>
    <w:rsid w:val="008C5AA9"/>
    <w:rsid w:val="008C632C"/>
    <w:rsid w:val="008C6631"/>
    <w:rsid w:val="008C6774"/>
    <w:rsid w:val="008C683A"/>
    <w:rsid w:val="008C68BC"/>
    <w:rsid w:val="008C749F"/>
    <w:rsid w:val="008C7638"/>
    <w:rsid w:val="008C7965"/>
    <w:rsid w:val="008D013A"/>
    <w:rsid w:val="008D07E7"/>
    <w:rsid w:val="008D0F24"/>
    <w:rsid w:val="008D0F64"/>
    <w:rsid w:val="008D1F91"/>
    <w:rsid w:val="008D252B"/>
    <w:rsid w:val="008D2838"/>
    <w:rsid w:val="008D284A"/>
    <w:rsid w:val="008D3F4C"/>
    <w:rsid w:val="008D4932"/>
    <w:rsid w:val="008D59A3"/>
    <w:rsid w:val="008D5B2B"/>
    <w:rsid w:val="008D715D"/>
    <w:rsid w:val="008D7212"/>
    <w:rsid w:val="008E04F2"/>
    <w:rsid w:val="008E0D27"/>
    <w:rsid w:val="008E15F8"/>
    <w:rsid w:val="008E1975"/>
    <w:rsid w:val="008E1C31"/>
    <w:rsid w:val="008E2000"/>
    <w:rsid w:val="008E224F"/>
    <w:rsid w:val="008E291A"/>
    <w:rsid w:val="008E38C0"/>
    <w:rsid w:val="008E3CAC"/>
    <w:rsid w:val="008E3D5C"/>
    <w:rsid w:val="008E4B80"/>
    <w:rsid w:val="008E4EA8"/>
    <w:rsid w:val="008E56D9"/>
    <w:rsid w:val="008E5CD1"/>
    <w:rsid w:val="008E676D"/>
    <w:rsid w:val="008E7668"/>
    <w:rsid w:val="008F1665"/>
    <w:rsid w:val="008F1DAB"/>
    <w:rsid w:val="008F241C"/>
    <w:rsid w:val="008F2849"/>
    <w:rsid w:val="008F2E0B"/>
    <w:rsid w:val="008F4B2C"/>
    <w:rsid w:val="008F4D62"/>
    <w:rsid w:val="008F4EA7"/>
    <w:rsid w:val="008F5334"/>
    <w:rsid w:val="008F552B"/>
    <w:rsid w:val="008F722C"/>
    <w:rsid w:val="008F7643"/>
    <w:rsid w:val="008F79F6"/>
    <w:rsid w:val="008F7B38"/>
    <w:rsid w:val="008F7BB4"/>
    <w:rsid w:val="009007D9"/>
    <w:rsid w:val="00901805"/>
    <w:rsid w:val="00901948"/>
    <w:rsid w:val="00901AA9"/>
    <w:rsid w:val="00901AD8"/>
    <w:rsid w:val="00901D33"/>
    <w:rsid w:val="0090204F"/>
    <w:rsid w:val="009020B7"/>
    <w:rsid w:val="00902ACB"/>
    <w:rsid w:val="00902AFA"/>
    <w:rsid w:val="00902F37"/>
    <w:rsid w:val="00903815"/>
    <w:rsid w:val="00903A82"/>
    <w:rsid w:val="00903A98"/>
    <w:rsid w:val="00903E32"/>
    <w:rsid w:val="00904C19"/>
    <w:rsid w:val="00904ECE"/>
    <w:rsid w:val="00905156"/>
    <w:rsid w:val="0090560D"/>
    <w:rsid w:val="0090615F"/>
    <w:rsid w:val="009068B6"/>
    <w:rsid w:val="00907305"/>
    <w:rsid w:val="0090798C"/>
    <w:rsid w:val="00907BB0"/>
    <w:rsid w:val="00907D09"/>
    <w:rsid w:val="00907F40"/>
    <w:rsid w:val="00907F64"/>
    <w:rsid w:val="0091002F"/>
    <w:rsid w:val="00910C91"/>
    <w:rsid w:val="00910D28"/>
    <w:rsid w:val="00910DC5"/>
    <w:rsid w:val="0091103C"/>
    <w:rsid w:val="00911075"/>
    <w:rsid w:val="009122C3"/>
    <w:rsid w:val="009125A7"/>
    <w:rsid w:val="00912A6D"/>
    <w:rsid w:val="00913280"/>
    <w:rsid w:val="00913477"/>
    <w:rsid w:val="00913901"/>
    <w:rsid w:val="00914082"/>
    <w:rsid w:val="0091421A"/>
    <w:rsid w:val="00914275"/>
    <w:rsid w:val="0091476C"/>
    <w:rsid w:val="00914805"/>
    <w:rsid w:val="00914BE3"/>
    <w:rsid w:val="00914E38"/>
    <w:rsid w:val="00915262"/>
    <w:rsid w:val="009152E3"/>
    <w:rsid w:val="009154FC"/>
    <w:rsid w:val="00916E9A"/>
    <w:rsid w:val="00917283"/>
    <w:rsid w:val="0092134A"/>
    <w:rsid w:val="009213F8"/>
    <w:rsid w:val="009222D7"/>
    <w:rsid w:val="00923CAC"/>
    <w:rsid w:val="009259B9"/>
    <w:rsid w:val="00926302"/>
    <w:rsid w:val="009268B1"/>
    <w:rsid w:val="00926F42"/>
    <w:rsid w:val="0092757C"/>
    <w:rsid w:val="009303C6"/>
    <w:rsid w:val="00930749"/>
    <w:rsid w:val="00930EE4"/>
    <w:rsid w:val="00931363"/>
    <w:rsid w:val="009313C9"/>
    <w:rsid w:val="009326F8"/>
    <w:rsid w:val="0093327D"/>
    <w:rsid w:val="00933639"/>
    <w:rsid w:val="0093375C"/>
    <w:rsid w:val="0093389D"/>
    <w:rsid w:val="009340FA"/>
    <w:rsid w:val="00934B54"/>
    <w:rsid w:val="00934F6F"/>
    <w:rsid w:val="009351EE"/>
    <w:rsid w:val="00935299"/>
    <w:rsid w:val="00935313"/>
    <w:rsid w:val="00935617"/>
    <w:rsid w:val="00935EEC"/>
    <w:rsid w:val="0093624A"/>
    <w:rsid w:val="009362F0"/>
    <w:rsid w:val="0093704D"/>
    <w:rsid w:val="00937179"/>
    <w:rsid w:val="009403A1"/>
    <w:rsid w:val="009412C2"/>
    <w:rsid w:val="00941689"/>
    <w:rsid w:val="0094185B"/>
    <w:rsid w:val="009419DF"/>
    <w:rsid w:val="00942FC1"/>
    <w:rsid w:val="0094332A"/>
    <w:rsid w:val="00943FA4"/>
    <w:rsid w:val="009452E4"/>
    <w:rsid w:val="00945ABB"/>
    <w:rsid w:val="00945F7A"/>
    <w:rsid w:val="0094639C"/>
    <w:rsid w:val="0094676C"/>
    <w:rsid w:val="00946858"/>
    <w:rsid w:val="00946954"/>
    <w:rsid w:val="00947EFF"/>
    <w:rsid w:val="00950624"/>
    <w:rsid w:val="009506F2"/>
    <w:rsid w:val="00950AAB"/>
    <w:rsid w:val="00951815"/>
    <w:rsid w:val="009522CD"/>
    <w:rsid w:val="00952E81"/>
    <w:rsid w:val="0095316E"/>
    <w:rsid w:val="00953FA5"/>
    <w:rsid w:val="009543A8"/>
    <w:rsid w:val="00955D5E"/>
    <w:rsid w:val="009560AC"/>
    <w:rsid w:val="0095631A"/>
    <w:rsid w:val="0095759F"/>
    <w:rsid w:val="0096124E"/>
    <w:rsid w:val="00961483"/>
    <w:rsid w:val="009617A9"/>
    <w:rsid w:val="00961995"/>
    <w:rsid w:val="00962139"/>
    <w:rsid w:val="00962BCD"/>
    <w:rsid w:val="00962E1D"/>
    <w:rsid w:val="00963D08"/>
    <w:rsid w:val="0096531A"/>
    <w:rsid w:val="0096554B"/>
    <w:rsid w:val="00965921"/>
    <w:rsid w:val="0096599D"/>
    <w:rsid w:val="00966225"/>
    <w:rsid w:val="00966475"/>
    <w:rsid w:val="0096659E"/>
    <w:rsid w:val="00966B49"/>
    <w:rsid w:val="00966FC5"/>
    <w:rsid w:val="009671AE"/>
    <w:rsid w:val="009675A9"/>
    <w:rsid w:val="009677D3"/>
    <w:rsid w:val="00967A28"/>
    <w:rsid w:val="00970AF7"/>
    <w:rsid w:val="009710B3"/>
    <w:rsid w:val="00971671"/>
    <w:rsid w:val="009718E5"/>
    <w:rsid w:val="00971AE2"/>
    <w:rsid w:val="00972346"/>
    <w:rsid w:val="00972C70"/>
    <w:rsid w:val="00972D0C"/>
    <w:rsid w:val="009744A4"/>
    <w:rsid w:val="009745DB"/>
    <w:rsid w:val="00974693"/>
    <w:rsid w:val="00974FE4"/>
    <w:rsid w:val="009751C8"/>
    <w:rsid w:val="00975BF7"/>
    <w:rsid w:val="00976454"/>
    <w:rsid w:val="00976A0E"/>
    <w:rsid w:val="00977045"/>
    <w:rsid w:val="009776F6"/>
    <w:rsid w:val="00977EAF"/>
    <w:rsid w:val="00980893"/>
    <w:rsid w:val="00981390"/>
    <w:rsid w:val="00982B4E"/>
    <w:rsid w:val="00982ED4"/>
    <w:rsid w:val="00982F4D"/>
    <w:rsid w:val="00983189"/>
    <w:rsid w:val="00983B42"/>
    <w:rsid w:val="009843A4"/>
    <w:rsid w:val="00984BBA"/>
    <w:rsid w:val="00984E76"/>
    <w:rsid w:val="00984F9B"/>
    <w:rsid w:val="00985E13"/>
    <w:rsid w:val="00985E15"/>
    <w:rsid w:val="00986998"/>
    <w:rsid w:val="00986C54"/>
    <w:rsid w:val="00986EB8"/>
    <w:rsid w:val="00987603"/>
    <w:rsid w:val="00987776"/>
    <w:rsid w:val="009901B6"/>
    <w:rsid w:val="009901CC"/>
    <w:rsid w:val="00990881"/>
    <w:rsid w:val="0099112A"/>
    <w:rsid w:val="009924B8"/>
    <w:rsid w:val="009929BF"/>
    <w:rsid w:val="009944A8"/>
    <w:rsid w:val="009958B0"/>
    <w:rsid w:val="00995E76"/>
    <w:rsid w:val="009967E3"/>
    <w:rsid w:val="00996803"/>
    <w:rsid w:val="00996A3F"/>
    <w:rsid w:val="00996B8A"/>
    <w:rsid w:val="0099722B"/>
    <w:rsid w:val="00997BC8"/>
    <w:rsid w:val="009A01CD"/>
    <w:rsid w:val="009A08E7"/>
    <w:rsid w:val="009A2CB0"/>
    <w:rsid w:val="009A2F93"/>
    <w:rsid w:val="009A36FA"/>
    <w:rsid w:val="009A3FF4"/>
    <w:rsid w:val="009A4842"/>
    <w:rsid w:val="009A4ADE"/>
    <w:rsid w:val="009A51A8"/>
    <w:rsid w:val="009A5C3B"/>
    <w:rsid w:val="009A66ED"/>
    <w:rsid w:val="009A6A17"/>
    <w:rsid w:val="009A71F2"/>
    <w:rsid w:val="009A7C69"/>
    <w:rsid w:val="009A7EA0"/>
    <w:rsid w:val="009B0232"/>
    <w:rsid w:val="009B0BB3"/>
    <w:rsid w:val="009B0D25"/>
    <w:rsid w:val="009B1236"/>
    <w:rsid w:val="009B1B24"/>
    <w:rsid w:val="009B1CD2"/>
    <w:rsid w:val="009B1ED4"/>
    <w:rsid w:val="009B323F"/>
    <w:rsid w:val="009B3D10"/>
    <w:rsid w:val="009B3E9B"/>
    <w:rsid w:val="009B3FF2"/>
    <w:rsid w:val="009B49E8"/>
    <w:rsid w:val="009B5FFC"/>
    <w:rsid w:val="009B765B"/>
    <w:rsid w:val="009B79B9"/>
    <w:rsid w:val="009C1097"/>
    <w:rsid w:val="009C2AB0"/>
    <w:rsid w:val="009C2D60"/>
    <w:rsid w:val="009C39DB"/>
    <w:rsid w:val="009C3B06"/>
    <w:rsid w:val="009C3C5D"/>
    <w:rsid w:val="009C425A"/>
    <w:rsid w:val="009C42B6"/>
    <w:rsid w:val="009C45D8"/>
    <w:rsid w:val="009C472E"/>
    <w:rsid w:val="009C4BAD"/>
    <w:rsid w:val="009C53E6"/>
    <w:rsid w:val="009C597E"/>
    <w:rsid w:val="009C5CBC"/>
    <w:rsid w:val="009C6BD3"/>
    <w:rsid w:val="009D0A64"/>
    <w:rsid w:val="009D12A8"/>
    <w:rsid w:val="009D2453"/>
    <w:rsid w:val="009D24F2"/>
    <w:rsid w:val="009D3900"/>
    <w:rsid w:val="009D3B86"/>
    <w:rsid w:val="009D3DEA"/>
    <w:rsid w:val="009D4824"/>
    <w:rsid w:val="009D54D9"/>
    <w:rsid w:val="009D5843"/>
    <w:rsid w:val="009D67E4"/>
    <w:rsid w:val="009D6B28"/>
    <w:rsid w:val="009D7895"/>
    <w:rsid w:val="009D7B09"/>
    <w:rsid w:val="009D7E40"/>
    <w:rsid w:val="009E005F"/>
    <w:rsid w:val="009E0A9E"/>
    <w:rsid w:val="009E0AD4"/>
    <w:rsid w:val="009E1290"/>
    <w:rsid w:val="009E4A55"/>
    <w:rsid w:val="009E4D47"/>
    <w:rsid w:val="009E5415"/>
    <w:rsid w:val="009E56E6"/>
    <w:rsid w:val="009E5749"/>
    <w:rsid w:val="009E574B"/>
    <w:rsid w:val="009E5810"/>
    <w:rsid w:val="009E6455"/>
    <w:rsid w:val="009E724A"/>
    <w:rsid w:val="009E7447"/>
    <w:rsid w:val="009F040A"/>
    <w:rsid w:val="009F0B3C"/>
    <w:rsid w:val="009F0B70"/>
    <w:rsid w:val="009F0CDD"/>
    <w:rsid w:val="009F1310"/>
    <w:rsid w:val="009F15F3"/>
    <w:rsid w:val="009F2661"/>
    <w:rsid w:val="009F279C"/>
    <w:rsid w:val="009F27EB"/>
    <w:rsid w:val="009F2CEB"/>
    <w:rsid w:val="009F3195"/>
    <w:rsid w:val="009F3AA3"/>
    <w:rsid w:val="009F52F0"/>
    <w:rsid w:val="009F5C73"/>
    <w:rsid w:val="009F63FC"/>
    <w:rsid w:val="009F64A7"/>
    <w:rsid w:val="009F7238"/>
    <w:rsid w:val="009F7BBF"/>
    <w:rsid w:val="009F7FBF"/>
    <w:rsid w:val="00A013F6"/>
    <w:rsid w:val="00A013F7"/>
    <w:rsid w:val="00A01802"/>
    <w:rsid w:val="00A02625"/>
    <w:rsid w:val="00A02EB2"/>
    <w:rsid w:val="00A02F35"/>
    <w:rsid w:val="00A03277"/>
    <w:rsid w:val="00A0336B"/>
    <w:rsid w:val="00A0458C"/>
    <w:rsid w:val="00A04CE9"/>
    <w:rsid w:val="00A04D20"/>
    <w:rsid w:val="00A05483"/>
    <w:rsid w:val="00A05935"/>
    <w:rsid w:val="00A066B6"/>
    <w:rsid w:val="00A06BF3"/>
    <w:rsid w:val="00A077BB"/>
    <w:rsid w:val="00A109DF"/>
    <w:rsid w:val="00A112FD"/>
    <w:rsid w:val="00A12126"/>
    <w:rsid w:val="00A13226"/>
    <w:rsid w:val="00A13926"/>
    <w:rsid w:val="00A13DB8"/>
    <w:rsid w:val="00A13F64"/>
    <w:rsid w:val="00A13F89"/>
    <w:rsid w:val="00A14140"/>
    <w:rsid w:val="00A146A3"/>
    <w:rsid w:val="00A14D81"/>
    <w:rsid w:val="00A1520C"/>
    <w:rsid w:val="00A154CF"/>
    <w:rsid w:val="00A17C54"/>
    <w:rsid w:val="00A17D14"/>
    <w:rsid w:val="00A17D3E"/>
    <w:rsid w:val="00A17EF4"/>
    <w:rsid w:val="00A205D4"/>
    <w:rsid w:val="00A2162D"/>
    <w:rsid w:val="00A2166E"/>
    <w:rsid w:val="00A2263C"/>
    <w:rsid w:val="00A24160"/>
    <w:rsid w:val="00A26289"/>
    <w:rsid w:val="00A311CA"/>
    <w:rsid w:val="00A32D38"/>
    <w:rsid w:val="00A33424"/>
    <w:rsid w:val="00A33BDE"/>
    <w:rsid w:val="00A34135"/>
    <w:rsid w:val="00A34AF8"/>
    <w:rsid w:val="00A3501A"/>
    <w:rsid w:val="00A3552B"/>
    <w:rsid w:val="00A35D89"/>
    <w:rsid w:val="00A3659D"/>
    <w:rsid w:val="00A37199"/>
    <w:rsid w:val="00A373B2"/>
    <w:rsid w:val="00A379F5"/>
    <w:rsid w:val="00A40788"/>
    <w:rsid w:val="00A425B7"/>
    <w:rsid w:val="00A428B0"/>
    <w:rsid w:val="00A42C0C"/>
    <w:rsid w:val="00A42E86"/>
    <w:rsid w:val="00A43D27"/>
    <w:rsid w:val="00A44743"/>
    <w:rsid w:val="00A45581"/>
    <w:rsid w:val="00A458C9"/>
    <w:rsid w:val="00A461E6"/>
    <w:rsid w:val="00A46587"/>
    <w:rsid w:val="00A469DE"/>
    <w:rsid w:val="00A46A5B"/>
    <w:rsid w:val="00A46D17"/>
    <w:rsid w:val="00A47361"/>
    <w:rsid w:val="00A503EE"/>
    <w:rsid w:val="00A509BD"/>
    <w:rsid w:val="00A517B8"/>
    <w:rsid w:val="00A51AA8"/>
    <w:rsid w:val="00A531B6"/>
    <w:rsid w:val="00A53DD0"/>
    <w:rsid w:val="00A54221"/>
    <w:rsid w:val="00A54459"/>
    <w:rsid w:val="00A558A0"/>
    <w:rsid w:val="00A558DF"/>
    <w:rsid w:val="00A560B0"/>
    <w:rsid w:val="00A560B1"/>
    <w:rsid w:val="00A5708B"/>
    <w:rsid w:val="00A5732F"/>
    <w:rsid w:val="00A57896"/>
    <w:rsid w:val="00A5791B"/>
    <w:rsid w:val="00A60EE8"/>
    <w:rsid w:val="00A61039"/>
    <w:rsid w:val="00A61132"/>
    <w:rsid w:val="00A61696"/>
    <w:rsid w:val="00A61D25"/>
    <w:rsid w:val="00A622D2"/>
    <w:rsid w:val="00A62439"/>
    <w:rsid w:val="00A62D0D"/>
    <w:rsid w:val="00A62E90"/>
    <w:rsid w:val="00A639FC"/>
    <w:rsid w:val="00A64283"/>
    <w:rsid w:val="00A644F4"/>
    <w:rsid w:val="00A6527F"/>
    <w:rsid w:val="00A65B68"/>
    <w:rsid w:val="00A65D4F"/>
    <w:rsid w:val="00A6602B"/>
    <w:rsid w:val="00A66A31"/>
    <w:rsid w:val="00A67DB3"/>
    <w:rsid w:val="00A702E2"/>
    <w:rsid w:val="00A70B48"/>
    <w:rsid w:val="00A711A8"/>
    <w:rsid w:val="00A71B69"/>
    <w:rsid w:val="00A71BEB"/>
    <w:rsid w:val="00A72286"/>
    <w:rsid w:val="00A72B59"/>
    <w:rsid w:val="00A730BD"/>
    <w:rsid w:val="00A7540D"/>
    <w:rsid w:val="00A7545D"/>
    <w:rsid w:val="00A75B61"/>
    <w:rsid w:val="00A75D75"/>
    <w:rsid w:val="00A76D77"/>
    <w:rsid w:val="00A77A64"/>
    <w:rsid w:val="00A803A2"/>
    <w:rsid w:val="00A803D1"/>
    <w:rsid w:val="00A805B3"/>
    <w:rsid w:val="00A80668"/>
    <w:rsid w:val="00A80A16"/>
    <w:rsid w:val="00A8153A"/>
    <w:rsid w:val="00A82763"/>
    <w:rsid w:val="00A829F2"/>
    <w:rsid w:val="00A839EC"/>
    <w:rsid w:val="00A84751"/>
    <w:rsid w:val="00A84A76"/>
    <w:rsid w:val="00A84B6F"/>
    <w:rsid w:val="00A84B8B"/>
    <w:rsid w:val="00A85F6B"/>
    <w:rsid w:val="00A874F0"/>
    <w:rsid w:val="00A87A28"/>
    <w:rsid w:val="00A906A5"/>
    <w:rsid w:val="00A91E12"/>
    <w:rsid w:val="00A91E5E"/>
    <w:rsid w:val="00A93794"/>
    <w:rsid w:val="00A939F4"/>
    <w:rsid w:val="00A93F6D"/>
    <w:rsid w:val="00A9437D"/>
    <w:rsid w:val="00A945B8"/>
    <w:rsid w:val="00A965F3"/>
    <w:rsid w:val="00A9726A"/>
    <w:rsid w:val="00A977E7"/>
    <w:rsid w:val="00A97AC1"/>
    <w:rsid w:val="00AA062D"/>
    <w:rsid w:val="00AA087F"/>
    <w:rsid w:val="00AA11CF"/>
    <w:rsid w:val="00AA121F"/>
    <w:rsid w:val="00AA17D0"/>
    <w:rsid w:val="00AA18CE"/>
    <w:rsid w:val="00AA3314"/>
    <w:rsid w:val="00AA34E2"/>
    <w:rsid w:val="00AA363C"/>
    <w:rsid w:val="00AA38FF"/>
    <w:rsid w:val="00AA3936"/>
    <w:rsid w:val="00AA3D00"/>
    <w:rsid w:val="00AA4314"/>
    <w:rsid w:val="00AA5E2A"/>
    <w:rsid w:val="00AA64A6"/>
    <w:rsid w:val="00AA6C53"/>
    <w:rsid w:val="00AA7B76"/>
    <w:rsid w:val="00AB11B1"/>
    <w:rsid w:val="00AB1C87"/>
    <w:rsid w:val="00AB239A"/>
    <w:rsid w:val="00AB2A42"/>
    <w:rsid w:val="00AB2C7B"/>
    <w:rsid w:val="00AB2F5C"/>
    <w:rsid w:val="00AB34D2"/>
    <w:rsid w:val="00AB35D3"/>
    <w:rsid w:val="00AB3B4E"/>
    <w:rsid w:val="00AB3F17"/>
    <w:rsid w:val="00AB4385"/>
    <w:rsid w:val="00AB54BB"/>
    <w:rsid w:val="00AB56B0"/>
    <w:rsid w:val="00AB647B"/>
    <w:rsid w:val="00AB65F1"/>
    <w:rsid w:val="00AB6E40"/>
    <w:rsid w:val="00AB7E82"/>
    <w:rsid w:val="00AC16EE"/>
    <w:rsid w:val="00AC1B8F"/>
    <w:rsid w:val="00AC2327"/>
    <w:rsid w:val="00AC2E49"/>
    <w:rsid w:val="00AC375D"/>
    <w:rsid w:val="00AC581E"/>
    <w:rsid w:val="00AC62C7"/>
    <w:rsid w:val="00AC6DFA"/>
    <w:rsid w:val="00AC75E3"/>
    <w:rsid w:val="00AC7609"/>
    <w:rsid w:val="00AC7BF8"/>
    <w:rsid w:val="00AD0D09"/>
    <w:rsid w:val="00AD1058"/>
    <w:rsid w:val="00AD12B4"/>
    <w:rsid w:val="00AD1622"/>
    <w:rsid w:val="00AD1696"/>
    <w:rsid w:val="00AD185D"/>
    <w:rsid w:val="00AD1EB1"/>
    <w:rsid w:val="00AD2121"/>
    <w:rsid w:val="00AD220B"/>
    <w:rsid w:val="00AD2C40"/>
    <w:rsid w:val="00AD2CFE"/>
    <w:rsid w:val="00AD2D99"/>
    <w:rsid w:val="00AD3FFC"/>
    <w:rsid w:val="00AD4645"/>
    <w:rsid w:val="00AD4DD0"/>
    <w:rsid w:val="00AD54FE"/>
    <w:rsid w:val="00AD5F8E"/>
    <w:rsid w:val="00AD68A9"/>
    <w:rsid w:val="00AE00B3"/>
    <w:rsid w:val="00AE0B0B"/>
    <w:rsid w:val="00AE1FAD"/>
    <w:rsid w:val="00AE2743"/>
    <w:rsid w:val="00AE2D3C"/>
    <w:rsid w:val="00AE42B5"/>
    <w:rsid w:val="00AE43FE"/>
    <w:rsid w:val="00AE482F"/>
    <w:rsid w:val="00AE52BD"/>
    <w:rsid w:val="00AE57F6"/>
    <w:rsid w:val="00AE5974"/>
    <w:rsid w:val="00AE5B18"/>
    <w:rsid w:val="00AE63F6"/>
    <w:rsid w:val="00AE6ABC"/>
    <w:rsid w:val="00AE7B72"/>
    <w:rsid w:val="00AF0BCC"/>
    <w:rsid w:val="00AF107B"/>
    <w:rsid w:val="00AF12B8"/>
    <w:rsid w:val="00AF1315"/>
    <w:rsid w:val="00AF2CE1"/>
    <w:rsid w:val="00AF3429"/>
    <w:rsid w:val="00AF3624"/>
    <w:rsid w:val="00AF38D7"/>
    <w:rsid w:val="00AF3AC3"/>
    <w:rsid w:val="00AF3BD8"/>
    <w:rsid w:val="00AF49F9"/>
    <w:rsid w:val="00AF5170"/>
    <w:rsid w:val="00AF5732"/>
    <w:rsid w:val="00AF6318"/>
    <w:rsid w:val="00AF639A"/>
    <w:rsid w:val="00AF69C0"/>
    <w:rsid w:val="00AF6CFF"/>
    <w:rsid w:val="00B005F5"/>
    <w:rsid w:val="00B00C3F"/>
    <w:rsid w:val="00B01146"/>
    <w:rsid w:val="00B01D46"/>
    <w:rsid w:val="00B025B4"/>
    <w:rsid w:val="00B0272C"/>
    <w:rsid w:val="00B031F7"/>
    <w:rsid w:val="00B0446D"/>
    <w:rsid w:val="00B046FF"/>
    <w:rsid w:val="00B0475B"/>
    <w:rsid w:val="00B04897"/>
    <w:rsid w:val="00B05031"/>
    <w:rsid w:val="00B05404"/>
    <w:rsid w:val="00B05BB2"/>
    <w:rsid w:val="00B06D8D"/>
    <w:rsid w:val="00B07869"/>
    <w:rsid w:val="00B07CC1"/>
    <w:rsid w:val="00B07EEE"/>
    <w:rsid w:val="00B07FAA"/>
    <w:rsid w:val="00B109F9"/>
    <w:rsid w:val="00B113A6"/>
    <w:rsid w:val="00B11775"/>
    <w:rsid w:val="00B12EFD"/>
    <w:rsid w:val="00B13101"/>
    <w:rsid w:val="00B13751"/>
    <w:rsid w:val="00B1457E"/>
    <w:rsid w:val="00B152A8"/>
    <w:rsid w:val="00B1533B"/>
    <w:rsid w:val="00B16A9E"/>
    <w:rsid w:val="00B16CB6"/>
    <w:rsid w:val="00B17ED5"/>
    <w:rsid w:val="00B201A3"/>
    <w:rsid w:val="00B21F7C"/>
    <w:rsid w:val="00B222C8"/>
    <w:rsid w:val="00B22464"/>
    <w:rsid w:val="00B22EF5"/>
    <w:rsid w:val="00B23D2F"/>
    <w:rsid w:val="00B240BE"/>
    <w:rsid w:val="00B25655"/>
    <w:rsid w:val="00B26D55"/>
    <w:rsid w:val="00B26E07"/>
    <w:rsid w:val="00B27145"/>
    <w:rsid w:val="00B27237"/>
    <w:rsid w:val="00B30966"/>
    <w:rsid w:val="00B30F56"/>
    <w:rsid w:val="00B31404"/>
    <w:rsid w:val="00B31447"/>
    <w:rsid w:val="00B3147B"/>
    <w:rsid w:val="00B326F3"/>
    <w:rsid w:val="00B329F0"/>
    <w:rsid w:val="00B33644"/>
    <w:rsid w:val="00B337E5"/>
    <w:rsid w:val="00B33A59"/>
    <w:rsid w:val="00B33C48"/>
    <w:rsid w:val="00B33E9A"/>
    <w:rsid w:val="00B3418F"/>
    <w:rsid w:val="00B3448D"/>
    <w:rsid w:val="00B34F35"/>
    <w:rsid w:val="00B351FD"/>
    <w:rsid w:val="00B35453"/>
    <w:rsid w:val="00B35A8B"/>
    <w:rsid w:val="00B3611F"/>
    <w:rsid w:val="00B36BFD"/>
    <w:rsid w:val="00B37109"/>
    <w:rsid w:val="00B37BB0"/>
    <w:rsid w:val="00B37CD5"/>
    <w:rsid w:val="00B406A5"/>
    <w:rsid w:val="00B40AB1"/>
    <w:rsid w:val="00B40B3B"/>
    <w:rsid w:val="00B416F9"/>
    <w:rsid w:val="00B41BA8"/>
    <w:rsid w:val="00B421D5"/>
    <w:rsid w:val="00B426C5"/>
    <w:rsid w:val="00B42D13"/>
    <w:rsid w:val="00B42D93"/>
    <w:rsid w:val="00B4336C"/>
    <w:rsid w:val="00B440EB"/>
    <w:rsid w:val="00B44C0D"/>
    <w:rsid w:val="00B45987"/>
    <w:rsid w:val="00B46AFF"/>
    <w:rsid w:val="00B47534"/>
    <w:rsid w:val="00B476FF"/>
    <w:rsid w:val="00B47A76"/>
    <w:rsid w:val="00B47C55"/>
    <w:rsid w:val="00B47FB0"/>
    <w:rsid w:val="00B502EF"/>
    <w:rsid w:val="00B5123E"/>
    <w:rsid w:val="00B51A3C"/>
    <w:rsid w:val="00B51FDD"/>
    <w:rsid w:val="00B534F5"/>
    <w:rsid w:val="00B5471C"/>
    <w:rsid w:val="00B54BF7"/>
    <w:rsid w:val="00B5609C"/>
    <w:rsid w:val="00B56984"/>
    <w:rsid w:val="00B56B6E"/>
    <w:rsid w:val="00B61499"/>
    <w:rsid w:val="00B6193A"/>
    <w:rsid w:val="00B61C4E"/>
    <w:rsid w:val="00B62C66"/>
    <w:rsid w:val="00B637FD"/>
    <w:rsid w:val="00B63A55"/>
    <w:rsid w:val="00B63B93"/>
    <w:rsid w:val="00B64C25"/>
    <w:rsid w:val="00B64EA6"/>
    <w:rsid w:val="00B64F0D"/>
    <w:rsid w:val="00B6508C"/>
    <w:rsid w:val="00B65565"/>
    <w:rsid w:val="00B65CEA"/>
    <w:rsid w:val="00B66374"/>
    <w:rsid w:val="00B66CC7"/>
    <w:rsid w:val="00B67361"/>
    <w:rsid w:val="00B677BE"/>
    <w:rsid w:val="00B67C79"/>
    <w:rsid w:val="00B67CCF"/>
    <w:rsid w:val="00B7035C"/>
    <w:rsid w:val="00B7064B"/>
    <w:rsid w:val="00B7073E"/>
    <w:rsid w:val="00B70C5C"/>
    <w:rsid w:val="00B70CCA"/>
    <w:rsid w:val="00B70F1B"/>
    <w:rsid w:val="00B71EF9"/>
    <w:rsid w:val="00B71FEF"/>
    <w:rsid w:val="00B72038"/>
    <w:rsid w:val="00B7264E"/>
    <w:rsid w:val="00B7322A"/>
    <w:rsid w:val="00B735C8"/>
    <w:rsid w:val="00B73A74"/>
    <w:rsid w:val="00B754C2"/>
    <w:rsid w:val="00B76AB9"/>
    <w:rsid w:val="00B775BC"/>
    <w:rsid w:val="00B775FC"/>
    <w:rsid w:val="00B7766B"/>
    <w:rsid w:val="00B805D6"/>
    <w:rsid w:val="00B80AA1"/>
    <w:rsid w:val="00B80C15"/>
    <w:rsid w:val="00B81658"/>
    <w:rsid w:val="00B827D4"/>
    <w:rsid w:val="00B82EF7"/>
    <w:rsid w:val="00B83A09"/>
    <w:rsid w:val="00B83D12"/>
    <w:rsid w:val="00B83E11"/>
    <w:rsid w:val="00B8407F"/>
    <w:rsid w:val="00B84D95"/>
    <w:rsid w:val="00B85098"/>
    <w:rsid w:val="00B85285"/>
    <w:rsid w:val="00B85D64"/>
    <w:rsid w:val="00B85E13"/>
    <w:rsid w:val="00B85FDF"/>
    <w:rsid w:val="00B863FF"/>
    <w:rsid w:val="00B8655B"/>
    <w:rsid w:val="00B9061A"/>
    <w:rsid w:val="00B9065C"/>
    <w:rsid w:val="00B90B0B"/>
    <w:rsid w:val="00B90CEC"/>
    <w:rsid w:val="00B90D9C"/>
    <w:rsid w:val="00B911D0"/>
    <w:rsid w:val="00B912D6"/>
    <w:rsid w:val="00B915D5"/>
    <w:rsid w:val="00B916FF"/>
    <w:rsid w:val="00B9273B"/>
    <w:rsid w:val="00B92C18"/>
    <w:rsid w:val="00B92CBF"/>
    <w:rsid w:val="00B93913"/>
    <w:rsid w:val="00B93C5B"/>
    <w:rsid w:val="00B93CB2"/>
    <w:rsid w:val="00B948FB"/>
    <w:rsid w:val="00B95920"/>
    <w:rsid w:val="00B959AA"/>
    <w:rsid w:val="00B96ACE"/>
    <w:rsid w:val="00B974A1"/>
    <w:rsid w:val="00B97A57"/>
    <w:rsid w:val="00B97CA3"/>
    <w:rsid w:val="00B97E08"/>
    <w:rsid w:val="00BA02C8"/>
    <w:rsid w:val="00BA0717"/>
    <w:rsid w:val="00BA0837"/>
    <w:rsid w:val="00BA0C5B"/>
    <w:rsid w:val="00BA0E92"/>
    <w:rsid w:val="00BA1147"/>
    <w:rsid w:val="00BA197B"/>
    <w:rsid w:val="00BA20A4"/>
    <w:rsid w:val="00BA265E"/>
    <w:rsid w:val="00BA2A69"/>
    <w:rsid w:val="00BA302D"/>
    <w:rsid w:val="00BA314B"/>
    <w:rsid w:val="00BA3272"/>
    <w:rsid w:val="00BA336E"/>
    <w:rsid w:val="00BA747C"/>
    <w:rsid w:val="00BB0DCE"/>
    <w:rsid w:val="00BB1251"/>
    <w:rsid w:val="00BB131E"/>
    <w:rsid w:val="00BB15C7"/>
    <w:rsid w:val="00BB1C1F"/>
    <w:rsid w:val="00BB2404"/>
    <w:rsid w:val="00BB2778"/>
    <w:rsid w:val="00BB2883"/>
    <w:rsid w:val="00BB2ADB"/>
    <w:rsid w:val="00BB2B3F"/>
    <w:rsid w:val="00BB4392"/>
    <w:rsid w:val="00BB4476"/>
    <w:rsid w:val="00BB4987"/>
    <w:rsid w:val="00BB49F6"/>
    <w:rsid w:val="00BB4C3A"/>
    <w:rsid w:val="00BB52FB"/>
    <w:rsid w:val="00BB570E"/>
    <w:rsid w:val="00BB5C3B"/>
    <w:rsid w:val="00BB647F"/>
    <w:rsid w:val="00BB6757"/>
    <w:rsid w:val="00BC050F"/>
    <w:rsid w:val="00BC0511"/>
    <w:rsid w:val="00BC1328"/>
    <w:rsid w:val="00BC1DAD"/>
    <w:rsid w:val="00BC1FB8"/>
    <w:rsid w:val="00BC21D4"/>
    <w:rsid w:val="00BC2C93"/>
    <w:rsid w:val="00BC3701"/>
    <w:rsid w:val="00BC45A2"/>
    <w:rsid w:val="00BC4761"/>
    <w:rsid w:val="00BC4819"/>
    <w:rsid w:val="00BC48B8"/>
    <w:rsid w:val="00BC5FA2"/>
    <w:rsid w:val="00BC6102"/>
    <w:rsid w:val="00BC6C24"/>
    <w:rsid w:val="00BC6C9D"/>
    <w:rsid w:val="00BC6CDF"/>
    <w:rsid w:val="00BC798D"/>
    <w:rsid w:val="00BD011F"/>
    <w:rsid w:val="00BD02C5"/>
    <w:rsid w:val="00BD0620"/>
    <w:rsid w:val="00BD0714"/>
    <w:rsid w:val="00BD08A3"/>
    <w:rsid w:val="00BD0C7F"/>
    <w:rsid w:val="00BD1115"/>
    <w:rsid w:val="00BD1517"/>
    <w:rsid w:val="00BD1541"/>
    <w:rsid w:val="00BD1B13"/>
    <w:rsid w:val="00BD213F"/>
    <w:rsid w:val="00BD22C3"/>
    <w:rsid w:val="00BD28BF"/>
    <w:rsid w:val="00BD2AAB"/>
    <w:rsid w:val="00BD2E34"/>
    <w:rsid w:val="00BD31D8"/>
    <w:rsid w:val="00BD330B"/>
    <w:rsid w:val="00BD34F0"/>
    <w:rsid w:val="00BD366E"/>
    <w:rsid w:val="00BD3B31"/>
    <w:rsid w:val="00BD3E80"/>
    <w:rsid w:val="00BD44C2"/>
    <w:rsid w:val="00BD44F8"/>
    <w:rsid w:val="00BD5461"/>
    <w:rsid w:val="00BD5B6C"/>
    <w:rsid w:val="00BD714C"/>
    <w:rsid w:val="00BE00D8"/>
    <w:rsid w:val="00BE0169"/>
    <w:rsid w:val="00BE0F4D"/>
    <w:rsid w:val="00BE0F54"/>
    <w:rsid w:val="00BE1735"/>
    <w:rsid w:val="00BE1AB1"/>
    <w:rsid w:val="00BE250B"/>
    <w:rsid w:val="00BE26BF"/>
    <w:rsid w:val="00BE32CE"/>
    <w:rsid w:val="00BE397A"/>
    <w:rsid w:val="00BE3F11"/>
    <w:rsid w:val="00BE4062"/>
    <w:rsid w:val="00BE41D5"/>
    <w:rsid w:val="00BE4BA6"/>
    <w:rsid w:val="00BE4D1C"/>
    <w:rsid w:val="00BE4D99"/>
    <w:rsid w:val="00BE4F62"/>
    <w:rsid w:val="00BE5470"/>
    <w:rsid w:val="00BE5A5D"/>
    <w:rsid w:val="00BE5D30"/>
    <w:rsid w:val="00BE7DE8"/>
    <w:rsid w:val="00BF0AF3"/>
    <w:rsid w:val="00BF0CEC"/>
    <w:rsid w:val="00BF100C"/>
    <w:rsid w:val="00BF1AFC"/>
    <w:rsid w:val="00BF1CBF"/>
    <w:rsid w:val="00BF2739"/>
    <w:rsid w:val="00BF33A3"/>
    <w:rsid w:val="00BF3B1F"/>
    <w:rsid w:val="00BF50C0"/>
    <w:rsid w:val="00BF6490"/>
    <w:rsid w:val="00BF6EE9"/>
    <w:rsid w:val="00BF7009"/>
    <w:rsid w:val="00C002DC"/>
    <w:rsid w:val="00C017C7"/>
    <w:rsid w:val="00C01A17"/>
    <w:rsid w:val="00C01D99"/>
    <w:rsid w:val="00C021CC"/>
    <w:rsid w:val="00C02742"/>
    <w:rsid w:val="00C02B5F"/>
    <w:rsid w:val="00C02CC3"/>
    <w:rsid w:val="00C040DF"/>
    <w:rsid w:val="00C06C8D"/>
    <w:rsid w:val="00C102F1"/>
    <w:rsid w:val="00C103EB"/>
    <w:rsid w:val="00C104FB"/>
    <w:rsid w:val="00C10B46"/>
    <w:rsid w:val="00C10CB0"/>
    <w:rsid w:val="00C118F7"/>
    <w:rsid w:val="00C13059"/>
    <w:rsid w:val="00C13399"/>
    <w:rsid w:val="00C13445"/>
    <w:rsid w:val="00C139BF"/>
    <w:rsid w:val="00C13AAA"/>
    <w:rsid w:val="00C13ABE"/>
    <w:rsid w:val="00C1418D"/>
    <w:rsid w:val="00C16B3A"/>
    <w:rsid w:val="00C16C1F"/>
    <w:rsid w:val="00C201CB"/>
    <w:rsid w:val="00C2044C"/>
    <w:rsid w:val="00C2139A"/>
    <w:rsid w:val="00C221AE"/>
    <w:rsid w:val="00C221C6"/>
    <w:rsid w:val="00C23013"/>
    <w:rsid w:val="00C239AB"/>
    <w:rsid w:val="00C23EBB"/>
    <w:rsid w:val="00C23FA6"/>
    <w:rsid w:val="00C24E04"/>
    <w:rsid w:val="00C25372"/>
    <w:rsid w:val="00C255B1"/>
    <w:rsid w:val="00C26298"/>
    <w:rsid w:val="00C268CF"/>
    <w:rsid w:val="00C26E9B"/>
    <w:rsid w:val="00C270CC"/>
    <w:rsid w:val="00C30529"/>
    <w:rsid w:val="00C30B2A"/>
    <w:rsid w:val="00C30DE9"/>
    <w:rsid w:val="00C326FC"/>
    <w:rsid w:val="00C32976"/>
    <w:rsid w:val="00C32C48"/>
    <w:rsid w:val="00C32C9D"/>
    <w:rsid w:val="00C3393D"/>
    <w:rsid w:val="00C33C42"/>
    <w:rsid w:val="00C345CF"/>
    <w:rsid w:val="00C34A44"/>
    <w:rsid w:val="00C34A5F"/>
    <w:rsid w:val="00C34C75"/>
    <w:rsid w:val="00C3527F"/>
    <w:rsid w:val="00C35406"/>
    <w:rsid w:val="00C35517"/>
    <w:rsid w:val="00C35951"/>
    <w:rsid w:val="00C3595D"/>
    <w:rsid w:val="00C35F2D"/>
    <w:rsid w:val="00C37BD4"/>
    <w:rsid w:val="00C37E5D"/>
    <w:rsid w:val="00C40434"/>
    <w:rsid w:val="00C407E9"/>
    <w:rsid w:val="00C40BE4"/>
    <w:rsid w:val="00C413DA"/>
    <w:rsid w:val="00C421A3"/>
    <w:rsid w:val="00C42BA5"/>
    <w:rsid w:val="00C43211"/>
    <w:rsid w:val="00C43C3C"/>
    <w:rsid w:val="00C44414"/>
    <w:rsid w:val="00C45029"/>
    <w:rsid w:val="00C45255"/>
    <w:rsid w:val="00C45E20"/>
    <w:rsid w:val="00C4714C"/>
    <w:rsid w:val="00C475B9"/>
    <w:rsid w:val="00C47639"/>
    <w:rsid w:val="00C50038"/>
    <w:rsid w:val="00C52B53"/>
    <w:rsid w:val="00C53414"/>
    <w:rsid w:val="00C536C2"/>
    <w:rsid w:val="00C53BFE"/>
    <w:rsid w:val="00C545E6"/>
    <w:rsid w:val="00C54601"/>
    <w:rsid w:val="00C55096"/>
    <w:rsid w:val="00C551C0"/>
    <w:rsid w:val="00C56824"/>
    <w:rsid w:val="00C57237"/>
    <w:rsid w:val="00C57C37"/>
    <w:rsid w:val="00C606AB"/>
    <w:rsid w:val="00C610BE"/>
    <w:rsid w:val="00C61118"/>
    <w:rsid w:val="00C61FBB"/>
    <w:rsid w:val="00C620E1"/>
    <w:rsid w:val="00C630D4"/>
    <w:rsid w:val="00C63ABC"/>
    <w:rsid w:val="00C64AC4"/>
    <w:rsid w:val="00C6569D"/>
    <w:rsid w:val="00C66159"/>
    <w:rsid w:val="00C66289"/>
    <w:rsid w:val="00C66712"/>
    <w:rsid w:val="00C669BC"/>
    <w:rsid w:val="00C66B98"/>
    <w:rsid w:val="00C700D5"/>
    <w:rsid w:val="00C711C1"/>
    <w:rsid w:val="00C738FA"/>
    <w:rsid w:val="00C742FF"/>
    <w:rsid w:val="00C74ACC"/>
    <w:rsid w:val="00C752A9"/>
    <w:rsid w:val="00C75354"/>
    <w:rsid w:val="00C75885"/>
    <w:rsid w:val="00C75A99"/>
    <w:rsid w:val="00C75AAE"/>
    <w:rsid w:val="00C7732A"/>
    <w:rsid w:val="00C7748E"/>
    <w:rsid w:val="00C77AC8"/>
    <w:rsid w:val="00C8073C"/>
    <w:rsid w:val="00C834B2"/>
    <w:rsid w:val="00C83EE5"/>
    <w:rsid w:val="00C84F43"/>
    <w:rsid w:val="00C85075"/>
    <w:rsid w:val="00C858B3"/>
    <w:rsid w:val="00C85EB8"/>
    <w:rsid w:val="00C861F0"/>
    <w:rsid w:val="00C8627A"/>
    <w:rsid w:val="00C869A7"/>
    <w:rsid w:val="00C8709F"/>
    <w:rsid w:val="00C8782E"/>
    <w:rsid w:val="00C90D7F"/>
    <w:rsid w:val="00C910BD"/>
    <w:rsid w:val="00C925AC"/>
    <w:rsid w:val="00C92DDC"/>
    <w:rsid w:val="00C92EF5"/>
    <w:rsid w:val="00C94D5C"/>
    <w:rsid w:val="00C95501"/>
    <w:rsid w:val="00C956DC"/>
    <w:rsid w:val="00C97F62"/>
    <w:rsid w:val="00CA02A5"/>
    <w:rsid w:val="00CA0725"/>
    <w:rsid w:val="00CA0B19"/>
    <w:rsid w:val="00CA1917"/>
    <w:rsid w:val="00CA1A99"/>
    <w:rsid w:val="00CA2064"/>
    <w:rsid w:val="00CA21C9"/>
    <w:rsid w:val="00CA239C"/>
    <w:rsid w:val="00CA27C6"/>
    <w:rsid w:val="00CA2AE4"/>
    <w:rsid w:val="00CA2C59"/>
    <w:rsid w:val="00CA2C5F"/>
    <w:rsid w:val="00CA315C"/>
    <w:rsid w:val="00CA32B2"/>
    <w:rsid w:val="00CA4456"/>
    <w:rsid w:val="00CA5514"/>
    <w:rsid w:val="00CA63B0"/>
    <w:rsid w:val="00CA6EE6"/>
    <w:rsid w:val="00CA7302"/>
    <w:rsid w:val="00CA7AD1"/>
    <w:rsid w:val="00CB110F"/>
    <w:rsid w:val="00CB19C1"/>
    <w:rsid w:val="00CB1BF3"/>
    <w:rsid w:val="00CB241E"/>
    <w:rsid w:val="00CB2DFB"/>
    <w:rsid w:val="00CB36CC"/>
    <w:rsid w:val="00CB3D0C"/>
    <w:rsid w:val="00CB3D45"/>
    <w:rsid w:val="00CB4673"/>
    <w:rsid w:val="00CB4851"/>
    <w:rsid w:val="00CB48B5"/>
    <w:rsid w:val="00CB4963"/>
    <w:rsid w:val="00CB4A0C"/>
    <w:rsid w:val="00CB5086"/>
    <w:rsid w:val="00CB5A67"/>
    <w:rsid w:val="00CB5FCF"/>
    <w:rsid w:val="00CB62DA"/>
    <w:rsid w:val="00CB6C1B"/>
    <w:rsid w:val="00CB785D"/>
    <w:rsid w:val="00CC0288"/>
    <w:rsid w:val="00CC0724"/>
    <w:rsid w:val="00CC0C06"/>
    <w:rsid w:val="00CC19BB"/>
    <w:rsid w:val="00CC1AED"/>
    <w:rsid w:val="00CC1B52"/>
    <w:rsid w:val="00CC254E"/>
    <w:rsid w:val="00CC33F7"/>
    <w:rsid w:val="00CC3526"/>
    <w:rsid w:val="00CC3F36"/>
    <w:rsid w:val="00CC4190"/>
    <w:rsid w:val="00CC44C7"/>
    <w:rsid w:val="00CC4D2D"/>
    <w:rsid w:val="00CC54CD"/>
    <w:rsid w:val="00CC5656"/>
    <w:rsid w:val="00CC5DD8"/>
    <w:rsid w:val="00CC5EFB"/>
    <w:rsid w:val="00CC6000"/>
    <w:rsid w:val="00CC76D5"/>
    <w:rsid w:val="00CD02DB"/>
    <w:rsid w:val="00CD0586"/>
    <w:rsid w:val="00CD160E"/>
    <w:rsid w:val="00CD16B9"/>
    <w:rsid w:val="00CD2B19"/>
    <w:rsid w:val="00CD2E46"/>
    <w:rsid w:val="00CD31E8"/>
    <w:rsid w:val="00CD48DA"/>
    <w:rsid w:val="00CD4B88"/>
    <w:rsid w:val="00CD4CE8"/>
    <w:rsid w:val="00CD50DE"/>
    <w:rsid w:val="00CD5576"/>
    <w:rsid w:val="00CD56C9"/>
    <w:rsid w:val="00CD5896"/>
    <w:rsid w:val="00CD5CCE"/>
    <w:rsid w:val="00CD6552"/>
    <w:rsid w:val="00CD6879"/>
    <w:rsid w:val="00CD70CD"/>
    <w:rsid w:val="00CD717D"/>
    <w:rsid w:val="00CD7D25"/>
    <w:rsid w:val="00CE0128"/>
    <w:rsid w:val="00CE02D0"/>
    <w:rsid w:val="00CE02EF"/>
    <w:rsid w:val="00CE06F9"/>
    <w:rsid w:val="00CE0799"/>
    <w:rsid w:val="00CE0DC2"/>
    <w:rsid w:val="00CE0E69"/>
    <w:rsid w:val="00CE2287"/>
    <w:rsid w:val="00CE3B07"/>
    <w:rsid w:val="00CE3BFB"/>
    <w:rsid w:val="00CE4217"/>
    <w:rsid w:val="00CE4836"/>
    <w:rsid w:val="00CE5049"/>
    <w:rsid w:val="00CE6C3D"/>
    <w:rsid w:val="00CE6EBC"/>
    <w:rsid w:val="00CE7619"/>
    <w:rsid w:val="00CE7C15"/>
    <w:rsid w:val="00CF025F"/>
    <w:rsid w:val="00CF0809"/>
    <w:rsid w:val="00CF0D45"/>
    <w:rsid w:val="00CF1DBF"/>
    <w:rsid w:val="00CF29A8"/>
    <w:rsid w:val="00CF29C3"/>
    <w:rsid w:val="00CF2AB4"/>
    <w:rsid w:val="00CF302B"/>
    <w:rsid w:val="00CF3510"/>
    <w:rsid w:val="00CF3905"/>
    <w:rsid w:val="00CF3EAE"/>
    <w:rsid w:val="00CF3EF5"/>
    <w:rsid w:val="00CF451A"/>
    <w:rsid w:val="00CF4D03"/>
    <w:rsid w:val="00CF5476"/>
    <w:rsid w:val="00CF5549"/>
    <w:rsid w:val="00CF567C"/>
    <w:rsid w:val="00CF5686"/>
    <w:rsid w:val="00CF65E7"/>
    <w:rsid w:val="00CF6C10"/>
    <w:rsid w:val="00CF77BF"/>
    <w:rsid w:val="00CF792D"/>
    <w:rsid w:val="00D000A9"/>
    <w:rsid w:val="00D002B8"/>
    <w:rsid w:val="00D005FA"/>
    <w:rsid w:val="00D01BD1"/>
    <w:rsid w:val="00D02246"/>
    <w:rsid w:val="00D04A5E"/>
    <w:rsid w:val="00D06691"/>
    <w:rsid w:val="00D07EE5"/>
    <w:rsid w:val="00D10151"/>
    <w:rsid w:val="00D102AA"/>
    <w:rsid w:val="00D1102F"/>
    <w:rsid w:val="00D11858"/>
    <w:rsid w:val="00D11C7E"/>
    <w:rsid w:val="00D11D0B"/>
    <w:rsid w:val="00D11E32"/>
    <w:rsid w:val="00D12E6D"/>
    <w:rsid w:val="00D1350F"/>
    <w:rsid w:val="00D1355C"/>
    <w:rsid w:val="00D1444A"/>
    <w:rsid w:val="00D1632B"/>
    <w:rsid w:val="00D16494"/>
    <w:rsid w:val="00D168B4"/>
    <w:rsid w:val="00D16D5B"/>
    <w:rsid w:val="00D16D6D"/>
    <w:rsid w:val="00D171EC"/>
    <w:rsid w:val="00D176E3"/>
    <w:rsid w:val="00D1785F"/>
    <w:rsid w:val="00D17C67"/>
    <w:rsid w:val="00D204CE"/>
    <w:rsid w:val="00D224E2"/>
    <w:rsid w:val="00D2281B"/>
    <w:rsid w:val="00D229A9"/>
    <w:rsid w:val="00D22B43"/>
    <w:rsid w:val="00D22F26"/>
    <w:rsid w:val="00D23FE3"/>
    <w:rsid w:val="00D2502D"/>
    <w:rsid w:val="00D2530C"/>
    <w:rsid w:val="00D25A2F"/>
    <w:rsid w:val="00D27290"/>
    <w:rsid w:val="00D27373"/>
    <w:rsid w:val="00D279BF"/>
    <w:rsid w:val="00D309EE"/>
    <w:rsid w:val="00D30A36"/>
    <w:rsid w:val="00D3146F"/>
    <w:rsid w:val="00D31841"/>
    <w:rsid w:val="00D342A5"/>
    <w:rsid w:val="00D3478A"/>
    <w:rsid w:val="00D34CAE"/>
    <w:rsid w:val="00D34D0D"/>
    <w:rsid w:val="00D3599D"/>
    <w:rsid w:val="00D369A0"/>
    <w:rsid w:val="00D377E7"/>
    <w:rsid w:val="00D40023"/>
    <w:rsid w:val="00D40E47"/>
    <w:rsid w:val="00D41762"/>
    <w:rsid w:val="00D419F5"/>
    <w:rsid w:val="00D42069"/>
    <w:rsid w:val="00D42FD6"/>
    <w:rsid w:val="00D44002"/>
    <w:rsid w:val="00D44625"/>
    <w:rsid w:val="00D44C9F"/>
    <w:rsid w:val="00D44F44"/>
    <w:rsid w:val="00D45877"/>
    <w:rsid w:val="00D46A20"/>
    <w:rsid w:val="00D473B2"/>
    <w:rsid w:val="00D47EB0"/>
    <w:rsid w:val="00D50728"/>
    <w:rsid w:val="00D52D4D"/>
    <w:rsid w:val="00D53C7A"/>
    <w:rsid w:val="00D53D2E"/>
    <w:rsid w:val="00D53D9D"/>
    <w:rsid w:val="00D55CBB"/>
    <w:rsid w:val="00D55DE9"/>
    <w:rsid w:val="00D56423"/>
    <w:rsid w:val="00D56B37"/>
    <w:rsid w:val="00D56F63"/>
    <w:rsid w:val="00D57722"/>
    <w:rsid w:val="00D61A5F"/>
    <w:rsid w:val="00D61D2D"/>
    <w:rsid w:val="00D62935"/>
    <w:rsid w:val="00D63651"/>
    <w:rsid w:val="00D637CE"/>
    <w:rsid w:val="00D63E03"/>
    <w:rsid w:val="00D64004"/>
    <w:rsid w:val="00D64DA8"/>
    <w:rsid w:val="00D6514A"/>
    <w:rsid w:val="00D65A27"/>
    <w:rsid w:val="00D65B7E"/>
    <w:rsid w:val="00D660C8"/>
    <w:rsid w:val="00D66275"/>
    <w:rsid w:val="00D662AA"/>
    <w:rsid w:val="00D670E0"/>
    <w:rsid w:val="00D67C61"/>
    <w:rsid w:val="00D70EB3"/>
    <w:rsid w:val="00D72499"/>
    <w:rsid w:val="00D7298A"/>
    <w:rsid w:val="00D737F7"/>
    <w:rsid w:val="00D73B5B"/>
    <w:rsid w:val="00D73D6B"/>
    <w:rsid w:val="00D762E7"/>
    <w:rsid w:val="00D76459"/>
    <w:rsid w:val="00D7645A"/>
    <w:rsid w:val="00D7669A"/>
    <w:rsid w:val="00D76723"/>
    <w:rsid w:val="00D8029C"/>
    <w:rsid w:val="00D808DF"/>
    <w:rsid w:val="00D80939"/>
    <w:rsid w:val="00D8141F"/>
    <w:rsid w:val="00D81EF4"/>
    <w:rsid w:val="00D8221D"/>
    <w:rsid w:val="00D82474"/>
    <w:rsid w:val="00D84CA8"/>
    <w:rsid w:val="00D86CFA"/>
    <w:rsid w:val="00D87F03"/>
    <w:rsid w:val="00D905FF"/>
    <w:rsid w:val="00D9111E"/>
    <w:rsid w:val="00D925D0"/>
    <w:rsid w:val="00D929EA"/>
    <w:rsid w:val="00D92BC1"/>
    <w:rsid w:val="00D941D1"/>
    <w:rsid w:val="00D94380"/>
    <w:rsid w:val="00D943A7"/>
    <w:rsid w:val="00D94792"/>
    <w:rsid w:val="00D95152"/>
    <w:rsid w:val="00D9545C"/>
    <w:rsid w:val="00D958DA"/>
    <w:rsid w:val="00D97451"/>
    <w:rsid w:val="00D9759C"/>
    <w:rsid w:val="00D97DD9"/>
    <w:rsid w:val="00DA0283"/>
    <w:rsid w:val="00DA037B"/>
    <w:rsid w:val="00DA0B2B"/>
    <w:rsid w:val="00DA1102"/>
    <w:rsid w:val="00DA1ACB"/>
    <w:rsid w:val="00DA28F7"/>
    <w:rsid w:val="00DA310C"/>
    <w:rsid w:val="00DA314E"/>
    <w:rsid w:val="00DA3C3F"/>
    <w:rsid w:val="00DA4597"/>
    <w:rsid w:val="00DA4685"/>
    <w:rsid w:val="00DA4AFA"/>
    <w:rsid w:val="00DA4C59"/>
    <w:rsid w:val="00DA6604"/>
    <w:rsid w:val="00DA6E55"/>
    <w:rsid w:val="00DA77E4"/>
    <w:rsid w:val="00DA79A0"/>
    <w:rsid w:val="00DA7BF2"/>
    <w:rsid w:val="00DA7DF3"/>
    <w:rsid w:val="00DA7EB8"/>
    <w:rsid w:val="00DA7F29"/>
    <w:rsid w:val="00DB11D7"/>
    <w:rsid w:val="00DB2422"/>
    <w:rsid w:val="00DB32EA"/>
    <w:rsid w:val="00DB3D88"/>
    <w:rsid w:val="00DB4A9F"/>
    <w:rsid w:val="00DB51B4"/>
    <w:rsid w:val="00DB5419"/>
    <w:rsid w:val="00DB54BE"/>
    <w:rsid w:val="00DB5B9E"/>
    <w:rsid w:val="00DB678C"/>
    <w:rsid w:val="00DB6944"/>
    <w:rsid w:val="00DB741E"/>
    <w:rsid w:val="00DB7C39"/>
    <w:rsid w:val="00DB7ECC"/>
    <w:rsid w:val="00DC00E8"/>
    <w:rsid w:val="00DC07B8"/>
    <w:rsid w:val="00DC0AFE"/>
    <w:rsid w:val="00DC116F"/>
    <w:rsid w:val="00DC1668"/>
    <w:rsid w:val="00DC1F4C"/>
    <w:rsid w:val="00DC21FE"/>
    <w:rsid w:val="00DC24B6"/>
    <w:rsid w:val="00DC31D7"/>
    <w:rsid w:val="00DC351B"/>
    <w:rsid w:val="00DC3C71"/>
    <w:rsid w:val="00DC4225"/>
    <w:rsid w:val="00DC44D3"/>
    <w:rsid w:val="00DC58B5"/>
    <w:rsid w:val="00DC5C32"/>
    <w:rsid w:val="00DC5D70"/>
    <w:rsid w:val="00DC60D4"/>
    <w:rsid w:val="00DC670E"/>
    <w:rsid w:val="00DD062B"/>
    <w:rsid w:val="00DD090C"/>
    <w:rsid w:val="00DD12CD"/>
    <w:rsid w:val="00DD13A6"/>
    <w:rsid w:val="00DD2075"/>
    <w:rsid w:val="00DD3263"/>
    <w:rsid w:val="00DD4305"/>
    <w:rsid w:val="00DD554C"/>
    <w:rsid w:val="00DD5E2B"/>
    <w:rsid w:val="00DD6639"/>
    <w:rsid w:val="00DD6783"/>
    <w:rsid w:val="00DD6E5F"/>
    <w:rsid w:val="00DD7D15"/>
    <w:rsid w:val="00DE0321"/>
    <w:rsid w:val="00DE11BD"/>
    <w:rsid w:val="00DE3149"/>
    <w:rsid w:val="00DE3DB4"/>
    <w:rsid w:val="00DE456F"/>
    <w:rsid w:val="00DE4FD0"/>
    <w:rsid w:val="00DE64F5"/>
    <w:rsid w:val="00DE68E6"/>
    <w:rsid w:val="00DE6F79"/>
    <w:rsid w:val="00DE70EC"/>
    <w:rsid w:val="00DE7BD6"/>
    <w:rsid w:val="00DE7CEF"/>
    <w:rsid w:val="00DE7D2A"/>
    <w:rsid w:val="00DF04C6"/>
    <w:rsid w:val="00DF0F70"/>
    <w:rsid w:val="00DF11BE"/>
    <w:rsid w:val="00DF1A93"/>
    <w:rsid w:val="00DF21EB"/>
    <w:rsid w:val="00DF32F3"/>
    <w:rsid w:val="00DF342F"/>
    <w:rsid w:val="00DF45B2"/>
    <w:rsid w:val="00DF4B1C"/>
    <w:rsid w:val="00DF4BC1"/>
    <w:rsid w:val="00DF5271"/>
    <w:rsid w:val="00DF5317"/>
    <w:rsid w:val="00DF555C"/>
    <w:rsid w:val="00DF5754"/>
    <w:rsid w:val="00DF5943"/>
    <w:rsid w:val="00DF5C66"/>
    <w:rsid w:val="00DF5CAA"/>
    <w:rsid w:val="00DF6333"/>
    <w:rsid w:val="00DF7471"/>
    <w:rsid w:val="00DF7B5D"/>
    <w:rsid w:val="00E00421"/>
    <w:rsid w:val="00E007B6"/>
    <w:rsid w:val="00E01162"/>
    <w:rsid w:val="00E011EF"/>
    <w:rsid w:val="00E012B8"/>
    <w:rsid w:val="00E0161B"/>
    <w:rsid w:val="00E01B15"/>
    <w:rsid w:val="00E01BE9"/>
    <w:rsid w:val="00E01E96"/>
    <w:rsid w:val="00E02A38"/>
    <w:rsid w:val="00E02BA2"/>
    <w:rsid w:val="00E031CE"/>
    <w:rsid w:val="00E05310"/>
    <w:rsid w:val="00E05C8B"/>
    <w:rsid w:val="00E065C4"/>
    <w:rsid w:val="00E069EB"/>
    <w:rsid w:val="00E07476"/>
    <w:rsid w:val="00E0799D"/>
    <w:rsid w:val="00E1086B"/>
    <w:rsid w:val="00E11AEA"/>
    <w:rsid w:val="00E11C8F"/>
    <w:rsid w:val="00E12A9F"/>
    <w:rsid w:val="00E12CB4"/>
    <w:rsid w:val="00E14262"/>
    <w:rsid w:val="00E144DD"/>
    <w:rsid w:val="00E14D90"/>
    <w:rsid w:val="00E1501E"/>
    <w:rsid w:val="00E16B55"/>
    <w:rsid w:val="00E175A5"/>
    <w:rsid w:val="00E20187"/>
    <w:rsid w:val="00E20902"/>
    <w:rsid w:val="00E20A80"/>
    <w:rsid w:val="00E20E67"/>
    <w:rsid w:val="00E214F2"/>
    <w:rsid w:val="00E22E8A"/>
    <w:rsid w:val="00E24A52"/>
    <w:rsid w:val="00E2521B"/>
    <w:rsid w:val="00E2521C"/>
    <w:rsid w:val="00E25B15"/>
    <w:rsid w:val="00E26B31"/>
    <w:rsid w:val="00E27761"/>
    <w:rsid w:val="00E27C48"/>
    <w:rsid w:val="00E27C8B"/>
    <w:rsid w:val="00E303CF"/>
    <w:rsid w:val="00E30A5C"/>
    <w:rsid w:val="00E30E29"/>
    <w:rsid w:val="00E31B77"/>
    <w:rsid w:val="00E32B82"/>
    <w:rsid w:val="00E32FB7"/>
    <w:rsid w:val="00E3306D"/>
    <w:rsid w:val="00E331E9"/>
    <w:rsid w:val="00E33449"/>
    <w:rsid w:val="00E33EC0"/>
    <w:rsid w:val="00E340B8"/>
    <w:rsid w:val="00E34E8B"/>
    <w:rsid w:val="00E352D5"/>
    <w:rsid w:val="00E3644D"/>
    <w:rsid w:val="00E36645"/>
    <w:rsid w:val="00E36CFF"/>
    <w:rsid w:val="00E36F7B"/>
    <w:rsid w:val="00E36FD1"/>
    <w:rsid w:val="00E3730D"/>
    <w:rsid w:val="00E37541"/>
    <w:rsid w:val="00E409F9"/>
    <w:rsid w:val="00E41749"/>
    <w:rsid w:val="00E42280"/>
    <w:rsid w:val="00E42BBD"/>
    <w:rsid w:val="00E42D3A"/>
    <w:rsid w:val="00E443D5"/>
    <w:rsid w:val="00E4448B"/>
    <w:rsid w:val="00E450B9"/>
    <w:rsid w:val="00E45B92"/>
    <w:rsid w:val="00E46523"/>
    <w:rsid w:val="00E4691D"/>
    <w:rsid w:val="00E46E43"/>
    <w:rsid w:val="00E4786C"/>
    <w:rsid w:val="00E5182F"/>
    <w:rsid w:val="00E51B8C"/>
    <w:rsid w:val="00E53434"/>
    <w:rsid w:val="00E536C4"/>
    <w:rsid w:val="00E5405A"/>
    <w:rsid w:val="00E54408"/>
    <w:rsid w:val="00E54625"/>
    <w:rsid w:val="00E551FF"/>
    <w:rsid w:val="00E55926"/>
    <w:rsid w:val="00E562B8"/>
    <w:rsid w:val="00E5710A"/>
    <w:rsid w:val="00E57BBD"/>
    <w:rsid w:val="00E57CE5"/>
    <w:rsid w:val="00E600FE"/>
    <w:rsid w:val="00E6023C"/>
    <w:rsid w:val="00E60423"/>
    <w:rsid w:val="00E60849"/>
    <w:rsid w:val="00E60864"/>
    <w:rsid w:val="00E60C86"/>
    <w:rsid w:val="00E6179E"/>
    <w:rsid w:val="00E61B3D"/>
    <w:rsid w:val="00E622FB"/>
    <w:rsid w:val="00E62CD3"/>
    <w:rsid w:val="00E637DE"/>
    <w:rsid w:val="00E64D86"/>
    <w:rsid w:val="00E66740"/>
    <w:rsid w:val="00E67130"/>
    <w:rsid w:val="00E67325"/>
    <w:rsid w:val="00E7074C"/>
    <w:rsid w:val="00E70FAC"/>
    <w:rsid w:val="00E710C7"/>
    <w:rsid w:val="00E718C1"/>
    <w:rsid w:val="00E71DC9"/>
    <w:rsid w:val="00E71F1E"/>
    <w:rsid w:val="00E727C2"/>
    <w:rsid w:val="00E7302A"/>
    <w:rsid w:val="00E73332"/>
    <w:rsid w:val="00E736E4"/>
    <w:rsid w:val="00E7390D"/>
    <w:rsid w:val="00E74024"/>
    <w:rsid w:val="00E7440E"/>
    <w:rsid w:val="00E746DF"/>
    <w:rsid w:val="00E74F97"/>
    <w:rsid w:val="00E753CF"/>
    <w:rsid w:val="00E75C3B"/>
    <w:rsid w:val="00E76518"/>
    <w:rsid w:val="00E768EB"/>
    <w:rsid w:val="00E769CC"/>
    <w:rsid w:val="00E770B1"/>
    <w:rsid w:val="00E77AC0"/>
    <w:rsid w:val="00E80789"/>
    <w:rsid w:val="00E80F34"/>
    <w:rsid w:val="00E81640"/>
    <w:rsid w:val="00E81A27"/>
    <w:rsid w:val="00E827CE"/>
    <w:rsid w:val="00E828D4"/>
    <w:rsid w:val="00E828D8"/>
    <w:rsid w:val="00E83771"/>
    <w:rsid w:val="00E83BE9"/>
    <w:rsid w:val="00E84923"/>
    <w:rsid w:val="00E84EBE"/>
    <w:rsid w:val="00E85848"/>
    <w:rsid w:val="00E85D57"/>
    <w:rsid w:val="00E85F1A"/>
    <w:rsid w:val="00E8640B"/>
    <w:rsid w:val="00E8705A"/>
    <w:rsid w:val="00E87302"/>
    <w:rsid w:val="00E906E1"/>
    <w:rsid w:val="00E90BFD"/>
    <w:rsid w:val="00E9182F"/>
    <w:rsid w:val="00E93B8F"/>
    <w:rsid w:val="00E93BD2"/>
    <w:rsid w:val="00E944A6"/>
    <w:rsid w:val="00E945EC"/>
    <w:rsid w:val="00E94AE8"/>
    <w:rsid w:val="00E94D9A"/>
    <w:rsid w:val="00E9545C"/>
    <w:rsid w:val="00E96428"/>
    <w:rsid w:val="00EA05A4"/>
    <w:rsid w:val="00EA069A"/>
    <w:rsid w:val="00EA0E48"/>
    <w:rsid w:val="00EA169D"/>
    <w:rsid w:val="00EA2116"/>
    <w:rsid w:val="00EA2EA5"/>
    <w:rsid w:val="00EA30B3"/>
    <w:rsid w:val="00EA366E"/>
    <w:rsid w:val="00EA46C0"/>
    <w:rsid w:val="00EA4875"/>
    <w:rsid w:val="00EA59F5"/>
    <w:rsid w:val="00EA6272"/>
    <w:rsid w:val="00EA7C33"/>
    <w:rsid w:val="00EB02B0"/>
    <w:rsid w:val="00EB0792"/>
    <w:rsid w:val="00EB1A7D"/>
    <w:rsid w:val="00EB1EB6"/>
    <w:rsid w:val="00EB3670"/>
    <w:rsid w:val="00EB3672"/>
    <w:rsid w:val="00EB3879"/>
    <w:rsid w:val="00EB400A"/>
    <w:rsid w:val="00EB4213"/>
    <w:rsid w:val="00EB4C0E"/>
    <w:rsid w:val="00EB4DAC"/>
    <w:rsid w:val="00EB5920"/>
    <w:rsid w:val="00EB5CC3"/>
    <w:rsid w:val="00EB6B63"/>
    <w:rsid w:val="00EB792D"/>
    <w:rsid w:val="00EC0008"/>
    <w:rsid w:val="00EC0801"/>
    <w:rsid w:val="00EC1099"/>
    <w:rsid w:val="00EC1698"/>
    <w:rsid w:val="00EC1AE2"/>
    <w:rsid w:val="00EC1AEA"/>
    <w:rsid w:val="00EC1C5C"/>
    <w:rsid w:val="00EC1D4C"/>
    <w:rsid w:val="00EC3BE7"/>
    <w:rsid w:val="00EC498A"/>
    <w:rsid w:val="00EC5B68"/>
    <w:rsid w:val="00EC678F"/>
    <w:rsid w:val="00EC71ED"/>
    <w:rsid w:val="00EC7DCA"/>
    <w:rsid w:val="00ED0438"/>
    <w:rsid w:val="00ED062E"/>
    <w:rsid w:val="00ED0F5A"/>
    <w:rsid w:val="00ED1060"/>
    <w:rsid w:val="00ED145A"/>
    <w:rsid w:val="00ED1793"/>
    <w:rsid w:val="00ED182D"/>
    <w:rsid w:val="00ED1BCA"/>
    <w:rsid w:val="00ED26EF"/>
    <w:rsid w:val="00ED33B1"/>
    <w:rsid w:val="00ED4378"/>
    <w:rsid w:val="00ED4D53"/>
    <w:rsid w:val="00ED531C"/>
    <w:rsid w:val="00ED56EB"/>
    <w:rsid w:val="00ED59EC"/>
    <w:rsid w:val="00ED5C66"/>
    <w:rsid w:val="00ED747C"/>
    <w:rsid w:val="00ED74A5"/>
    <w:rsid w:val="00ED7553"/>
    <w:rsid w:val="00EE0605"/>
    <w:rsid w:val="00EE07F6"/>
    <w:rsid w:val="00EE0E98"/>
    <w:rsid w:val="00EE1499"/>
    <w:rsid w:val="00EE149C"/>
    <w:rsid w:val="00EE222B"/>
    <w:rsid w:val="00EE240D"/>
    <w:rsid w:val="00EE2A1B"/>
    <w:rsid w:val="00EE2C7F"/>
    <w:rsid w:val="00EE2EB2"/>
    <w:rsid w:val="00EE32D8"/>
    <w:rsid w:val="00EE34D1"/>
    <w:rsid w:val="00EE3859"/>
    <w:rsid w:val="00EE3988"/>
    <w:rsid w:val="00EE3F93"/>
    <w:rsid w:val="00EE6442"/>
    <w:rsid w:val="00EF010F"/>
    <w:rsid w:val="00EF1F10"/>
    <w:rsid w:val="00EF23C1"/>
    <w:rsid w:val="00EF274D"/>
    <w:rsid w:val="00EF2D65"/>
    <w:rsid w:val="00EF3450"/>
    <w:rsid w:val="00EF4024"/>
    <w:rsid w:val="00EF4916"/>
    <w:rsid w:val="00EF529A"/>
    <w:rsid w:val="00EF5845"/>
    <w:rsid w:val="00EF5D36"/>
    <w:rsid w:val="00EF779B"/>
    <w:rsid w:val="00EF7FD4"/>
    <w:rsid w:val="00F0030C"/>
    <w:rsid w:val="00F04010"/>
    <w:rsid w:val="00F0449F"/>
    <w:rsid w:val="00F049C1"/>
    <w:rsid w:val="00F04D96"/>
    <w:rsid w:val="00F05823"/>
    <w:rsid w:val="00F059D8"/>
    <w:rsid w:val="00F05E6F"/>
    <w:rsid w:val="00F07EFC"/>
    <w:rsid w:val="00F100D4"/>
    <w:rsid w:val="00F100DB"/>
    <w:rsid w:val="00F10406"/>
    <w:rsid w:val="00F10600"/>
    <w:rsid w:val="00F10776"/>
    <w:rsid w:val="00F12B96"/>
    <w:rsid w:val="00F136D0"/>
    <w:rsid w:val="00F13859"/>
    <w:rsid w:val="00F13D1E"/>
    <w:rsid w:val="00F13D87"/>
    <w:rsid w:val="00F143FF"/>
    <w:rsid w:val="00F1467B"/>
    <w:rsid w:val="00F1521B"/>
    <w:rsid w:val="00F15649"/>
    <w:rsid w:val="00F163E6"/>
    <w:rsid w:val="00F16ADA"/>
    <w:rsid w:val="00F17D7A"/>
    <w:rsid w:val="00F17E21"/>
    <w:rsid w:val="00F2090E"/>
    <w:rsid w:val="00F21117"/>
    <w:rsid w:val="00F2136C"/>
    <w:rsid w:val="00F21475"/>
    <w:rsid w:val="00F21EDC"/>
    <w:rsid w:val="00F2276C"/>
    <w:rsid w:val="00F227D2"/>
    <w:rsid w:val="00F22BCA"/>
    <w:rsid w:val="00F230B6"/>
    <w:rsid w:val="00F23A52"/>
    <w:rsid w:val="00F24E4D"/>
    <w:rsid w:val="00F24FE7"/>
    <w:rsid w:val="00F257EB"/>
    <w:rsid w:val="00F258A1"/>
    <w:rsid w:val="00F2765E"/>
    <w:rsid w:val="00F27675"/>
    <w:rsid w:val="00F27C0A"/>
    <w:rsid w:val="00F30235"/>
    <w:rsid w:val="00F30CCD"/>
    <w:rsid w:val="00F30F67"/>
    <w:rsid w:val="00F31244"/>
    <w:rsid w:val="00F31CD6"/>
    <w:rsid w:val="00F31CDB"/>
    <w:rsid w:val="00F321D8"/>
    <w:rsid w:val="00F32301"/>
    <w:rsid w:val="00F324E5"/>
    <w:rsid w:val="00F329D1"/>
    <w:rsid w:val="00F339FD"/>
    <w:rsid w:val="00F33A19"/>
    <w:rsid w:val="00F341C0"/>
    <w:rsid w:val="00F342AB"/>
    <w:rsid w:val="00F35213"/>
    <w:rsid w:val="00F352BA"/>
    <w:rsid w:val="00F3538C"/>
    <w:rsid w:val="00F353DC"/>
    <w:rsid w:val="00F36256"/>
    <w:rsid w:val="00F3657C"/>
    <w:rsid w:val="00F3708F"/>
    <w:rsid w:val="00F3782F"/>
    <w:rsid w:val="00F37A34"/>
    <w:rsid w:val="00F37B12"/>
    <w:rsid w:val="00F37EF5"/>
    <w:rsid w:val="00F40232"/>
    <w:rsid w:val="00F4053B"/>
    <w:rsid w:val="00F4102B"/>
    <w:rsid w:val="00F41B04"/>
    <w:rsid w:val="00F41BD6"/>
    <w:rsid w:val="00F41F8B"/>
    <w:rsid w:val="00F42ABE"/>
    <w:rsid w:val="00F42B94"/>
    <w:rsid w:val="00F42C1B"/>
    <w:rsid w:val="00F435DD"/>
    <w:rsid w:val="00F444BB"/>
    <w:rsid w:val="00F44DE4"/>
    <w:rsid w:val="00F44F60"/>
    <w:rsid w:val="00F45063"/>
    <w:rsid w:val="00F45F9E"/>
    <w:rsid w:val="00F466C3"/>
    <w:rsid w:val="00F47080"/>
    <w:rsid w:val="00F47855"/>
    <w:rsid w:val="00F516D2"/>
    <w:rsid w:val="00F52539"/>
    <w:rsid w:val="00F526FC"/>
    <w:rsid w:val="00F52DFE"/>
    <w:rsid w:val="00F5311D"/>
    <w:rsid w:val="00F5340C"/>
    <w:rsid w:val="00F54C26"/>
    <w:rsid w:val="00F5562A"/>
    <w:rsid w:val="00F556AA"/>
    <w:rsid w:val="00F564FC"/>
    <w:rsid w:val="00F57BD0"/>
    <w:rsid w:val="00F6137B"/>
    <w:rsid w:val="00F62416"/>
    <w:rsid w:val="00F63103"/>
    <w:rsid w:val="00F63309"/>
    <w:rsid w:val="00F638A3"/>
    <w:rsid w:val="00F6461C"/>
    <w:rsid w:val="00F65256"/>
    <w:rsid w:val="00F666F4"/>
    <w:rsid w:val="00F67155"/>
    <w:rsid w:val="00F700B1"/>
    <w:rsid w:val="00F70146"/>
    <w:rsid w:val="00F70B93"/>
    <w:rsid w:val="00F71645"/>
    <w:rsid w:val="00F71F5B"/>
    <w:rsid w:val="00F7232A"/>
    <w:rsid w:val="00F72509"/>
    <w:rsid w:val="00F729E9"/>
    <w:rsid w:val="00F72CB9"/>
    <w:rsid w:val="00F72F71"/>
    <w:rsid w:val="00F7314A"/>
    <w:rsid w:val="00F74225"/>
    <w:rsid w:val="00F74604"/>
    <w:rsid w:val="00F7475D"/>
    <w:rsid w:val="00F74F04"/>
    <w:rsid w:val="00F7652B"/>
    <w:rsid w:val="00F7663F"/>
    <w:rsid w:val="00F7702C"/>
    <w:rsid w:val="00F776EA"/>
    <w:rsid w:val="00F80850"/>
    <w:rsid w:val="00F8096D"/>
    <w:rsid w:val="00F81EB1"/>
    <w:rsid w:val="00F822BF"/>
    <w:rsid w:val="00F82531"/>
    <w:rsid w:val="00F829F3"/>
    <w:rsid w:val="00F82AEE"/>
    <w:rsid w:val="00F837EB"/>
    <w:rsid w:val="00F83A43"/>
    <w:rsid w:val="00F83ADD"/>
    <w:rsid w:val="00F858C7"/>
    <w:rsid w:val="00F85B53"/>
    <w:rsid w:val="00F85DC7"/>
    <w:rsid w:val="00F868CC"/>
    <w:rsid w:val="00F86AC3"/>
    <w:rsid w:val="00F86DBE"/>
    <w:rsid w:val="00F86FE3"/>
    <w:rsid w:val="00F874FD"/>
    <w:rsid w:val="00F87FD0"/>
    <w:rsid w:val="00F907F5"/>
    <w:rsid w:val="00F90AA8"/>
    <w:rsid w:val="00F92549"/>
    <w:rsid w:val="00F931F1"/>
    <w:rsid w:val="00F93203"/>
    <w:rsid w:val="00F93A16"/>
    <w:rsid w:val="00F95A30"/>
    <w:rsid w:val="00F96F0F"/>
    <w:rsid w:val="00FA084E"/>
    <w:rsid w:val="00FA090D"/>
    <w:rsid w:val="00FA1853"/>
    <w:rsid w:val="00FA1A01"/>
    <w:rsid w:val="00FA1B51"/>
    <w:rsid w:val="00FA1B96"/>
    <w:rsid w:val="00FA1DC2"/>
    <w:rsid w:val="00FA289D"/>
    <w:rsid w:val="00FA2CC2"/>
    <w:rsid w:val="00FA2E23"/>
    <w:rsid w:val="00FA2F48"/>
    <w:rsid w:val="00FA316D"/>
    <w:rsid w:val="00FA32A0"/>
    <w:rsid w:val="00FA4493"/>
    <w:rsid w:val="00FA45C0"/>
    <w:rsid w:val="00FA4674"/>
    <w:rsid w:val="00FA4756"/>
    <w:rsid w:val="00FA5482"/>
    <w:rsid w:val="00FA5563"/>
    <w:rsid w:val="00FA6975"/>
    <w:rsid w:val="00FA7136"/>
    <w:rsid w:val="00FA73E0"/>
    <w:rsid w:val="00FA76C3"/>
    <w:rsid w:val="00FA794C"/>
    <w:rsid w:val="00FA7AED"/>
    <w:rsid w:val="00FB00DB"/>
    <w:rsid w:val="00FB0195"/>
    <w:rsid w:val="00FB03CB"/>
    <w:rsid w:val="00FB1238"/>
    <w:rsid w:val="00FB16B6"/>
    <w:rsid w:val="00FB1AE1"/>
    <w:rsid w:val="00FB1C89"/>
    <w:rsid w:val="00FB3284"/>
    <w:rsid w:val="00FB3F82"/>
    <w:rsid w:val="00FB462F"/>
    <w:rsid w:val="00FB469A"/>
    <w:rsid w:val="00FB4B4B"/>
    <w:rsid w:val="00FB50EF"/>
    <w:rsid w:val="00FB5946"/>
    <w:rsid w:val="00FB6526"/>
    <w:rsid w:val="00FB6D45"/>
    <w:rsid w:val="00FB6E7D"/>
    <w:rsid w:val="00FB6E87"/>
    <w:rsid w:val="00FB7255"/>
    <w:rsid w:val="00FB7662"/>
    <w:rsid w:val="00FB7968"/>
    <w:rsid w:val="00FB79AE"/>
    <w:rsid w:val="00FB7B5D"/>
    <w:rsid w:val="00FC1D51"/>
    <w:rsid w:val="00FC27E7"/>
    <w:rsid w:val="00FC2BCE"/>
    <w:rsid w:val="00FC4A2D"/>
    <w:rsid w:val="00FC5441"/>
    <w:rsid w:val="00FC64D8"/>
    <w:rsid w:val="00FC70A9"/>
    <w:rsid w:val="00FC7B35"/>
    <w:rsid w:val="00FC7C68"/>
    <w:rsid w:val="00FD0101"/>
    <w:rsid w:val="00FD0492"/>
    <w:rsid w:val="00FD06DA"/>
    <w:rsid w:val="00FD215C"/>
    <w:rsid w:val="00FD37FC"/>
    <w:rsid w:val="00FD3E70"/>
    <w:rsid w:val="00FD3F5C"/>
    <w:rsid w:val="00FD435C"/>
    <w:rsid w:val="00FD4D9B"/>
    <w:rsid w:val="00FD5477"/>
    <w:rsid w:val="00FD54C8"/>
    <w:rsid w:val="00FD6B7F"/>
    <w:rsid w:val="00FD70DB"/>
    <w:rsid w:val="00FD7515"/>
    <w:rsid w:val="00FD75D7"/>
    <w:rsid w:val="00FD7796"/>
    <w:rsid w:val="00FD7A0F"/>
    <w:rsid w:val="00FD7C21"/>
    <w:rsid w:val="00FE01CE"/>
    <w:rsid w:val="00FE29E8"/>
    <w:rsid w:val="00FE30D3"/>
    <w:rsid w:val="00FE3ACB"/>
    <w:rsid w:val="00FE4AF3"/>
    <w:rsid w:val="00FE4DDB"/>
    <w:rsid w:val="00FE501A"/>
    <w:rsid w:val="00FE5B32"/>
    <w:rsid w:val="00FE5DAB"/>
    <w:rsid w:val="00FE62C6"/>
    <w:rsid w:val="00FE64FD"/>
    <w:rsid w:val="00FE69AA"/>
    <w:rsid w:val="00FE69CB"/>
    <w:rsid w:val="00FE6C6A"/>
    <w:rsid w:val="00FE701E"/>
    <w:rsid w:val="00FE726D"/>
    <w:rsid w:val="00FE7C6E"/>
    <w:rsid w:val="00FE7F3D"/>
    <w:rsid w:val="00FF01A0"/>
    <w:rsid w:val="00FF089B"/>
    <w:rsid w:val="00FF098C"/>
    <w:rsid w:val="00FF10DF"/>
    <w:rsid w:val="00FF138D"/>
    <w:rsid w:val="00FF2394"/>
    <w:rsid w:val="00FF2734"/>
    <w:rsid w:val="00FF2FB0"/>
    <w:rsid w:val="00FF377A"/>
    <w:rsid w:val="00FF399B"/>
    <w:rsid w:val="00FF3CBC"/>
    <w:rsid w:val="00FF4660"/>
    <w:rsid w:val="00FF4A7B"/>
    <w:rsid w:val="00FF51D5"/>
    <w:rsid w:val="00FF5E53"/>
    <w:rsid w:val="00FF61A1"/>
    <w:rsid w:val="00FF7E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5B1B58"/>
  <w15:docId w15:val="{8B332C7B-14E2-443A-9705-B0601463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98D"/>
  </w:style>
  <w:style w:type="paragraph" w:styleId="Heading1">
    <w:name w:val="heading 1"/>
    <w:basedOn w:val="Normal"/>
    <w:next w:val="Normal"/>
    <w:link w:val="Heading1Char"/>
    <w:qFormat/>
    <w:rsid w:val="004C028B"/>
    <w:pPr>
      <w:keepNext/>
      <w:spacing w:after="0" w:line="240" w:lineRule="auto"/>
      <w:jc w:val="center"/>
      <w:outlineLvl w:val="0"/>
    </w:pPr>
    <w:rPr>
      <w:rFonts w:ascii="Arial" w:eastAsia="Times New Roman" w:hAnsi="Arial" w:cs="Arial"/>
      <w:b/>
      <w:bCs/>
      <w:i/>
      <w:iCs/>
      <w:sz w:val="44"/>
      <w:szCs w:val="24"/>
      <w:lang w:val="en-GB"/>
    </w:rPr>
  </w:style>
  <w:style w:type="paragraph" w:styleId="Heading2">
    <w:name w:val="heading 2"/>
    <w:basedOn w:val="Normal"/>
    <w:next w:val="Normal"/>
    <w:link w:val="Heading2Char"/>
    <w:uiPriority w:val="9"/>
    <w:unhideWhenUsed/>
    <w:qFormat/>
    <w:rsid w:val="00AB65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121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4C028B"/>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 Char1 Char Char Char,Footnote Text Char Char Char Char Char,Footnote Text Char1 Char Char Char Char Char,Footnote Char Char Char Char Char Char"/>
    <w:basedOn w:val="Normal"/>
    <w:link w:val="FootnoteTextChar"/>
    <w:uiPriority w:val="99"/>
    <w:unhideWhenUsed/>
    <w:rsid w:val="00BC0511"/>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
    <w:basedOn w:val="DefaultParagraphFont"/>
    <w:link w:val="FootnoteText"/>
    <w:uiPriority w:val="99"/>
    <w:rsid w:val="00BC0511"/>
    <w:rPr>
      <w:sz w:val="20"/>
      <w:szCs w:val="20"/>
    </w:rPr>
  </w:style>
  <w:style w:type="character" w:styleId="FootnoteReference">
    <w:name w:val="footnote reference"/>
    <w:basedOn w:val="DefaultParagraphFont"/>
    <w:uiPriority w:val="99"/>
    <w:unhideWhenUsed/>
    <w:rsid w:val="00BC0511"/>
    <w:rPr>
      <w:vertAlign w:val="superscript"/>
    </w:rPr>
  </w:style>
  <w:style w:type="paragraph" w:customStyle="1" w:styleId="JUGMENTNUMBERED">
    <w:name w:val="JUGMENT NUMBERED"/>
    <w:basedOn w:val="Normal"/>
    <w:link w:val="JUGMENTNUMBEREDChar"/>
    <w:rsid w:val="002D132F"/>
    <w:pPr>
      <w:numPr>
        <w:numId w:val="1"/>
      </w:numPr>
      <w:spacing w:after="0" w:line="480" w:lineRule="auto"/>
      <w:jc w:val="both"/>
    </w:pPr>
    <w:rPr>
      <w:rFonts w:ascii="Times New Roman" w:eastAsia="Times New Roman" w:hAnsi="Times New Roman" w:cs="Times New Roman"/>
      <w:sz w:val="26"/>
      <w:szCs w:val="26"/>
      <w:lang w:eastAsia="en-ZA"/>
    </w:rPr>
  </w:style>
  <w:style w:type="paragraph" w:customStyle="1" w:styleId="QUOTEINFOOTNOTE">
    <w:name w:val="QUOTE IN FOOTNOTE"/>
    <w:basedOn w:val="FootnoteText"/>
    <w:link w:val="QUOTEINFOOTNOTEChar"/>
    <w:rsid w:val="002D132F"/>
    <w:pPr>
      <w:ind w:left="720" w:right="720"/>
      <w:jc w:val="both"/>
    </w:pPr>
    <w:rPr>
      <w:rFonts w:ascii="Times New Roman" w:eastAsia="Times New Roman" w:hAnsi="Times New Roman" w:cs="Times New Roman"/>
      <w:iCs/>
      <w:lang w:val="en-US" w:eastAsia="en-ZA"/>
    </w:rPr>
  </w:style>
  <w:style w:type="character" w:customStyle="1" w:styleId="QUOTEINFOOTNOTEChar">
    <w:name w:val="QUOTE IN FOOTNOTE Char"/>
    <w:basedOn w:val="FootnoteTextChar"/>
    <w:link w:val="QUOTEINFOOTNOTE"/>
    <w:rsid w:val="002D132F"/>
    <w:rPr>
      <w:rFonts w:ascii="Times New Roman" w:eastAsia="Times New Roman" w:hAnsi="Times New Roman" w:cs="Times New Roman"/>
      <w:iCs/>
      <w:sz w:val="20"/>
      <w:szCs w:val="20"/>
      <w:lang w:val="en-US" w:eastAsia="en-ZA"/>
    </w:rPr>
  </w:style>
  <w:style w:type="character" w:customStyle="1" w:styleId="JUGMENTNUMBEREDChar">
    <w:name w:val="JUGMENT NUMBERED Char"/>
    <w:basedOn w:val="DefaultParagraphFont"/>
    <w:link w:val="JUGMENTNUMBERED"/>
    <w:locked/>
    <w:rsid w:val="002D132F"/>
    <w:rPr>
      <w:rFonts w:ascii="Times New Roman" w:eastAsia="Times New Roman" w:hAnsi="Times New Roman" w:cs="Times New Roman"/>
      <w:sz w:val="26"/>
      <w:szCs w:val="26"/>
      <w:lang w:eastAsia="en-ZA"/>
    </w:rPr>
  </w:style>
  <w:style w:type="paragraph" w:customStyle="1" w:styleId="QUOTATION">
    <w:name w:val="QUOTATION"/>
    <w:basedOn w:val="Normal"/>
    <w:link w:val="QUOTATIONChar"/>
    <w:qFormat/>
    <w:rsid w:val="002D132F"/>
    <w:pPr>
      <w:spacing w:after="0" w:line="360" w:lineRule="auto"/>
      <w:ind w:left="720" w:right="720"/>
      <w:jc w:val="both"/>
    </w:pPr>
    <w:rPr>
      <w:rFonts w:ascii="Times New Roman" w:eastAsia="Times New Roman" w:hAnsi="Times New Roman" w:cs="Times New Roman"/>
      <w:lang w:eastAsia="en-ZA"/>
    </w:rPr>
  </w:style>
  <w:style w:type="character" w:customStyle="1" w:styleId="QUOTATIONChar">
    <w:name w:val="QUOTATION Char"/>
    <w:basedOn w:val="DefaultParagraphFont"/>
    <w:link w:val="QUOTATION"/>
    <w:rsid w:val="002D132F"/>
    <w:rPr>
      <w:rFonts w:ascii="Times New Roman" w:eastAsia="Times New Roman" w:hAnsi="Times New Roman" w:cs="Times New Roman"/>
      <w:lang w:eastAsia="en-ZA"/>
    </w:rPr>
  </w:style>
  <w:style w:type="paragraph" w:styleId="ListParagraph">
    <w:name w:val="List Paragraph"/>
    <w:basedOn w:val="Normal"/>
    <w:uiPriority w:val="34"/>
    <w:qFormat/>
    <w:rsid w:val="00A54459"/>
    <w:pPr>
      <w:ind w:left="720"/>
      <w:contextualSpacing/>
    </w:pPr>
  </w:style>
  <w:style w:type="paragraph" w:styleId="BalloonText">
    <w:name w:val="Balloon Text"/>
    <w:basedOn w:val="Normal"/>
    <w:link w:val="BalloonTextChar"/>
    <w:semiHidden/>
    <w:unhideWhenUsed/>
    <w:rsid w:val="00C01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C7"/>
    <w:rPr>
      <w:rFonts w:ascii="Tahoma" w:hAnsi="Tahoma" w:cs="Tahoma"/>
      <w:sz w:val="16"/>
      <w:szCs w:val="16"/>
    </w:rPr>
  </w:style>
  <w:style w:type="paragraph" w:styleId="Header">
    <w:name w:val="header"/>
    <w:basedOn w:val="Normal"/>
    <w:link w:val="HeaderChar"/>
    <w:unhideWhenUsed/>
    <w:rsid w:val="00936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4A"/>
  </w:style>
  <w:style w:type="paragraph" w:styleId="Footer">
    <w:name w:val="footer"/>
    <w:basedOn w:val="Normal"/>
    <w:link w:val="FooterChar"/>
    <w:unhideWhenUsed/>
    <w:rsid w:val="00936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24A"/>
  </w:style>
  <w:style w:type="character" w:styleId="Hyperlink">
    <w:name w:val="Hyperlink"/>
    <w:basedOn w:val="DefaultParagraphFont"/>
    <w:uiPriority w:val="99"/>
    <w:unhideWhenUsed/>
    <w:rsid w:val="006942E2"/>
    <w:rPr>
      <w:color w:val="0000FF" w:themeColor="hyperlink"/>
      <w:u w:val="single"/>
    </w:rPr>
  </w:style>
  <w:style w:type="character" w:styleId="CommentReference">
    <w:name w:val="annotation reference"/>
    <w:basedOn w:val="DefaultParagraphFont"/>
    <w:unhideWhenUsed/>
    <w:rsid w:val="000A1F8F"/>
    <w:rPr>
      <w:sz w:val="16"/>
      <w:szCs w:val="16"/>
    </w:rPr>
  </w:style>
  <w:style w:type="paragraph" w:styleId="CommentText">
    <w:name w:val="annotation text"/>
    <w:basedOn w:val="Normal"/>
    <w:link w:val="CommentTextChar"/>
    <w:unhideWhenUsed/>
    <w:rsid w:val="000A1F8F"/>
    <w:pPr>
      <w:spacing w:line="240" w:lineRule="auto"/>
    </w:pPr>
    <w:rPr>
      <w:sz w:val="20"/>
      <w:szCs w:val="20"/>
    </w:rPr>
  </w:style>
  <w:style w:type="character" w:customStyle="1" w:styleId="CommentTextChar">
    <w:name w:val="Comment Text Char"/>
    <w:basedOn w:val="DefaultParagraphFont"/>
    <w:link w:val="CommentText"/>
    <w:rsid w:val="000A1F8F"/>
    <w:rPr>
      <w:sz w:val="20"/>
      <w:szCs w:val="20"/>
    </w:rPr>
  </w:style>
  <w:style w:type="paragraph" w:styleId="CommentSubject">
    <w:name w:val="annotation subject"/>
    <w:basedOn w:val="CommentText"/>
    <w:next w:val="CommentText"/>
    <w:link w:val="CommentSubjectChar"/>
    <w:unhideWhenUsed/>
    <w:rsid w:val="000A1F8F"/>
    <w:rPr>
      <w:b/>
      <w:bCs/>
    </w:rPr>
  </w:style>
  <w:style w:type="character" w:customStyle="1" w:styleId="CommentSubjectChar">
    <w:name w:val="Comment Subject Char"/>
    <w:basedOn w:val="CommentTextChar"/>
    <w:link w:val="CommentSubject"/>
    <w:rsid w:val="000A1F8F"/>
    <w:rPr>
      <w:b/>
      <w:bCs/>
      <w:sz w:val="20"/>
      <w:szCs w:val="20"/>
    </w:rPr>
  </w:style>
  <w:style w:type="paragraph" w:styleId="EndnoteText">
    <w:name w:val="endnote text"/>
    <w:basedOn w:val="Normal"/>
    <w:link w:val="EndnoteTextChar"/>
    <w:uiPriority w:val="99"/>
    <w:semiHidden/>
    <w:unhideWhenUsed/>
    <w:rsid w:val="00B201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1A3"/>
    <w:rPr>
      <w:sz w:val="20"/>
      <w:szCs w:val="20"/>
    </w:rPr>
  </w:style>
  <w:style w:type="character" w:styleId="EndnoteReference">
    <w:name w:val="endnote reference"/>
    <w:basedOn w:val="DefaultParagraphFont"/>
    <w:uiPriority w:val="99"/>
    <w:semiHidden/>
    <w:unhideWhenUsed/>
    <w:rsid w:val="00B201A3"/>
    <w:rPr>
      <w:vertAlign w:val="superscript"/>
    </w:rPr>
  </w:style>
  <w:style w:type="paragraph" w:customStyle="1" w:styleId="lg-section">
    <w:name w:val="lg-section"/>
    <w:basedOn w:val="Normal"/>
    <w:rsid w:val="004177BF"/>
    <w:pPr>
      <w:spacing w:before="300" w:after="0" w:line="240" w:lineRule="auto"/>
      <w:ind w:firstLine="403"/>
      <w:jc w:val="both"/>
    </w:pPr>
    <w:rPr>
      <w:rFonts w:ascii="Verdana" w:eastAsia="Times New Roman" w:hAnsi="Verdana" w:cs="Times New Roman"/>
      <w:color w:val="000000"/>
      <w:sz w:val="18"/>
      <w:szCs w:val="18"/>
      <w:lang w:val="en-US"/>
    </w:rPr>
  </w:style>
  <w:style w:type="paragraph" w:customStyle="1" w:styleId="lg-para3">
    <w:name w:val="lg-para3"/>
    <w:basedOn w:val="Normal"/>
    <w:rsid w:val="004177BF"/>
    <w:pPr>
      <w:spacing w:before="120" w:after="0" w:line="240" w:lineRule="auto"/>
      <w:ind w:firstLine="601"/>
      <w:jc w:val="both"/>
    </w:pPr>
    <w:rPr>
      <w:rFonts w:ascii="Verdana" w:eastAsia="Times New Roman" w:hAnsi="Verdana" w:cs="Times New Roman"/>
      <w:color w:val="000000"/>
      <w:sz w:val="18"/>
      <w:szCs w:val="18"/>
      <w:lang w:val="en-US"/>
    </w:rPr>
  </w:style>
  <w:style w:type="character" w:styleId="Emphasis">
    <w:name w:val="Emphasis"/>
    <w:basedOn w:val="DefaultParagraphFont"/>
    <w:uiPriority w:val="20"/>
    <w:qFormat/>
    <w:rsid w:val="00CA2AE4"/>
    <w:rPr>
      <w:b/>
      <w:bCs/>
      <w:i w:val="0"/>
      <w:iCs w:val="0"/>
    </w:rPr>
  </w:style>
  <w:style w:type="character" w:customStyle="1" w:styleId="st1">
    <w:name w:val="st1"/>
    <w:basedOn w:val="DefaultParagraphFont"/>
    <w:rsid w:val="00CA2AE4"/>
  </w:style>
  <w:style w:type="character" w:customStyle="1" w:styleId="Heading1Char">
    <w:name w:val="Heading 1 Char"/>
    <w:basedOn w:val="DefaultParagraphFont"/>
    <w:link w:val="Heading1"/>
    <w:rsid w:val="004C028B"/>
    <w:rPr>
      <w:rFonts w:ascii="Arial" w:eastAsia="Times New Roman" w:hAnsi="Arial" w:cs="Arial"/>
      <w:b/>
      <w:bCs/>
      <w:i/>
      <w:iCs/>
      <w:sz w:val="44"/>
      <w:szCs w:val="24"/>
      <w:lang w:val="en-GB"/>
    </w:rPr>
  </w:style>
  <w:style w:type="character" w:customStyle="1" w:styleId="Heading8Char">
    <w:name w:val="Heading 8 Char"/>
    <w:basedOn w:val="DefaultParagraphFont"/>
    <w:link w:val="Heading8"/>
    <w:rsid w:val="004C028B"/>
    <w:rPr>
      <w:rFonts w:ascii="Times New Roman" w:eastAsia="Times New Roman" w:hAnsi="Times New Roman" w:cs="Times New Roman"/>
      <w:i/>
      <w:iCs/>
      <w:sz w:val="24"/>
      <w:szCs w:val="24"/>
      <w:lang w:val="en-GB"/>
    </w:rPr>
  </w:style>
  <w:style w:type="paragraph" w:styleId="BodyTextIndent">
    <w:name w:val="Body Text Indent"/>
    <w:basedOn w:val="Normal"/>
    <w:link w:val="BodyTextIndentChar"/>
    <w:rsid w:val="004C028B"/>
    <w:pPr>
      <w:widowControl w:val="0"/>
      <w:autoSpaceDE w:val="0"/>
      <w:autoSpaceDN w:val="0"/>
      <w:adjustRightInd w:val="0"/>
      <w:spacing w:after="0" w:line="720" w:lineRule="auto"/>
      <w:jc w:val="both"/>
    </w:pPr>
    <w:rPr>
      <w:rFonts w:ascii="Arial" w:eastAsia="Times New Roman" w:hAnsi="Arial" w:cs="Arial"/>
      <w:sz w:val="28"/>
      <w:szCs w:val="28"/>
      <w:lang w:val="en-GB"/>
    </w:rPr>
  </w:style>
  <w:style w:type="character" w:customStyle="1" w:styleId="BodyTextIndentChar">
    <w:name w:val="Body Text Indent Char"/>
    <w:basedOn w:val="DefaultParagraphFont"/>
    <w:link w:val="BodyTextIndent"/>
    <w:rsid w:val="004C028B"/>
    <w:rPr>
      <w:rFonts w:ascii="Arial" w:eastAsia="Times New Roman" w:hAnsi="Arial" w:cs="Arial"/>
      <w:sz w:val="28"/>
      <w:szCs w:val="28"/>
      <w:lang w:val="en-GB"/>
    </w:rPr>
  </w:style>
  <w:style w:type="character" w:styleId="PageNumber">
    <w:name w:val="page number"/>
    <w:basedOn w:val="DefaultParagraphFont"/>
    <w:rsid w:val="004C028B"/>
  </w:style>
  <w:style w:type="paragraph" w:customStyle="1" w:styleId="Pa3">
    <w:name w:val="Pa3"/>
    <w:basedOn w:val="Normal"/>
    <w:next w:val="Normal"/>
    <w:rsid w:val="004C028B"/>
    <w:pPr>
      <w:autoSpaceDE w:val="0"/>
      <w:autoSpaceDN w:val="0"/>
      <w:adjustRightInd w:val="0"/>
      <w:spacing w:after="0" w:line="241" w:lineRule="atLeast"/>
    </w:pPr>
    <w:rPr>
      <w:rFonts w:ascii="Arial" w:eastAsia="Times New Roman" w:hAnsi="Arial" w:cs="Times New Roman"/>
      <w:sz w:val="24"/>
      <w:szCs w:val="24"/>
      <w:lang w:val="en-US"/>
    </w:rPr>
  </w:style>
  <w:style w:type="character" w:customStyle="1" w:styleId="A0">
    <w:name w:val="A0"/>
    <w:rsid w:val="004C028B"/>
    <w:rPr>
      <w:rFonts w:cs="Arial"/>
      <w:b/>
      <w:bCs/>
      <w:color w:val="221E1F"/>
      <w:sz w:val="20"/>
      <w:szCs w:val="20"/>
    </w:rPr>
  </w:style>
  <w:style w:type="character" w:customStyle="1" w:styleId="FootnoteTextChar1">
    <w:name w:val="Footnote Text Char1"/>
    <w:locked/>
    <w:rsid w:val="004C028B"/>
    <w:rPr>
      <w:lang w:val="en-US" w:eastAsia="en-US" w:bidi="ar-SA"/>
    </w:rPr>
  </w:style>
  <w:style w:type="paragraph" w:customStyle="1" w:styleId="1AutoList1">
    <w:name w:val="1AutoList1"/>
    <w:rsid w:val="004C028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lang w:val="en-US"/>
    </w:rPr>
  </w:style>
  <w:style w:type="character" w:customStyle="1" w:styleId="mc1">
    <w:name w:val="mc1"/>
    <w:rsid w:val="004C028B"/>
    <w:rPr>
      <w:rFonts w:ascii="Verdana" w:hAnsi="Verdana" w:hint="default"/>
      <w:b w:val="0"/>
      <w:bCs w:val="0"/>
      <w:i w:val="0"/>
      <w:iCs w:val="0"/>
      <w:color w:val="000000"/>
      <w:sz w:val="13"/>
      <w:szCs w:val="13"/>
      <w:shd w:val="clear" w:color="auto" w:fill="C0C0C0"/>
    </w:rPr>
  </w:style>
  <w:style w:type="character" w:customStyle="1" w:styleId="mc2">
    <w:name w:val="mc2"/>
    <w:rsid w:val="004C028B"/>
    <w:rPr>
      <w:rFonts w:ascii="Verdana" w:hAnsi="Verdana" w:hint="default"/>
      <w:b w:val="0"/>
      <w:bCs w:val="0"/>
      <w:i w:val="0"/>
      <w:iCs w:val="0"/>
      <w:color w:val="000000"/>
      <w:sz w:val="13"/>
      <w:szCs w:val="13"/>
      <w:shd w:val="clear" w:color="auto" w:fill="C0C0C0"/>
    </w:rPr>
  </w:style>
  <w:style w:type="paragraph" w:styleId="NormalWeb">
    <w:name w:val="Normal (Web)"/>
    <w:basedOn w:val="Normal"/>
    <w:uiPriority w:val="99"/>
    <w:unhideWhenUsed/>
    <w:rsid w:val="004C028B"/>
    <w:pPr>
      <w:spacing w:before="144" w:after="288" w:line="240" w:lineRule="auto"/>
    </w:pPr>
    <w:rPr>
      <w:rFonts w:ascii="Times New Roman" w:eastAsia="Times New Roman" w:hAnsi="Times New Roman" w:cs="Times New Roman"/>
      <w:sz w:val="24"/>
      <w:szCs w:val="24"/>
      <w:lang w:val="en-US"/>
    </w:rPr>
  </w:style>
  <w:style w:type="paragraph" w:customStyle="1" w:styleId="western">
    <w:name w:val="western"/>
    <w:basedOn w:val="Normal"/>
    <w:rsid w:val="004C028B"/>
    <w:pPr>
      <w:spacing w:before="144" w:after="288" w:line="240" w:lineRule="auto"/>
    </w:pPr>
    <w:rPr>
      <w:rFonts w:ascii="Times New Roman" w:eastAsia="Times New Roman" w:hAnsi="Times New Roman" w:cs="Times New Roman"/>
      <w:sz w:val="24"/>
      <w:szCs w:val="24"/>
      <w:lang w:val="en-US"/>
    </w:rPr>
  </w:style>
  <w:style w:type="paragraph" w:customStyle="1" w:styleId="Default">
    <w:name w:val="Default"/>
    <w:rsid w:val="004C028B"/>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JUDGMENTNUMBERED">
    <w:name w:val="JUDGMENT NUMBERED"/>
    <w:basedOn w:val="Normal"/>
    <w:next w:val="Normal"/>
    <w:link w:val="JUDGMENTNUMBEREDChar"/>
    <w:qFormat/>
    <w:rsid w:val="004C028B"/>
    <w:pPr>
      <w:numPr>
        <w:numId w:val="2"/>
      </w:numPr>
      <w:spacing w:after="0" w:line="360" w:lineRule="auto"/>
      <w:jc w:val="both"/>
    </w:pPr>
    <w:rPr>
      <w:rFonts w:ascii="Times New Roman" w:eastAsia="Times New Roman" w:hAnsi="Times New Roman" w:cs="Times New Roman"/>
      <w:sz w:val="26"/>
    </w:rPr>
  </w:style>
  <w:style w:type="character" w:customStyle="1" w:styleId="JUDGMENTNUMBEREDChar">
    <w:name w:val="JUDGMENT NUMBERED Char"/>
    <w:link w:val="JUDGMENTNUMBERED"/>
    <w:locked/>
    <w:rsid w:val="004C028B"/>
    <w:rPr>
      <w:rFonts w:ascii="Times New Roman" w:eastAsia="Times New Roman" w:hAnsi="Times New Roman" w:cs="Times New Roman"/>
      <w:sz w:val="26"/>
    </w:rPr>
  </w:style>
  <w:style w:type="character" w:customStyle="1" w:styleId="Heading2Char">
    <w:name w:val="Heading 2 Char"/>
    <w:basedOn w:val="DefaultParagraphFont"/>
    <w:link w:val="Heading2"/>
    <w:uiPriority w:val="9"/>
    <w:rsid w:val="00AB65F1"/>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2A625A"/>
    <w:pPr>
      <w:spacing w:after="0" w:line="240" w:lineRule="auto"/>
    </w:pPr>
  </w:style>
  <w:style w:type="paragraph" w:styleId="BodyText">
    <w:name w:val="Body Text"/>
    <w:basedOn w:val="Normal"/>
    <w:link w:val="BodyTextChar"/>
    <w:uiPriority w:val="99"/>
    <w:semiHidden/>
    <w:unhideWhenUsed/>
    <w:rsid w:val="00D45877"/>
    <w:pPr>
      <w:spacing w:after="120"/>
    </w:pPr>
  </w:style>
  <w:style w:type="character" w:customStyle="1" w:styleId="BodyTextChar">
    <w:name w:val="Body Text Char"/>
    <w:basedOn w:val="DefaultParagraphFont"/>
    <w:link w:val="BodyText"/>
    <w:uiPriority w:val="99"/>
    <w:semiHidden/>
    <w:rsid w:val="00D45877"/>
  </w:style>
  <w:style w:type="character" w:customStyle="1" w:styleId="Heading3Char">
    <w:name w:val="Heading 3 Char"/>
    <w:basedOn w:val="DefaultParagraphFont"/>
    <w:link w:val="Heading3"/>
    <w:uiPriority w:val="9"/>
    <w:rsid w:val="0001217E"/>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E60C86"/>
    <w:rPr>
      <w:color w:val="808080"/>
    </w:rPr>
  </w:style>
  <w:style w:type="character" w:styleId="FollowedHyperlink">
    <w:name w:val="FollowedHyperlink"/>
    <w:basedOn w:val="DefaultParagraphFont"/>
    <w:uiPriority w:val="99"/>
    <w:semiHidden/>
    <w:unhideWhenUsed/>
    <w:rsid w:val="009403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3510">
      <w:bodyDiv w:val="1"/>
      <w:marLeft w:val="0"/>
      <w:marRight w:val="0"/>
      <w:marTop w:val="0"/>
      <w:marBottom w:val="0"/>
      <w:divBdr>
        <w:top w:val="none" w:sz="0" w:space="0" w:color="auto"/>
        <w:left w:val="none" w:sz="0" w:space="0" w:color="auto"/>
        <w:bottom w:val="none" w:sz="0" w:space="0" w:color="auto"/>
        <w:right w:val="none" w:sz="0" w:space="0" w:color="auto"/>
      </w:divBdr>
    </w:div>
    <w:div w:id="143664376">
      <w:bodyDiv w:val="1"/>
      <w:marLeft w:val="0"/>
      <w:marRight w:val="0"/>
      <w:marTop w:val="0"/>
      <w:marBottom w:val="0"/>
      <w:divBdr>
        <w:top w:val="none" w:sz="0" w:space="0" w:color="auto"/>
        <w:left w:val="none" w:sz="0" w:space="0" w:color="auto"/>
        <w:bottom w:val="none" w:sz="0" w:space="0" w:color="auto"/>
        <w:right w:val="none" w:sz="0" w:space="0" w:color="auto"/>
      </w:divBdr>
    </w:div>
    <w:div w:id="191696596">
      <w:bodyDiv w:val="1"/>
      <w:marLeft w:val="0"/>
      <w:marRight w:val="0"/>
      <w:marTop w:val="0"/>
      <w:marBottom w:val="0"/>
      <w:divBdr>
        <w:top w:val="none" w:sz="0" w:space="0" w:color="auto"/>
        <w:left w:val="none" w:sz="0" w:space="0" w:color="auto"/>
        <w:bottom w:val="none" w:sz="0" w:space="0" w:color="auto"/>
        <w:right w:val="none" w:sz="0" w:space="0" w:color="auto"/>
      </w:divBdr>
    </w:div>
    <w:div w:id="198056297">
      <w:bodyDiv w:val="1"/>
      <w:marLeft w:val="0"/>
      <w:marRight w:val="0"/>
      <w:marTop w:val="0"/>
      <w:marBottom w:val="0"/>
      <w:divBdr>
        <w:top w:val="none" w:sz="0" w:space="0" w:color="auto"/>
        <w:left w:val="none" w:sz="0" w:space="0" w:color="auto"/>
        <w:bottom w:val="none" w:sz="0" w:space="0" w:color="auto"/>
        <w:right w:val="none" w:sz="0" w:space="0" w:color="auto"/>
      </w:divBdr>
    </w:div>
    <w:div w:id="256445050">
      <w:bodyDiv w:val="1"/>
      <w:marLeft w:val="0"/>
      <w:marRight w:val="0"/>
      <w:marTop w:val="0"/>
      <w:marBottom w:val="0"/>
      <w:divBdr>
        <w:top w:val="none" w:sz="0" w:space="0" w:color="auto"/>
        <w:left w:val="none" w:sz="0" w:space="0" w:color="auto"/>
        <w:bottom w:val="none" w:sz="0" w:space="0" w:color="auto"/>
        <w:right w:val="none" w:sz="0" w:space="0" w:color="auto"/>
      </w:divBdr>
    </w:div>
    <w:div w:id="267078406">
      <w:bodyDiv w:val="1"/>
      <w:marLeft w:val="0"/>
      <w:marRight w:val="0"/>
      <w:marTop w:val="0"/>
      <w:marBottom w:val="0"/>
      <w:divBdr>
        <w:top w:val="none" w:sz="0" w:space="0" w:color="auto"/>
        <w:left w:val="none" w:sz="0" w:space="0" w:color="auto"/>
        <w:bottom w:val="none" w:sz="0" w:space="0" w:color="auto"/>
        <w:right w:val="none" w:sz="0" w:space="0" w:color="auto"/>
      </w:divBdr>
      <w:divsChild>
        <w:div w:id="207967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240606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6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3220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8909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01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74212107">
      <w:bodyDiv w:val="1"/>
      <w:marLeft w:val="0"/>
      <w:marRight w:val="0"/>
      <w:marTop w:val="0"/>
      <w:marBottom w:val="0"/>
      <w:divBdr>
        <w:top w:val="none" w:sz="0" w:space="0" w:color="auto"/>
        <w:left w:val="none" w:sz="0" w:space="0" w:color="auto"/>
        <w:bottom w:val="none" w:sz="0" w:space="0" w:color="auto"/>
        <w:right w:val="none" w:sz="0" w:space="0" w:color="auto"/>
      </w:divBdr>
    </w:div>
    <w:div w:id="313293001">
      <w:bodyDiv w:val="1"/>
      <w:marLeft w:val="0"/>
      <w:marRight w:val="0"/>
      <w:marTop w:val="0"/>
      <w:marBottom w:val="0"/>
      <w:divBdr>
        <w:top w:val="none" w:sz="0" w:space="0" w:color="auto"/>
        <w:left w:val="none" w:sz="0" w:space="0" w:color="auto"/>
        <w:bottom w:val="none" w:sz="0" w:space="0" w:color="auto"/>
        <w:right w:val="none" w:sz="0" w:space="0" w:color="auto"/>
      </w:divBdr>
    </w:div>
    <w:div w:id="361637139">
      <w:bodyDiv w:val="1"/>
      <w:marLeft w:val="0"/>
      <w:marRight w:val="0"/>
      <w:marTop w:val="0"/>
      <w:marBottom w:val="0"/>
      <w:divBdr>
        <w:top w:val="none" w:sz="0" w:space="0" w:color="auto"/>
        <w:left w:val="none" w:sz="0" w:space="0" w:color="auto"/>
        <w:bottom w:val="none" w:sz="0" w:space="0" w:color="auto"/>
        <w:right w:val="none" w:sz="0" w:space="0" w:color="auto"/>
      </w:divBdr>
    </w:div>
    <w:div w:id="661390136">
      <w:bodyDiv w:val="1"/>
      <w:marLeft w:val="0"/>
      <w:marRight w:val="0"/>
      <w:marTop w:val="0"/>
      <w:marBottom w:val="0"/>
      <w:divBdr>
        <w:top w:val="none" w:sz="0" w:space="0" w:color="auto"/>
        <w:left w:val="none" w:sz="0" w:space="0" w:color="auto"/>
        <w:bottom w:val="none" w:sz="0" w:space="0" w:color="auto"/>
        <w:right w:val="none" w:sz="0" w:space="0" w:color="auto"/>
      </w:divBdr>
    </w:div>
    <w:div w:id="802888514">
      <w:bodyDiv w:val="1"/>
      <w:marLeft w:val="0"/>
      <w:marRight w:val="0"/>
      <w:marTop w:val="0"/>
      <w:marBottom w:val="0"/>
      <w:divBdr>
        <w:top w:val="none" w:sz="0" w:space="0" w:color="auto"/>
        <w:left w:val="none" w:sz="0" w:space="0" w:color="auto"/>
        <w:bottom w:val="none" w:sz="0" w:space="0" w:color="auto"/>
        <w:right w:val="none" w:sz="0" w:space="0" w:color="auto"/>
      </w:divBdr>
    </w:div>
    <w:div w:id="924610081">
      <w:bodyDiv w:val="1"/>
      <w:marLeft w:val="360"/>
      <w:marRight w:val="360"/>
      <w:marTop w:val="0"/>
      <w:marBottom w:val="0"/>
      <w:divBdr>
        <w:top w:val="none" w:sz="0" w:space="0" w:color="auto"/>
        <w:left w:val="none" w:sz="0" w:space="0" w:color="auto"/>
        <w:bottom w:val="none" w:sz="0" w:space="0" w:color="auto"/>
        <w:right w:val="none" w:sz="0" w:space="0" w:color="auto"/>
      </w:divBdr>
      <w:divsChild>
        <w:div w:id="143158428">
          <w:marLeft w:val="0"/>
          <w:marRight w:val="0"/>
          <w:marTop w:val="120"/>
          <w:marBottom w:val="0"/>
          <w:divBdr>
            <w:top w:val="none" w:sz="0" w:space="0" w:color="auto"/>
            <w:left w:val="none" w:sz="0" w:space="0" w:color="auto"/>
            <w:bottom w:val="none" w:sz="0" w:space="0" w:color="auto"/>
            <w:right w:val="none" w:sz="0" w:space="0" w:color="auto"/>
          </w:divBdr>
        </w:div>
      </w:divsChild>
    </w:div>
    <w:div w:id="993223259">
      <w:bodyDiv w:val="1"/>
      <w:marLeft w:val="0"/>
      <w:marRight w:val="0"/>
      <w:marTop w:val="0"/>
      <w:marBottom w:val="0"/>
      <w:divBdr>
        <w:top w:val="none" w:sz="0" w:space="0" w:color="auto"/>
        <w:left w:val="none" w:sz="0" w:space="0" w:color="auto"/>
        <w:bottom w:val="none" w:sz="0" w:space="0" w:color="auto"/>
        <w:right w:val="none" w:sz="0" w:space="0" w:color="auto"/>
      </w:divBdr>
      <w:divsChild>
        <w:div w:id="558439047">
          <w:marLeft w:val="0"/>
          <w:marRight w:val="0"/>
          <w:marTop w:val="0"/>
          <w:marBottom w:val="225"/>
          <w:divBdr>
            <w:top w:val="single" w:sz="24" w:space="0" w:color="auto"/>
            <w:left w:val="single" w:sz="24" w:space="0" w:color="auto"/>
            <w:bottom w:val="single" w:sz="36" w:space="0" w:color="003300"/>
            <w:right w:val="single" w:sz="24" w:space="0" w:color="auto"/>
          </w:divBdr>
        </w:div>
        <w:div w:id="601572428">
          <w:marLeft w:val="0"/>
          <w:marRight w:val="0"/>
          <w:marTop w:val="0"/>
          <w:marBottom w:val="0"/>
          <w:divBdr>
            <w:top w:val="none" w:sz="0" w:space="0" w:color="auto"/>
            <w:left w:val="none" w:sz="0" w:space="0" w:color="auto"/>
            <w:bottom w:val="none" w:sz="0" w:space="0" w:color="auto"/>
            <w:right w:val="none" w:sz="0" w:space="0" w:color="auto"/>
          </w:divBdr>
          <w:divsChild>
            <w:div w:id="1484151982">
              <w:marLeft w:val="0"/>
              <w:marRight w:val="0"/>
              <w:marTop w:val="0"/>
              <w:marBottom w:val="0"/>
              <w:divBdr>
                <w:top w:val="none" w:sz="0" w:space="0" w:color="auto"/>
                <w:left w:val="none" w:sz="0" w:space="0" w:color="auto"/>
                <w:bottom w:val="none" w:sz="0" w:space="0" w:color="auto"/>
                <w:right w:val="none" w:sz="0" w:space="0" w:color="auto"/>
              </w:divBdr>
              <w:divsChild>
                <w:div w:id="1496646355">
                  <w:marLeft w:val="0"/>
                  <w:marRight w:val="0"/>
                  <w:marTop w:val="0"/>
                  <w:marBottom w:val="0"/>
                  <w:divBdr>
                    <w:top w:val="none" w:sz="0" w:space="0" w:color="auto"/>
                    <w:left w:val="none" w:sz="0" w:space="0" w:color="auto"/>
                    <w:bottom w:val="none" w:sz="0" w:space="0" w:color="auto"/>
                    <w:right w:val="none" w:sz="0" w:space="0" w:color="auto"/>
                  </w:divBdr>
                  <w:divsChild>
                    <w:div w:id="134877641">
                      <w:marLeft w:val="0"/>
                      <w:marRight w:val="0"/>
                      <w:marTop w:val="0"/>
                      <w:marBottom w:val="0"/>
                      <w:divBdr>
                        <w:top w:val="none" w:sz="0" w:space="0" w:color="auto"/>
                        <w:left w:val="none" w:sz="0" w:space="0" w:color="auto"/>
                        <w:bottom w:val="none" w:sz="0" w:space="0" w:color="auto"/>
                        <w:right w:val="none" w:sz="0" w:space="0" w:color="auto"/>
                      </w:divBdr>
                    </w:div>
                    <w:div w:id="1280603049">
                      <w:blockQuote w:val="1"/>
                      <w:marLeft w:val="720"/>
                      <w:marRight w:val="720"/>
                      <w:marTop w:val="100"/>
                      <w:marBottom w:val="100"/>
                      <w:divBdr>
                        <w:top w:val="none" w:sz="0" w:space="0" w:color="auto"/>
                        <w:left w:val="none" w:sz="0" w:space="0" w:color="auto"/>
                        <w:bottom w:val="none" w:sz="0" w:space="0" w:color="auto"/>
                        <w:right w:val="none" w:sz="0" w:space="0" w:color="auto"/>
                      </w:divBdr>
                    </w:div>
                    <w:div w:id="937105031">
                      <w:blockQuote w:val="1"/>
                      <w:marLeft w:val="720"/>
                      <w:marRight w:val="720"/>
                      <w:marTop w:val="100"/>
                      <w:marBottom w:val="100"/>
                      <w:divBdr>
                        <w:top w:val="none" w:sz="0" w:space="0" w:color="auto"/>
                        <w:left w:val="none" w:sz="0" w:space="0" w:color="auto"/>
                        <w:bottom w:val="none" w:sz="0" w:space="0" w:color="auto"/>
                        <w:right w:val="none" w:sz="0" w:space="0" w:color="auto"/>
                      </w:divBdr>
                    </w:div>
                    <w:div w:id="968825432">
                      <w:blockQuote w:val="1"/>
                      <w:marLeft w:val="720"/>
                      <w:marRight w:val="720"/>
                      <w:marTop w:val="100"/>
                      <w:marBottom w:val="100"/>
                      <w:divBdr>
                        <w:top w:val="none" w:sz="0" w:space="0" w:color="auto"/>
                        <w:left w:val="none" w:sz="0" w:space="0" w:color="auto"/>
                        <w:bottom w:val="none" w:sz="0" w:space="0" w:color="auto"/>
                        <w:right w:val="none" w:sz="0" w:space="0" w:color="auto"/>
                      </w:divBdr>
                    </w:div>
                    <w:div w:id="63498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26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36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292029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05480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04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50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92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166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61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05134792">
      <w:bodyDiv w:val="1"/>
      <w:marLeft w:val="0"/>
      <w:marRight w:val="0"/>
      <w:marTop w:val="0"/>
      <w:marBottom w:val="0"/>
      <w:divBdr>
        <w:top w:val="none" w:sz="0" w:space="0" w:color="auto"/>
        <w:left w:val="none" w:sz="0" w:space="0" w:color="auto"/>
        <w:bottom w:val="none" w:sz="0" w:space="0" w:color="auto"/>
        <w:right w:val="none" w:sz="0" w:space="0" w:color="auto"/>
      </w:divBdr>
    </w:div>
    <w:div w:id="1074232680">
      <w:bodyDiv w:val="1"/>
      <w:marLeft w:val="0"/>
      <w:marRight w:val="0"/>
      <w:marTop w:val="0"/>
      <w:marBottom w:val="0"/>
      <w:divBdr>
        <w:top w:val="none" w:sz="0" w:space="0" w:color="auto"/>
        <w:left w:val="none" w:sz="0" w:space="0" w:color="auto"/>
        <w:bottom w:val="none" w:sz="0" w:space="0" w:color="auto"/>
        <w:right w:val="none" w:sz="0" w:space="0" w:color="auto"/>
      </w:divBdr>
      <w:divsChild>
        <w:div w:id="1539928827">
          <w:marLeft w:val="0"/>
          <w:marRight w:val="0"/>
          <w:marTop w:val="144"/>
          <w:marBottom w:val="24"/>
          <w:divBdr>
            <w:top w:val="none" w:sz="0" w:space="0" w:color="auto"/>
            <w:left w:val="none" w:sz="0" w:space="0" w:color="auto"/>
            <w:bottom w:val="none" w:sz="0" w:space="0" w:color="auto"/>
            <w:right w:val="none" w:sz="0" w:space="0" w:color="auto"/>
          </w:divBdr>
        </w:div>
      </w:divsChild>
    </w:div>
    <w:div w:id="1119715081">
      <w:bodyDiv w:val="1"/>
      <w:marLeft w:val="0"/>
      <w:marRight w:val="0"/>
      <w:marTop w:val="0"/>
      <w:marBottom w:val="0"/>
      <w:divBdr>
        <w:top w:val="none" w:sz="0" w:space="0" w:color="auto"/>
        <w:left w:val="none" w:sz="0" w:space="0" w:color="auto"/>
        <w:bottom w:val="none" w:sz="0" w:space="0" w:color="auto"/>
        <w:right w:val="none" w:sz="0" w:space="0" w:color="auto"/>
      </w:divBdr>
    </w:div>
    <w:div w:id="1183127523">
      <w:bodyDiv w:val="1"/>
      <w:marLeft w:val="0"/>
      <w:marRight w:val="0"/>
      <w:marTop w:val="0"/>
      <w:marBottom w:val="0"/>
      <w:divBdr>
        <w:top w:val="none" w:sz="0" w:space="0" w:color="auto"/>
        <w:left w:val="none" w:sz="0" w:space="0" w:color="auto"/>
        <w:bottom w:val="none" w:sz="0" w:space="0" w:color="auto"/>
        <w:right w:val="none" w:sz="0" w:space="0" w:color="auto"/>
      </w:divBdr>
    </w:div>
    <w:div w:id="1304045396">
      <w:bodyDiv w:val="1"/>
      <w:marLeft w:val="0"/>
      <w:marRight w:val="0"/>
      <w:marTop w:val="0"/>
      <w:marBottom w:val="0"/>
      <w:divBdr>
        <w:top w:val="none" w:sz="0" w:space="0" w:color="auto"/>
        <w:left w:val="none" w:sz="0" w:space="0" w:color="auto"/>
        <w:bottom w:val="none" w:sz="0" w:space="0" w:color="auto"/>
        <w:right w:val="none" w:sz="0" w:space="0" w:color="auto"/>
      </w:divBdr>
    </w:div>
    <w:div w:id="1310086891">
      <w:bodyDiv w:val="1"/>
      <w:marLeft w:val="0"/>
      <w:marRight w:val="0"/>
      <w:marTop w:val="0"/>
      <w:marBottom w:val="0"/>
      <w:divBdr>
        <w:top w:val="none" w:sz="0" w:space="0" w:color="auto"/>
        <w:left w:val="none" w:sz="0" w:space="0" w:color="auto"/>
        <w:bottom w:val="none" w:sz="0" w:space="0" w:color="auto"/>
        <w:right w:val="none" w:sz="0" w:space="0" w:color="auto"/>
      </w:divBdr>
    </w:div>
    <w:div w:id="1392852285">
      <w:bodyDiv w:val="1"/>
      <w:marLeft w:val="0"/>
      <w:marRight w:val="0"/>
      <w:marTop w:val="0"/>
      <w:marBottom w:val="0"/>
      <w:divBdr>
        <w:top w:val="none" w:sz="0" w:space="0" w:color="auto"/>
        <w:left w:val="none" w:sz="0" w:space="0" w:color="auto"/>
        <w:bottom w:val="none" w:sz="0" w:space="0" w:color="auto"/>
        <w:right w:val="none" w:sz="0" w:space="0" w:color="auto"/>
      </w:divBdr>
    </w:div>
    <w:div w:id="1408769814">
      <w:bodyDiv w:val="1"/>
      <w:marLeft w:val="0"/>
      <w:marRight w:val="0"/>
      <w:marTop w:val="0"/>
      <w:marBottom w:val="0"/>
      <w:divBdr>
        <w:top w:val="none" w:sz="0" w:space="0" w:color="auto"/>
        <w:left w:val="none" w:sz="0" w:space="0" w:color="auto"/>
        <w:bottom w:val="none" w:sz="0" w:space="0" w:color="auto"/>
        <w:right w:val="none" w:sz="0" w:space="0" w:color="auto"/>
      </w:divBdr>
    </w:div>
    <w:div w:id="1431582862">
      <w:bodyDiv w:val="1"/>
      <w:marLeft w:val="0"/>
      <w:marRight w:val="0"/>
      <w:marTop w:val="0"/>
      <w:marBottom w:val="0"/>
      <w:divBdr>
        <w:top w:val="none" w:sz="0" w:space="0" w:color="auto"/>
        <w:left w:val="none" w:sz="0" w:space="0" w:color="auto"/>
        <w:bottom w:val="none" w:sz="0" w:space="0" w:color="auto"/>
        <w:right w:val="none" w:sz="0" w:space="0" w:color="auto"/>
      </w:divBdr>
    </w:div>
    <w:div w:id="1556812157">
      <w:bodyDiv w:val="1"/>
      <w:marLeft w:val="0"/>
      <w:marRight w:val="0"/>
      <w:marTop w:val="0"/>
      <w:marBottom w:val="0"/>
      <w:divBdr>
        <w:top w:val="none" w:sz="0" w:space="0" w:color="auto"/>
        <w:left w:val="none" w:sz="0" w:space="0" w:color="auto"/>
        <w:bottom w:val="none" w:sz="0" w:space="0" w:color="auto"/>
        <w:right w:val="none" w:sz="0" w:space="0" w:color="auto"/>
      </w:divBdr>
    </w:div>
    <w:div w:id="1594389107">
      <w:bodyDiv w:val="1"/>
      <w:marLeft w:val="0"/>
      <w:marRight w:val="0"/>
      <w:marTop w:val="0"/>
      <w:marBottom w:val="0"/>
      <w:divBdr>
        <w:top w:val="none" w:sz="0" w:space="0" w:color="auto"/>
        <w:left w:val="none" w:sz="0" w:space="0" w:color="auto"/>
        <w:bottom w:val="none" w:sz="0" w:space="0" w:color="auto"/>
        <w:right w:val="none" w:sz="0" w:space="0" w:color="auto"/>
      </w:divBdr>
    </w:div>
    <w:div w:id="1701003758">
      <w:bodyDiv w:val="1"/>
      <w:marLeft w:val="0"/>
      <w:marRight w:val="0"/>
      <w:marTop w:val="0"/>
      <w:marBottom w:val="0"/>
      <w:divBdr>
        <w:top w:val="none" w:sz="0" w:space="0" w:color="auto"/>
        <w:left w:val="none" w:sz="0" w:space="0" w:color="auto"/>
        <w:bottom w:val="none" w:sz="0" w:space="0" w:color="auto"/>
        <w:right w:val="none" w:sz="0" w:space="0" w:color="auto"/>
      </w:divBdr>
    </w:div>
    <w:div w:id="1714108755">
      <w:bodyDiv w:val="1"/>
      <w:marLeft w:val="0"/>
      <w:marRight w:val="0"/>
      <w:marTop w:val="0"/>
      <w:marBottom w:val="0"/>
      <w:divBdr>
        <w:top w:val="none" w:sz="0" w:space="0" w:color="auto"/>
        <w:left w:val="none" w:sz="0" w:space="0" w:color="auto"/>
        <w:bottom w:val="none" w:sz="0" w:space="0" w:color="auto"/>
        <w:right w:val="none" w:sz="0" w:space="0" w:color="auto"/>
      </w:divBdr>
    </w:div>
    <w:div w:id="1723286409">
      <w:bodyDiv w:val="1"/>
      <w:marLeft w:val="0"/>
      <w:marRight w:val="0"/>
      <w:marTop w:val="0"/>
      <w:marBottom w:val="0"/>
      <w:divBdr>
        <w:top w:val="none" w:sz="0" w:space="0" w:color="auto"/>
        <w:left w:val="none" w:sz="0" w:space="0" w:color="auto"/>
        <w:bottom w:val="none" w:sz="0" w:space="0" w:color="auto"/>
        <w:right w:val="none" w:sz="0" w:space="0" w:color="auto"/>
      </w:divBdr>
    </w:div>
    <w:div w:id="1743286455">
      <w:bodyDiv w:val="1"/>
      <w:marLeft w:val="0"/>
      <w:marRight w:val="0"/>
      <w:marTop w:val="0"/>
      <w:marBottom w:val="0"/>
      <w:divBdr>
        <w:top w:val="none" w:sz="0" w:space="0" w:color="auto"/>
        <w:left w:val="none" w:sz="0" w:space="0" w:color="auto"/>
        <w:bottom w:val="none" w:sz="0" w:space="0" w:color="auto"/>
        <w:right w:val="none" w:sz="0" w:space="0" w:color="auto"/>
      </w:divBdr>
    </w:div>
    <w:div w:id="1789081276">
      <w:bodyDiv w:val="1"/>
      <w:marLeft w:val="0"/>
      <w:marRight w:val="0"/>
      <w:marTop w:val="0"/>
      <w:marBottom w:val="0"/>
      <w:divBdr>
        <w:top w:val="none" w:sz="0" w:space="0" w:color="auto"/>
        <w:left w:val="none" w:sz="0" w:space="0" w:color="auto"/>
        <w:bottom w:val="none" w:sz="0" w:space="0" w:color="auto"/>
        <w:right w:val="none" w:sz="0" w:space="0" w:color="auto"/>
      </w:divBdr>
    </w:div>
    <w:div w:id="1822577377">
      <w:bodyDiv w:val="1"/>
      <w:marLeft w:val="0"/>
      <w:marRight w:val="0"/>
      <w:marTop w:val="0"/>
      <w:marBottom w:val="0"/>
      <w:divBdr>
        <w:top w:val="none" w:sz="0" w:space="0" w:color="auto"/>
        <w:left w:val="none" w:sz="0" w:space="0" w:color="auto"/>
        <w:bottom w:val="none" w:sz="0" w:space="0" w:color="auto"/>
        <w:right w:val="none" w:sz="0" w:space="0" w:color="auto"/>
      </w:divBdr>
    </w:div>
    <w:div w:id="1829594151">
      <w:bodyDiv w:val="1"/>
      <w:marLeft w:val="0"/>
      <w:marRight w:val="0"/>
      <w:marTop w:val="0"/>
      <w:marBottom w:val="0"/>
      <w:divBdr>
        <w:top w:val="none" w:sz="0" w:space="0" w:color="auto"/>
        <w:left w:val="none" w:sz="0" w:space="0" w:color="auto"/>
        <w:bottom w:val="none" w:sz="0" w:space="0" w:color="auto"/>
        <w:right w:val="none" w:sz="0" w:space="0" w:color="auto"/>
      </w:divBdr>
    </w:div>
    <w:div w:id="1999183779">
      <w:bodyDiv w:val="1"/>
      <w:marLeft w:val="0"/>
      <w:marRight w:val="0"/>
      <w:marTop w:val="0"/>
      <w:marBottom w:val="0"/>
      <w:divBdr>
        <w:top w:val="none" w:sz="0" w:space="0" w:color="auto"/>
        <w:left w:val="none" w:sz="0" w:space="0" w:color="auto"/>
        <w:bottom w:val="none" w:sz="0" w:space="0" w:color="auto"/>
        <w:right w:val="none" w:sz="0" w:space="0" w:color="auto"/>
      </w:divBdr>
    </w:div>
    <w:div w:id="2012833587">
      <w:bodyDiv w:val="1"/>
      <w:marLeft w:val="0"/>
      <w:marRight w:val="0"/>
      <w:marTop w:val="0"/>
      <w:marBottom w:val="0"/>
      <w:divBdr>
        <w:top w:val="none" w:sz="0" w:space="0" w:color="auto"/>
        <w:left w:val="none" w:sz="0" w:space="0" w:color="auto"/>
        <w:bottom w:val="none" w:sz="0" w:space="0" w:color="auto"/>
        <w:right w:val="none" w:sz="0" w:space="0" w:color="auto"/>
      </w:divBdr>
    </w:div>
    <w:div w:id="2028872946">
      <w:bodyDiv w:val="1"/>
      <w:marLeft w:val="0"/>
      <w:marRight w:val="0"/>
      <w:marTop w:val="0"/>
      <w:marBottom w:val="0"/>
      <w:divBdr>
        <w:top w:val="none" w:sz="0" w:space="0" w:color="auto"/>
        <w:left w:val="none" w:sz="0" w:space="0" w:color="auto"/>
        <w:bottom w:val="none" w:sz="0" w:space="0" w:color="auto"/>
        <w:right w:val="none" w:sz="0" w:space="0" w:color="auto"/>
      </w:divBdr>
    </w:div>
    <w:div w:id="2037995418">
      <w:bodyDiv w:val="1"/>
      <w:marLeft w:val="0"/>
      <w:marRight w:val="0"/>
      <w:marTop w:val="0"/>
      <w:marBottom w:val="0"/>
      <w:divBdr>
        <w:top w:val="none" w:sz="0" w:space="0" w:color="auto"/>
        <w:left w:val="none" w:sz="0" w:space="0" w:color="auto"/>
        <w:bottom w:val="none" w:sz="0" w:space="0" w:color="auto"/>
        <w:right w:val="none" w:sz="0" w:space="0" w:color="auto"/>
      </w:divBdr>
    </w:div>
    <w:div w:id="209180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flii.org/cgi-bin/LawCite?cit=2016%20%282%29%20SA%203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lii.org/cgi-bin/LawCite?cit=%5b2015%5d%20ZASCA%2020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flii.org/za/legis/consol_act/cpa1977188/" TargetMode="External"/><Relationship Id="rId4" Type="http://schemas.openxmlformats.org/officeDocument/2006/relationships/settings" Target="settings.xml"/><Relationship Id="rId9" Type="http://schemas.openxmlformats.org/officeDocument/2006/relationships/hyperlink" Target="http://www.saflii.org/za/legis/consol_act/cpa197718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0BB49-94C7-4602-87DF-1A940FFF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10277</Words>
  <Characters>58579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Tshiqi ZLL - Judge</dc:creator>
  <cp:lastModifiedBy>Ayanda Mdletshe</cp:lastModifiedBy>
  <cp:revision>2</cp:revision>
  <cp:lastPrinted>2021-04-29T08:32:00Z</cp:lastPrinted>
  <dcterms:created xsi:type="dcterms:W3CDTF">2021-04-30T08:38:00Z</dcterms:created>
  <dcterms:modified xsi:type="dcterms:W3CDTF">2021-04-30T08:38:00Z</dcterms:modified>
</cp:coreProperties>
</file>