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A8B4E" w14:textId="77777777" w:rsidR="0017664F" w:rsidRPr="00243D52" w:rsidRDefault="0017664F" w:rsidP="0017664F">
      <w:pPr>
        <w:rPr>
          <w:b/>
          <w:bCs/>
          <w:sz w:val="28"/>
          <w:szCs w:val="28"/>
        </w:rPr>
      </w:pPr>
    </w:p>
    <w:p w14:paraId="7BFF04D3" w14:textId="77777777" w:rsidR="0017664F" w:rsidRPr="00243D52" w:rsidRDefault="0017664F" w:rsidP="0017664F">
      <w:pPr>
        <w:jc w:val="center"/>
        <w:rPr>
          <w:b/>
          <w:bCs/>
          <w:sz w:val="28"/>
          <w:szCs w:val="28"/>
        </w:rPr>
      </w:pPr>
    </w:p>
    <w:p w14:paraId="01691C86" w14:textId="77777777" w:rsidR="0017664F" w:rsidRDefault="0017664F" w:rsidP="0017664F">
      <w:pPr>
        <w:jc w:val="center"/>
        <w:rPr>
          <w:b/>
          <w:bCs/>
          <w:sz w:val="28"/>
          <w:szCs w:val="28"/>
        </w:rPr>
      </w:pPr>
      <w:r w:rsidRPr="00243D52">
        <w:rPr>
          <w:noProof/>
          <w:lang w:eastAsia="en-ZA"/>
        </w:rPr>
        <w:drawing>
          <wp:anchor distT="0" distB="0" distL="114300" distR="114300" simplePos="0" relativeHeight="251659264" behindDoc="0" locked="0" layoutInCell="1" allowOverlap="1" wp14:anchorId="7683925A" wp14:editId="309279DD">
            <wp:simplePos x="0" y="0"/>
            <wp:positionH relativeFrom="column">
              <wp:align>center</wp:align>
            </wp:positionH>
            <wp:positionV relativeFrom="paragraph">
              <wp:posOffset>-683895</wp:posOffset>
            </wp:positionV>
            <wp:extent cx="800100" cy="914400"/>
            <wp:effectExtent l="0" t="0" r="0" b="0"/>
            <wp:wrapSquare wrapText="bothSides"/>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pic:spPr>
                </pic:pic>
              </a:graphicData>
            </a:graphic>
            <wp14:sizeRelH relativeFrom="page">
              <wp14:pctWidth>0</wp14:pctWidth>
            </wp14:sizeRelH>
            <wp14:sizeRelV relativeFrom="page">
              <wp14:pctHeight>0</wp14:pctHeight>
            </wp14:sizeRelV>
          </wp:anchor>
        </w:drawing>
      </w:r>
    </w:p>
    <w:p w14:paraId="3877FC8C" w14:textId="77777777" w:rsidR="0017664F" w:rsidRPr="00D2258A" w:rsidRDefault="0017664F" w:rsidP="0017664F">
      <w:pPr>
        <w:spacing w:after="0" w:line="360" w:lineRule="auto"/>
        <w:jc w:val="center"/>
        <w:rPr>
          <w:b/>
          <w:bCs/>
          <w:sz w:val="16"/>
          <w:szCs w:val="16"/>
        </w:rPr>
      </w:pPr>
    </w:p>
    <w:p w14:paraId="6E2065B8" w14:textId="77777777" w:rsidR="0017664F" w:rsidRPr="001F220F" w:rsidRDefault="0017664F" w:rsidP="0017664F">
      <w:pPr>
        <w:spacing w:after="0" w:line="360" w:lineRule="auto"/>
        <w:jc w:val="center"/>
        <w:rPr>
          <w:rFonts w:ascii="Arial" w:hAnsi="Arial" w:cs="Arial"/>
          <w:b/>
          <w:bCs/>
          <w:sz w:val="24"/>
          <w:szCs w:val="24"/>
        </w:rPr>
      </w:pPr>
      <w:r w:rsidRPr="001F220F">
        <w:rPr>
          <w:rFonts w:ascii="Arial" w:hAnsi="Arial" w:cs="Arial"/>
          <w:b/>
          <w:bCs/>
          <w:sz w:val="24"/>
          <w:szCs w:val="24"/>
        </w:rPr>
        <w:t>THE SUPREME COURT OF APPEAL OF SOUTH AFRICA</w:t>
      </w:r>
    </w:p>
    <w:p w14:paraId="6BEB277F" w14:textId="77777777" w:rsidR="0017664F" w:rsidRDefault="0017664F" w:rsidP="0017664F">
      <w:pPr>
        <w:pStyle w:val="Heading3"/>
        <w:jc w:val="center"/>
        <w:rPr>
          <w:sz w:val="24"/>
        </w:rPr>
      </w:pPr>
      <w:r w:rsidRPr="001F220F">
        <w:rPr>
          <w:b/>
          <w:i w:val="0"/>
          <w:sz w:val="24"/>
        </w:rPr>
        <w:t>JUDGMENT</w:t>
      </w:r>
      <w:r w:rsidRPr="001F220F">
        <w:rPr>
          <w:sz w:val="24"/>
        </w:rPr>
        <w:tab/>
      </w:r>
    </w:p>
    <w:p w14:paraId="37572375" w14:textId="77777777" w:rsidR="0017664F" w:rsidRPr="006072D0" w:rsidRDefault="0017664F" w:rsidP="0017664F">
      <w:pPr>
        <w:rPr>
          <w:lang w:val="en-GB"/>
        </w:rPr>
      </w:pPr>
    </w:p>
    <w:p w14:paraId="24F7FDC5" w14:textId="586DAF8A" w:rsidR="0017664F" w:rsidRPr="001F220F" w:rsidRDefault="0050539C" w:rsidP="0050539C">
      <w:pPr>
        <w:spacing w:after="0" w:line="360" w:lineRule="auto"/>
        <w:jc w:val="both"/>
        <w:rPr>
          <w:rFonts w:ascii="Arial" w:hAnsi="Arial" w:cs="Arial"/>
          <w:b/>
          <w:sz w:val="24"/>
          <w:szCs w:val="24"/>
        </w:rPr>
      </w:pPr>
      <w:r>
        <w:rPr>
          <w:rFonts w:ascii="Arial" w:hAnsi="Arial" w:cs="Arial"/>
          <w:b/>
          <w:sz w:val="24"/>
          <w:szCs w:val="24"/>
        </w:rPr>
        <w:t xml:space="preserve">                                                                                                                    </w:t>
      </w:r>
      <w:r w:rsidR="008F78FC">
        <w:rPr>
          <w:rFonts w:ascii="Arial" w:hAnsi="Arial" w:cs="Arial"/>
          <w:b/>
          <w:sz w:val="24"/>
          <w:szCs w:val="24"/>
        </w:rPr>
        <w:t>Reportable</w:t>
      </w:r>
    </w:p>
    <w:p w14:paraId="58CF463B" w14:textId="02F42FBB" w:rsidR="0017664F" w:rsidRDefault="0050539C" w:rsidP="0050539C">
      <w:pPr>
        <w:spacing w:after="0" w:line="360" w:lineRule="auto"/>
        <w:jc w:val="both"/>
        <w:rPr>
          <w:rFonts w:ascii="Arial" w:hAnsi="Arial" w:cs="Arial"/>
          <w:sz w:val="24"/>
          <w:szCs w:val="24"/>
        </w:rPr>
      </w:pPr>
      <w:r>
        <w:rPr>
          <w:rFonts w:ascii="Arial" w:hAnsi="Arial" w:cs="Arial"/>
          <w:sz w:val="24"/>
          <w:szCs w:val="24"/>
        </w:rPr>
        <w:t xml:space="preserve">                                                                                                       </w:t>
      </w:r>
      <w:r w:rsidR="0017664F" w:rsidRPr="001F220F">
        <w:rPr>
          <w:rFonts w:ascii="Arial" w:hAnsi="Arial" w:cs="Arial"/>
          <w:sz w:val="24"/>
          <w:szCs w:val="24"/>
        </w:rPr>
        <w:t>Case no:</w:t>
      </w:r>
      <w:r w:rsidR="00336EE2">
        <w:rPr>
          <w:rFonts w:ascii="Arial" w:hAnsi="Arial" w:cs="Arial"/>
          <w:sz w:val="24"/>
          <w:szCs w:val="24"/>
        </w:rPr>
        <w:t xml:space="preserve">  </w:t>
      </w:r>
      <w:r w:rsidR="0017664F" w:rsidRPr="001F220F">
        <w:rPr>
          <w:rFonts w:ascii="Arial" w:hAnsi="Arial" w:cs="Arial"/>
          <w:sz w:val="24"/>
          <w:szCs w:val="24"/>
        </w:rPr>
        <w:t xml:space="preserve"> </w:t>
      </w:r>
      <w:r w:rsidR="00336EE2">
        <w:rPr>
          <w:rFonts w:ascii="Arial" w:hAnsi="Arial" w:cs="Arial"/>
          <w:sz w:val="24"/>
          <w:szCs w:val="24"/>
        </w:rPr>
        <w:t>277</w:t>
      </w:r>
      <w:r w:rsidR="00F57978">
        <w:rPr>
          <w:rFonts w:ascii="Arial" w:hAnsi="Arial" w:cs="Arial"/>
          <w:sz w:val="24"/>
          <w:szCs w:val="24"/>
        </w:rPr>
        <w:t>/2020</w:t>
      </w:r>
    </w:p>
    <w:p w14:paraId="22C63335" w14:textId="77777777" w:rsidR="0017664F" w:rsidRPr="001F220F" w:rsidRDefault="0017664F" w:rsidP="0050539C">
      <w:pPr>
        <w:spacing w:after="0" w:line="360" w:lineRule="auto"/>
        <w:jc w:val="both"/>
        <w:rPr>
          <w:rFonts w:ascii="Arial" w:hAnsi="Arial" w:cs="Arial"/>
          <w:sz w:val="24"/>
          <w:szCs w:val="24"/>
        </w:rPr>
      </w:pPr>
    </w:p>
    <w:p w14:paraId="28A72FB4" w14:textId="423CBAF6" w:rsidR="0017664F" w:rsidRPr="001F220F" w:rsidRDefault="005A7FC0" w:rsidP="0050539C">
      <w:pPr>
        <w:spacing w:line="360" w:lineRule="auto"/>
        <w:jc w:val="both"/>
        <w:rPr>
          <w:rFonts w:ascii="Arial" w:hAnsi="Arial" w:cs="Arial"/>
          <w:sz w:val="24"/>
          <w:szCs w:val="24"/>
        </w:rPr>
      </w:pPr>
      <w:r>
        <w:rPr>
          <w:rFonts w:ascii="Arial" w:hAnsi="Arial" w:cs="Arial"/>
          <w:sz w:val="24"/>
          <w:szCs w:val="24"/>
        </w:rPr>
        <w:t xml:space="preserve"> </w:t>
      </w:r>
      <w:r w:rsidR="0017664F" w:rsidRPr="001F220F">
        <w:rPr>
          <w:rFonts w:ascii="Arial" w:hAnsi="Arial" w:cs="Arial"/>
          <w:sz w:val="24"/>
          <w:szCs w:val="24"/>
        </w:rPr>
        <w:t>In the matter between:</w:t>
      </w:r>
    </w:p>
    <w:tbl>
      <w:tblPr>
        <w:tblStyle w:val="TableGrid"/>
        <w:tblW w:w="9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4114"/>
      </w:tblGrid>
      <w:tr w:rsidR="002414B7" w:rsidRPr="0050539C" w14:paraId="5F6325F1" w14:textId="77777777" w:rsidTr="002E50CD">
        <w:trPr>
          <w:trHeight w:val="381"/>
        </w:trPr>
        <w:tc>
          <w:tcPr>
            <w:tcW w:w="5329" w:type="dxa"/>
          </w:tcPr>
          <w:p w14:paraId="20F3B62B" w14:textId="77777777" w:rsidR="002414B7" w:rsidRDefault="002414B7" w:rsidP="002414B7">
            <w:pPr>
              <w:jc w:val="both"/>
              <w:rPr>
                <w:rFonts w:ascii="Arial" w:hAnsi="Arial" w:cs="Arial"/>
                <w:b/>
                <w:bCs/>
                <w:sz w:val="24"/>
                <w:szCs w:val="24"/>
              </w:rPr>
            </w:pPr>
            <w:r w:rsidRPr="0017664F">
              <w:rPr>
                <w:rFonts w:ascii="Arial" w:hAnsi="Arial" w:cs="Arial"/>
                <w:b/>
                <w:bCs/>
                <w:sz w:val="24"/>
                <w:szCs w:val="24"/>
              </w:rPr>
              <w:t>HIRT &amp; CARTER (PTY) LTD</w:t>
            </w:r>
            <w:r>
              <w:rPr>
                <w:rFonts w:ascii="Arial" w:hAnsi="Arial" w:cs="Arial"/>
                <w:b/>
                <w:bCs/>
                <w:sz w:val="24"/>
                <w:szCs w:val="24"/>
              </w:rPr>
              <w:t xml:space="preserve">   </w:t>
            </w:r>
          </w:p>
        </w:tc>
        <w:tc>
          <w:tcPr>
            <w:tcW w:w="4114" w:type="dxa"/>
          </w:tcPr>
          <w:p w14:paraId="40A04425" w14:textId="77777777" w:rsidR="002414B7" w:rsidRPr="0050539C" w:rsidRDefault="002414B7" w:rsidP="002414B7">
            <w:pPr>
              <w:jc w:val="both"/>
              <w:rPr>
                <w:rFonts w:ascii="Arial" w:hAnsi="Arial" w:cs="Arial"/>
                <w:b/>
                <w:bCs/>
                <w:sz w:val="24"/>
                <w:szCs w:val="24"/>
              </w:rPr>
            </w:pPr>
            <w:r w:rsidRPr="0050539C">
              <w:rPr>
                <w:rFonts w:ascii="Arial" w:hAnsi="Arial" w:cs="Arial"/>
                <w:b/>
                <w:sz w:val="24"/>
                <w:szCs w:val="24"/>
              </w:rPr>
              <w:t xml:space="preserve">                                 </w:t>
            </w:r>
            <w:r>
              <w:rPr>
                <w:rFonts w:ascii="Arial" w:hAnsi="Arial" w:cs="Arial"/>
                <w:b/>
                <w:sz w:val="24"/>
                <w:szCs w:val="24"/>
              </w:rPr>
              <w:t xml:space="preserve">   </w:t>
            </w:r>
            <w:r w:rsidRPr="0050539C">
              <w:rPr>
                <w:rFonts w:ascii="Arial" w:hAnsi="Arial" w:cs="Arial"/>
                <w:b/>
                <w:sz w:val="24"/>
                <w:szCs w:val="24"/>
              </w:rPr>
              <w:t>APPELLANT</w:t>
            </w:r>
          </w:p>
        </w:tc>
      </w:tr>
      <w:tr w:rsidR="002414B7" w14:paraId="0295EC6E" w14:textId="77777777" w:rsidTr="002E50CD">
        <w:trPr>
          <w:trHeight w:val="395"/>
        </w:trPr>
        <w:tc>
          <w:tcPr>
            <w:tcW w:w="5329" w:type="dxa"/>
          </w:tcPr>
          <w:p w14:paraId="79B37AF8" w14:textId="77777777" w:rsidR="002414B7" w:rsidRDefault="002414B7" w:rsidP="002414B7">
            <w:pPr>
              <w:jc w:val="both"/>
              <w:rPr>
                <w:rFonts w:ascii="Arial" w:hAnsi="Arial" w:cs="Arial"/>
                <w:b/>
                <w:bCs/>
                <w:sz w:val="24"/>
                <w:szCs w:val="24"/>
              </w:rPr>
            </w:pPr>
          </w:p>
        </w:tc>
        <w:tc>
          <w:tcPr>
            <w:tcW w:w="4114" w:type="dxa"/>
          </w:tcPr>
          <w:p w14:paraId="758175ED" w14:textId="77777777" w:rsidR="002414B7" w:rsidRDefault="002414B7" w:rsidP="002414B7">
            <w:pPr>
              <w:jc w:val="both"/>
              <w:rPr>
                <w:rFonts w:ascii="Arial" w:hAnsi="Arial" w:cs="Arial"/>
                <w:b/>
                <w:bCs/>
                <w:sz w:val="24"/>
                <w:szCs w:val="24"/>
              </w:rPr>
            </w:pPr>
          </w:p>
        </w:tc>
      </w:tr>
      <w:tr w:rsidR="002414B7" w14:paraId="3904FBAE" w14:textId="77777777" w:rsidTr="002E50CD">
        <w:trPr>
          <w:trHeight w:val="381"/>
        </w:trPr>
        <w:tc>
          <w:tcPr>
            <w:tcW w:w="5329" w:type="dxa"/>
          </w:tcPr>
          <w:p w14:paraId="4C9BD7A8" w14:textId="77777777" w:rsidR="002414B7" w:rsidRDefault="002414B7" w:rsidP="002414B7">
            <w:pPr>
              <w:jc w:val="both"/>
              <w:rPr>
                <w:rFonts w:ascii="Arial" w:hAnsi="Arial" w:cs="Arial"/>
                <w:b/>
                <w:bCs/>
                <w:sz w:val="24"/>
                <w:szCs w:val="24"/>
              </w:rPr>
            </w:pPr>
            <w:r>
              <w:rPr>
                <w:rFonts w:ascii="Arial" w:hAnsi="Arial" w:cs="Arial"/>
                <w:sz w:val="24"/>
                <w:szCs w:val="24"/>
              </w:rPr>
              <w:t>a</w:t>
            </w:r>
            <w:r w:rsidRPr="001F220F">
              <w:rPr>
                <w:rFonts w:ascii="Arial" w:hAnsi="Arial" w:cs="Arial"/>
                <w:sz w:val="24"/>
                <w:szCs w:val="24"/>
              </w:rPr>
              <w:t>nd</w:t>
            </w:r>
          </w:p>
        </w:tc>
        <w:tc>
          <w:tcPr>
            <w:tcW w:w="4114" w:type="dxa"/>
          </w:tcPr>
          <w:p w14:paraId="11AD1B82" w14:textId="77777777" w:rsidR="002414B7" w:rsidRDefault="002414B7" w:rsidP="002414B7">
            <w:pPr>
              <w:jc w:val="both"/>
              <w:rPr>
                <w:rFonts w:ascii="Arial" w:hAnsi="Arial" w:cs="Arial"/>
                <w:b/>
                <w:bCs/>
                <w:sz w:val="24"/>
                <w:szCs w:val="24"/>
              </w:rPr>
            </w:pPr>
          </w:p>
        </w:tc>
      </w:tr>
      <w:tr w:rsidR="002414B7" w14:paraId="0BCA5AA5" w14:textId="77777777" w:rsidTr="002E50CD">
        <w:trPr>
          <w:trHeight w:val="611"/>
        </w:trPr>
        <w:tc>
          <w:tcPr>
            <w:tcW w:w="5329" w:type="dxa"/>
          </w:tcPr>
          <w:p w14:paraId="0F38178F" w14:textId="77777777" w:rsidR="002414B7" w:rsidRDefault="002414B7" w:rsidP="002414B7">
            <w:pPr>
              <w:jc w:val="both"/>
              <w:rPr>
                <w:rFonts w:ascii="Arial" w:hAnsi="Arial" w:cs="Arial"/>
                <w:b/>
                <w:bCs/>
                <w:sz w:val="24"/>
                <w:szCs w:val="24"/>
              </w:rPr>
            </w:pPr>
          </w:p>
        </w:tc>
        <w:tc>
          <w:tcPr>
            <w:tcW w:w="4114" w:type="dxa"/>
          </w:tcPr>
          <w:p w14:paraId="75EC7827" w14:textId="77777777" w:rsidR="002414B7" w:rsidRDefault="002414B7" w:rsidP="002414B7">
            <w:pPr>
              <w:jc w:val="both"/>
              <w:rPr>
                <w:rFonts w:ascii="Arial" w:hAnsi="Arial" w:cs="Arial"/>
                <w:b/>
                <w:bCs/>
                <w:sz w:val="24"/>
                <w:szCs w:val="24"/>
              </w:rPr>
            </w:pPr>
          </w:p>
        </w:tc>
      </w:tr>
      <w:tr w:rsidR="002414B7" w:rsidRPr="000F65B1" w14:paraId="58489C73" w14:textId="77777777" w:rsidTr="002E50CD">
        <w:trPr>
          <w:trHeight w:val="442"/>
        </w:trPr>
        <w:tc>
          <w:tcPr>
            <w:tcW w:w="5329" w:type="dxa"/>
          </w:tcPr>
          <w:p w14:paraId="6D0423C3" w14:textId="714F807C" w:rsidR="002414B7" w:rsidRPr="000F65B1" w:rsidRDefault="002414B7" w:rsidP="002414B7">
            <w:pPr>
              <w:jc w:val="both"/>
              <w:rPr>
                <w:rFonts w:ascii="Arial" w:hAnsi="Arial" w:cs="Arial"/>
                <w:b/>
                <w:bCs/>
                <w:sz w:val="24"/>
                <w:szCs w:val="24"/>
              </w:rPr>
            </w:pPr>
            <w:r w:rsidRPr="000F65B1">
              <w:rPr>
                <w:rFonts w:ascii="Arial" w:hAnsi="Arial" w:cs="Arial"/>
                <w:b/>
                <w:sz w:val="24"/>
                <w:szCs w:val="24"/>
              </w:rPr>
              <w:t>T ARNTSEN NO</w:t>
            </w:r>
          </w:p>
        </w:tc>
        <w:tc>
          <w:tcPr>
            <w:tcW w:w="4114" w:type="dxa"/>
          </w:tcPr>
          <w:p w14:paraId="52DCD60B" w14:textId="77777777" w:rsidR="002414B7" w:rsidRDefault="002414B7" w:rsidP="002414B7">
            <w:pPr>
              <w:jc w:val="both"/>
              <w:rPr>
                <w:rFonts w:ascii="Arial" w:hAnsi="Arial" w:cs="Arial"/>
                <w:b/>
                <w:sz w:val="24"/>
                <w:szCs w:val="24"/>
              </w:rPr>
            </w:pPr>
            <w:r>
              <w:rPr>
                <w:rFonts w:ascii="Arial" w:hAnsi="Arial" w:cs="Arial"/>
                <w:b/>
                <w:sz w:val="24"/>
                <w:szCs w:val="24"/>
              </w:rPr>
              <w:t xml:space="preserve">                      </w:t>
            </w:r>
            <w:r w:rsidRPr="000F65B1">
              <w:rPr>
                <w:rFonts w:ascii="Arial" w:hAnsi="Arial" w:cs="Arial"/>
                <w:b/>
                <w:sz w:val="24"/>
                <w:szCs w:val="24"/>
              </w:rPr>
              <w:t>FIRST RESPONDENT</w:t>
            </w:r>
          </w:p>
          <w:p w14:paraId="4118D927" w14:textId="77777777" w:rsidR="002414B7" w:rsidRDefault="002414B7" w:rsidP="002414B7">
            <w:pPr>
              <w:jc w:val="both"/>
              <w:rPr>
                <w:rFonts w:ascii="Arial" w:hAnsi="Arial" w:cs="Arial"/>
                <w:b/>
                <w:sz w:val="24"/>
                <w:szCs w:val="24"/>
              </w:rPr>
            </w:pPr>
          </w:p>
          <w:p w14:paraId="7D0C348A" w14:textId="77777777" w:rsidR="002414B7" w:rsidRPr="000F65B1" w:rsidRDefault="002414B7" w:rsidP="002414B7">
            <w:pPr>
              <w:jc w:val="both"/>
              <w:rPr>
                <w:rFonts w:ascii="Arial" w:hAnsi="Arial" w:cs="Arial"/>
                <w:b/>
                <w:bCs/>
                <w:sz w:val="24"/>
                <w:szCs w:val="24"/>
              </w:rPr>
            </w:pPr>
          </w:p>
        </w:tc>
      </w:tr>
      <w:tr w:rsidR="002414B7" w:rsidRPr="000F65B1" w14:paraId="71A453DE" w14:textId="77777777" w:rsidTr="002E50CD">
        <w:trPr>
          <w:trHeight w:val="536"/>
        </w:trPr>
        <w:tc>
          <w:tcPr>
            <w:tcW w:w="5329" w:type="dxa"/>
          </w:tcPr>
          <w:p w14:paraId="74A6CD9A" w14:textId="77777777" w:rsidR="002414B7" w:rsidRPr="000F65B1" w:rsidRDefault="002414B7" w:rsidP="002414B7">
            <w:pPr>
              <w:jc w:val="both"/>
              <w:rPr>
                <w:rFonts w:ascii="Arial" w:hAnsi="Arial" w:cs="Arial"/>
                <w:b/>
                <w:bCs/>
                <w:sz w:val="24"/>
                <w:szCs w:val="24"/>
              </w:rPr>
            </w:pPr>
            <w:r w:rsidRPr="000F65B1">
              <w:rPr>
                <w:rFonts w:ascii="Arial" w:hAnsi="Arial" w:cs="Arial"/>
                <w:b/>
                <w:sz w:val="24"/>
                <w:szCs w:val="24"/>
              </w:rPr>
              <w:t>BIG CONCERTS INTERNATIONAL (PTY) LTD</w:t>
            </w:r>
            <w:r>
              <w:rPr>
                <w:rFonts w:ascii="Arial" w:hAnsi="Arial" w:cs="Arial"/>
                <w:b/>
                <w:sz w:val="24"/>
                <w:szCs w:val="24"/>
              </w:rPr>
              <w:t xml:space="preserve">                                                                        </w:t>
            </w:r>
          </w:p>
        </w:tc>
        <w:tc>
          <w:tcPr>
            <w:tcW w:w="4114" w:type="dxa"/>
          </w:tcPr>
          <w:p w14:paraId="3E2A8761" w14:textId="77777777" w:rsidR="002414B7" w:rsidRDefault="002414B7" w:rsidP="002414B7">
            <w:pPr>
              <w:jc w:val="both"/>
              <w:rPr>
                <w:rFonts w:ascii="Arial" w:hAnsi="Arial" w:cs="Arial"/>
                <w:b/>
                <w:sz w:val="24"/>
                <w:szCs w:val="24"/>
              </w:rPr>
            </w:pPr>
            <w:r>
              <w:rPr>
                <w:rFonts w:ascii="Arial" w:hAnsi="Arial" w:cs="Arial"/>
                <w:b/>
                <w:sz w:val="24"/>
                <w:szCs w:val="24"/>
              </w:rPr>
              <w:t xml:space="preserve">                 </w:t>
            </w:r>
            <w:r w:rsidRPr="000F65B1">
              <w:rPr>
                <w:rFonts w:ascii="Arial" w:hAnsi="Arial" w:cs="Arial"/>
                <w:b/>
                <w:sz w:val="24"/>
                <w:szCs w:val="24"/>
              </w:rPr>
              <w:t>SECOND RESPONDENT</w:t>
            </w:r>
          </w:p>
          <w:p w14:paraId="00986697" w14:textId="77777777" w:rsidR="002414B7" w:rsidRPr="000F65B1" w:rsidRDefault="002414B7" w:rsidP="002414B7">
            <w:pPr>
              <w:jc w:val="both"/>
              <w:rPr>
                <w:rFonts w:ascii="Arial" w:hAnsi="Arial" w:cs="Arial"/>
                <w:b/>
                <w:bCs/>
                <w:sz w:val="24"/>
                <w:szCs w:val="24"/>
              </w:rPr>
            </w:pPr>
          </w:p>
        </w:tc>
      </w:tr>
      <w:tr w:rsidR="002414B7" w:rsidRPr="000F65B1" w14:paraId="3D9887EE" w14:textId="77777777" w:rsidTr="002E50CD">
        <w:trPr>
          <w:trHeight w:val="813"/>
        </w:trPr>
        <w:tc>
          <w:tcPr>
            <w:tcW w:w="5329" w:type="dxa"/>
          </w:tcPr>
          <w:p w14:paraId="48326183" w14:textId="77777777" w:rsidR="002414B7" w:rsidRPr="000F65B1" w:rsidRDefault="002414B7" w:rsidP="002414B7">
            <w:pPr>
              <w:jc w:val="both"/>
              <w:rPr>
                <w:rFonts w:ascii="Arial" w:hAnsi="Arial" w:cs="Arial"/>
                <w:b/>
                <w:bCs/>
                <w:sz w:val="24"/>
                <w:szCs w:val="24"/>
              </w:rPr>
            </w:pPr>
            <w:r w:rsidRPr="000F65B1">
              <w:rPr>
                <w:rFonts w:ascii="Arial" w:hAnsi="Arial" w:cs="Arial"/>
                <w:b/>
                <w:sz w:val="24"/>
                <w:szCs w:val="24"/>
              </w:rPr>
              <w:t>ALLIANCE SAFETY CC T/A ALLIANCE SAFETY MANAGEMENT</w:t>
            </w:r>
          </w:p>
        </w:tc>
        <w:tc>
          <w:tcPr>
            <w:tcW w:w="4114" w:type="dxa"/>
          </w:tcPr>
          <w:p w14:paraId="4FD3B954" w14:textId="77777777" w:rsidR="002414B7" w:rsidRDefault="002414B7" w:rsidP="002414B7">
            <w:pPr>
              <w:jc w:val="both"/>
              <w:rPr>
                <w:rFonts w:ascii="Arial" w:hAnsi="Arial" w:cs="Arial"/>
                <w:b/>
                <w:sz w:val="24"/>
                <w:szCs w:val="24"/>
              </w:rPr>
            </w:pPr>
            <w:r>
              <w:rPr>
                <w:rFonts w:ascii="Arial" w:hAnsi="Arial" w:cs="Arial"/>
                <w:b/>
                <w:sz w:val="24"/>
                <w:szCs w:val="24"/>
              </w:rPr>
              <w:t xml:space="preserve">                  </w:t>
            </w:r>
          </w:p>
          <w:p w14:paraId="0879A416" w14:textId="77777777" w:rsidR="002414B7" w:rsidRPr="000F65B1" w:rsidRDefault="002414B7" w:rsidP="002414B7">
            <w:pPr>
              <w:jc w:val="both"/>
              <w:rPr>
                <w:rFonts w:ascii="Arial" w:hAnsi="Arial" w:cs="Arial"/>
                <w:b/>
                <w:bCs/>
                <w:sz w:val="24"/>
                <w:szCs w:val="24"/>
              </w:rPr>
            </w:pPr>
            <w:r>
              <w:rPr>
                <w:rFonts w:ascii="Arial" w:hAnsi="Arial" w:cs="Arial"/>
                <w:b/>
                <w:sz w:val="24"/>
                <w:szCs w:val="24"/>
              </w:rPr>
              <w:t xml:space="preserve">                     </w:t>
            </w:r>
            <w:r w:rsidRPr="000F65B1">
              <w:rPr>
                <w:rFonts w:ascii="Arial" w:hAnsi="Arial" w:cs="Arial"/>
                <w:b/>
                <w:sz w:val="24"/>
                <w:szCs w:val="24"/>
              </w:rPr>
              <w:t>THIRD RESPONDENT</w:t>
            </w:r>
          </w:p>
        </w:tc>
      </w:tr>
      <w:tr w:rsidR="002414B7" w:rsidRPr="000F65B1" w14:paraId="3B786CD8" w14:textId="77777777" w:rsidTr="002E50CD">
        <w:trPr>
          <w:trHeight w:val="381"/>
        </w:trPr>
        <w:tc>
          <w:tcPr>
            <w:tcW w:w="5329" w:type="dxa"/>
          </w:tcPr>
          <w:p w14:paraId="1FA3882F" w14:textId="77777777" w:rsidR="002414B7" w:rsidRPr="000F65B1" w:rsidRDefault="002414B7" w:rsidP="002414B7">
            <w:pPr>
              <w:jc w:val="both"/>
              <w:rPr>
                <w:rFonts w:ascii="Arial" w:hAnsi="Arial" w:cs="Arial"/>
                <w:b/>
                <w:bCs/>
                <w:sz w:val="24"/>
                <w:szCs w:val="24"/>
              </w:rPr>
            </w:pPr>
            <w:r w:rsidRPr="000F65B1">
              <w:rPr>
                <w:rFonts w:ascii="Arial" w:hAnsi="Arial" w:cs="Arial"/>
                <w:b/>
                <w:sz w:val="24"/>
                <w:szCs w:val="24"/>
              </w:rPr>
              <w:t>GLAXOSMITHKLINE (PTY) LTD</w:t>
            </w:r>
          </w:p>
        </w:tc>
        <w:tc>
          <w:tcPr>
            <w:tcW w:w="4114" w:type="dxa"/>
          </w:tcPr>
          <w:p w14:paraId="5FAC3AEE" w14:textId="77777777" w:rsidR="002414B7" w:rsidRDefault="002414B7" w:rsidP="002414B7">
            <w:pPr>
              <w:jc w:val="both"/>
              <w:rPr>
                <w:rFonts w:ascii="Arial" w:hAnsi="Arial" w:cs="Arial"/>
                <w:b/>
                <w:sz w:val="24"/>
                <w:szCs w:val="24"/>
              </w:rPr>
            </w:pPr>
            <w:r>
              <w:rPr>
                <w:rFonts w:ascii="Arial" w:hAnsi="Arial" w:cs="Arial"/>
                <w:b/>
                <w:sz w:val="24"/>
                <w:szCs w:val="24"/>
              </w:rPr>
              <w:t xml:space="preserve">                 </w:t>
            </w:r>
            <w:r w:rsidRPr="000F65B1">
              <w:rPr>
                <w:rFonts w:ascii="Arial" w:hAnsi="Arial" w:cs="Arial"/>
                <w:b/>
                <w:sz w:val="24"/>
                <w:szCs w:val="24"/>
              </w:rPr>
              <w:t>FOURTH RESPONDENT</w:t>
            </w:r>
          </w:p>
          <w:p w14:paraId="6D5D9DB7" w14:textId="77777777" w:rsidR="002414B7" w:rsidRPr="000F65B1" w:rsidRDefault="002414B7" w:rsidP="002414B7">
            <w:pPr>
              <w:jc w:val="both"/>
              <w:rPr>
                <w:rFonts w:ascii="Arial" w:hAnsi="Arial" w:cs="Arial"/>
                <w:b/>
                <w:bCs/>
                <w:sz w:val="24"/>
                <w:szCs w:val="24"/>
              </w:rPr>
            </w:pPr>
          </w:p>
        </w:tc>
      </w:tr>
      <w:tr w:rsidR="002414B7" w:rsidRPr="000F65B1" w14:paraId="0F8ED63C" w14:textId="77777777" w:rsidTr="002E50CD">
        <w:trPr>
          <w:trHeight w:val="381"/>
        </w:trPr>
        <w:tc>
          <w:tcPr>
            <w:tcW w:w="5329" w:type="dxa"/>
          </w:tcPr>
          <w:p w14:paraId="15F45B96" w14:textId="77777777" w:rsidR="002414B7" w:rsidRPr="000F65B1" w:rsidRDefault="002414B7" w:rsidP="002414B7">
            <w:pPr>
              <w:jc w:val="both"/>
              <w:rPr>
                <w:rFonts w:ascii="Arial" w:hAnsi="Arial" w:cs="Arial"/>
                <w:b/>
                <w:sz w:val="24"/>
                <w:szCs w:val="24"/>
              </w:rPr>
            </w:pPr>
            <w:r w:rsidRPr="000F65B1">
              <w:rPr>
                <w:rFonts w:ascii="Arial" w:hAnsi="Arial" w:cs="Arial"/>
                <w:b/>
                <w:sz w:val="24"/>
                <w:szCs w:val="24"/>
              </w:rPr>
              <w:t>MAXWILL 137 CC T/A BOTHMA SIGNS</w:t>
            </w:r>
          </w:p>
        </w:tc>
        <w:tc>
          <w:tcPr>
            <w:tcW w:w="4114" w:type="dxa"/>
          </w:tcPr>
          <w:p w14:paraId="5A6A370C" w14:textId="77777777" w:rsidR="002414B7" w:rsidRDefault="002414B7" w:rsidP="002414B7">
            <w:pPr>
              <w:jc w:val="both"/>
              <w:rPr>
                <w:rFonts w:ascii="Arial" w:hAnsi="Arial" w:cs="Arial"/>
                <w:b/>
                <w:sz w:val="24"/>
                <w:szCs w:val="24"/>
              </w:rPr>
            </w:pPr>
            <w:r>
              <w:rPr>
                <w:rFonts w:ascii="Arial" w:hAnsi="Arial" w:cs="Arial"/>
                <w:b/>
                <w:sz w:val="24"/>
                <w:szCs w:val="24"/>
              </w:rPr>
              <w:t xml:space="preserve">                      </w:t>
            </w:r>
            <w:r w:rsidRPr="000F65B1">
              <w:rPr>
                <w:rFonts w:ascii="Arial" w:hAnsi="Arial" w:cs="Arial"/>
                <w:b/>
                <w:sz w:val="24"/>
                <w:szCs w:val="24"/>
              </w:rPr>
              <w:t>FIFTH RESPONDENT</w:t>
            </w:r>
          </w:p>
          <w:p w14:paraId="37CEB1FC" w14:textId="77777777" w:rsidR="002414B7" w:rsidRPr="000F65B1" w:rsidRDefault="002414B7" w:rsidP="002414B7">
            <w:pPr>
              <w:jc w:val="both"/>
              <w:rPr>
                <w:rFonts w:ascii="Arial" w:hAnsi="Arial" w:cs="Arial"/>
                <w:b/>
                <w:sz w:val="24"/>
                <w:szCs w:val="24"/>
              </w:rPr>
            </w:pPr>
          </w:p>
        </w:tc>
      </w:tr>
      <w:tr w:rsidR="002414B7" w:rsidRPr="000F65B1" w14:paraId="232D3057" w14:textId="77777777" w:rsidTr="002E50CD">
        <w:trPr>
          <w:trHeight w:val="381"/>
        </w:trPr>
        <w:tc>
          <w:tcPr>
            <w:tcW w:w="5329" w:type="dxa"/>
          </w:tcPr>
          <w:p w14:paraId="75BD6C6C" w14:textId="77777777" w:rsidR="002414B7" w:rsidRPr="000F65B1" w:rsidRDefault="002414B7" w:rsidP="002414B7">
            <w:pPr>
              <w:jc w:val="both"/>
              <w:rPr>
                <w:rFonts w:ascii="Arial" w:hAnsi="Arial" w:cs="Arial"/>
                <w:b/>
                <w:sz w:val="24"/>
                <w:szCs w:val="24"/>
              </w:rPr>
            </w:pPr>
            <w:r w:rsidRPr="000F65B1">
              <w:rPr>
                <w:rFonts w:ascii="Arial" w:hAnsi="Arial" w:cs="Arial"/>
                <w:b/>
                <w:sz w:val="24"/>
                <w:szCs w:val="24"/>
              </w:rPr>
              <w:t>VERTEX SCAFFO</w:t>
            </w:r>
            <w:r>
              <w:rPr>
                <w:rFonts w:ascii="Arial" w:hAnsi="Arial" w:cs="Arial"/>
                <w:b/>
                <w:sz w:val="24"/>
                <w:szCs w:val="24"/>
              </w:rPr>
              <w:t>L</w:t>
            </w:r>
            <w:r w:rsidRPr="000F65B1">
              <w:rPr>
                <w:rFonts w:ascii="Arial" w:hAnsi="Arial" w:cs="Arial"/>
                <w:b/>
                <w:sz w:val="24"/>
                <w:szCs w:val="24"/>
              </w:rPr>
              <w:t>NDING CC</w:t>
            </w:r>
          </w:p>
        </w:tc>
        <w:tc>
          <w:tcPr>
            <w:tcW w:w="4114" w:type="dxa"/>
          </w:tcPr>
          <w:p w14:paraId="7EF56703" w14:textId="77777777" w:rsidR="002414B7" w:rsidRDefault="002414B7" w:rsidP="002414B7">
            <w:pPr>
              <w:jc w:val="both"/>
              <w:rPr>
                <w:rFonts w:ascii="Arial" w:hAnsi="Arial" w:cs="Arial"/>
                <w:b/>
                <w:sz w:val="24"/>
                <w:szCs w:val="24"/>
              </w:rPr>
            </w:pPr>
            <w:r>
              <w:rPr>
                <w:rFonts w:ascii="Arial" w:hAnsi="Arial" w:cs="Arial"/>
                <w:b/>
                <w:sz w:val="24"/>
                <w:szCs w:val="24"/>
              </w:rPr>
              <w:t xml:space="preserve">                      </w:t>
            </w:r>
            <w:r w:rsidRPr="000F65B1">
              <w:rPr>
                <w:rFonts w:ascii="Arial" w:hAnsi="Arial" w:cs="Arial"/>
                <w:b/>
                <w:sz w:val="24"/>
                <w:szCs w:val="24"/>
              </w:rPr>
              <w:t>SIXTH RESPONDENT</w:t>
            </w:r>
          </w:p>
          <w:p w14:paraId="277DE0FE" w14:textId="77777777" w:rsidR="002414B7" w:rsidRPr="000F65B1" w:rsidRDefault="002414B7" w:rsidP="002414B7">
            <w:pPr>
              <w:jc w:val="both"/>
              <w:rPr>
                <w:rFonts w:ascii="Arial" w:hAnsi="Arial" w:cs="Arial"/>
                <w:b/>
                <w:sz w:val="24"/>
                <w:szCs w:val="24"/>
              </w:rPr>
            </w:pPr>
          </w:p>
        </w:tc>
      </w:tr>
      <w:tr w:rsidR="002414B7" w:rsidRPr="000F65B1" w14:paraId="6B51906A" w14:textId="77777777" w:rsidTr="002E50CD">
        <w:trPr>
          <w:trHeight w:val="381"/>
        </w:trPr>
        <w:tc>
          <w:tcPr>
            <w:tcW w:w="5329" w:type="dxa"/>
          </w:tcPr>
          <w:p w14:paraId="17A438B3" w14:textId="77777777" w:rsidR="002414B7" w:rsidRPr="000F65B1" w:rsidRDefault="002414B7" w:rsidP="002414B7">
            <w:pPr>
              <w:jc w:val="both"/>
              <w:rPr>
                <w:rFonts w:ascii="Arial" w:hAnsi="Arial" w:cs="Arial"/>
                <w:b/>
                <w:sz w:val="24"/>
                <w:szCs w:val="24"/>
              </w:rPr>
            </w:pPr>
            <w:r w:rsidRPr="000F65B1">
              <w:rPr>
                <w:rFonts w:ascii="Arial" w:hAnsi="Arial" w:cs="Arial"/>
                <w:b/>
                <w:sz w:val="24"/>
                <w:szCs w:val="24"/>
              </w:rPr>
              <w:t>THE CITY OF CAPE TOWN</w:t>
            </w:r>
          </w:p>
        </w:tc>
        <w:tc>
          <w:tcPr>
            <w:tcW w:w="4114" w:type="dxa"/>
          </w:tcPr>
          <w:p w14:paraId="121FDC42" w14:textId="77777777" w:rsidR="002414B7" w:rsidRPr="000F65B1" w:rsidRDefault="002414B7" w:rsidP="002414B7">
            <w:pPr>
              <w:jc w:val="both"/>
              <w:rPr>
                <w:rFonts w:ascii="Arial" w:hAnsi="Arial" w:cs="Arial"/>
                <w:b/>
                <w:sz w:val="24"/>
                <w:szCs w:val="24"/>
              </w:rPr>
            </w:pPr>
            <w:r>
              <w:rPr>
                <w:rFonts w:ascii="Arial" w:hAnsi="Arial" w:cs="Arial"/>
                <w:b/>
                <w:sz w:val="24"/>
                <w:szCs w:val="24"/>
              </w:rPr>
              <w:t xml:space="preserve">               </w:t>
            </w:r>
            <w:r w:rsidRPr="000F65B1">
              <w:rPr>
                <w:rFonts w:ascii="Arial" w:hAnsi="Arial" w:cs="Arial"/>
                <w:b/>
                <w:sz w:val="24"/>
                <w:szCs w:val="24"/>
              </w:rPr>
              <w:t>SEVENTH RESPONDENT</w:t>
            </w:r>
          </w:p>
        </w:tc>
      </w:tr>
      <w:tr w:rsidR="002414B7" w14:paraId="20A87FD1" w14:textId="77777777" w:rsidTr="002E50CD">
        <w:trPr>
          <w:trHeight w:val="99"/>
        </w:trPr>
        <w:tc>
          <w:tcPr>
            <w:tcW w:w="5329" w:type="dxa"/>
          </w:tcPr>
          <w:p w14:paraId="331E1471" w14:textId="77777777" w:rsidR="002414B7" w:rsidRPr="000F65B1" w:rsidRDefault="002414B7" w:rsidP="002414B7">
            <w:pPr>
              <w:jc w:val="both"/>
              <w:rPr>
                <w:rFonts w:ascii="Arial" w:hAnsi="Arial" w:cs="Arial"/>
                <w:b/>
                <w:sz w:val="24"/>
                <w:szCs w:val="24"/>
              </w:rPr>
            </w:pPr>
          </w:p>
        </w:tc>
        <w:tc>
          <w:tcPr>
            <w:tcW w:w="4114" w:type="dxa"/>
          </w:tcPr>
          <w:p w14:paraId="2402F61D" w14:textId="77777777" w:rsidR="002414B7" w:rsidRDefault="002414B7" w:rsidP="002414B7">
            <w:pPr>
              <w:jc w:val="both"/>
              <w:rPr>
                <w:rFonts w:ascii="Arial" w:hAnsi="Arial" w:cs="Arial"/>
                <w:b/>
                <w:sz w:val="24"/>
                <w:szCs w:val="24"/>
              </w:rPr>
            </w:pPr>
          </w:p>
        </w:tc>
      </w:tr>
      <w:tr w:rsidR="002414B7" w14:paraId="5081D0AA" w14:textId="77777777" w:rsidTr="002E50CD">
        <w:trPr>
          <w:trHeight w:val="381"/>
        </w:trPr>
        <w:tc>
          <w:tcPr>
            <w:tcW w:w="5329" w:type="dxa"/>
          </w:tcPr>
          <w:p w14:paraId="7B3C4120" w14:textId="77777777" w:rsidR="002414B7" w:rsidRDefault="002414B7" w:rsidP="002414B7">
            <w:pPr>
              <w:jc w:val="both"/>
              <w:rPr>
                <w:rFonts w:ascii="Arial" w:hAnsi="Arial" w:cs="Arial"/>
                <w:b/>
                <w:sz w:val="24"/>
                <w:szCs w:val="24"/>
              </w:rPr>
            </w:pPr>
            <w:r>
              <w:rPr>
                <w:rFonts w:ascii="Arial" w:hAnsi="Arial" w:cs="Arial"/>
                <w:b/>
                <w:sz w:val="24"/>
                <w:szCs w:val="24"/>
              </w:rPr>
              <w:t>BLK OPS (PTY) LTD</w:t>
            </w:r>
          </w:p>
        </w:tc>
        <w:tc>
          <w:tcPr>
            <w:tcW w:w="4114" w:type="dxa"/>
          </w:tcPr>
          <w:p w14:paraId="519B5E69" w14:textId="77777777" w:rsidR="002414B7" w:rsidRDefault="002414B7" w:rsidP="002414B7">
            <w:pPr>
              <w:jc w:val="both"/>
              <w:rPr>
                <w:rFonts w:ascii="Arial" w:hAnsi="Arial" w:cs="Arial"/>
                <w:b/>
                <w:sz w:val="24"/>
                <w:szCs w:val="24"/>
              </w:rPr>
            </w:pPr>
            <w:r>
              <w:rPr>
                <w:rFonts w:ascii="Arial" w:hAnsi="Arial" w:cs="Arial"/>
                <w:b/>
                <w:sz w:val="24"/>
                <w:szCs w:val="24"/>
              </w:rPr>
              <w:t xml:space="preserve">                   EIGHTH RESPONDENT</w:t>
            </w:r>
          </w:p>
        </w:tc>
      </w:tr>
      <w:tr w:rsidR="002414B7" w14:paraId="128D3F7D" w14:textId="77777777" w:rsidTr="002E50CD">
        <w:trPr>
          <w:trHeight w:val="83"/>
        </w:trPr>
        <w:tc>
          <w:tcPr>
            <w:tcW w:w="5329" w:type="dxa"/>
          </w:tcPr>
          <w:p w14:paraId="1F2EE087" w14:textId="77777777" w:rsidR="002414B7" w:rsidRDefault="002414B7" w:rsidP="002414B7">
            <w:pPr>
              <w:jc w:val="both"/>
              <w:rPr>
                <w:rFonts w:ascii="Arial" w:hAnsi="Arial" w:cs="Arial"/>
                <w:b/>
                <w:sz w:val="24"/>
                <w:szCs w:val="24"/>
              </w:rPr>
            </w:pPr>
          </w:p>
        </w:tc>
        <w:tc>
          <w:tcPr>
            <w:tcW w:w="4114" w:type="dxa"/>
          </w:tcPr>
          <w:p w14:paraId="64685B8E" w14:textId="77777777" w:rsidR="002414B7" w:rsidRDefault="002414B7" w:rsidP="002414B7">
            <w:pPr>
              <w:jc w:val="both"/>
              <w:rPr>
                <w:rFonts w:ascii="Arial" w:hAnsi="Arial" w:cs="Arial"/>
                <w:b/>
                <w:sz w:val="24"/>
                <w:szCs w:val="24"/>
              </w:rPr>
            </w:pPr>
          </w:p>
        </w:tc>
      </w:tr>
      <w:tr w:rsidR="002414B7" w14:paraId="447DCBEE" w14:textId="77777777" w:rsidTr="002E50CD">
        <w:trPr>
          <w:trHeight w:val="381"/>
        </w:trPr>
        <w:tc>
          <w:tcPr>
            <w:tcW w:w="5329" w:type="dxa"/>
          </w:tcPr>
          <w:p w14:paraId="4FC95D46" w14:textId="77777777" w:rsidR="002414B7" w:rsidRDefault="002414B7" w:rsidP="002414B7">
            <w:pPr>
              <w:jc w:val="both"/>
              <w:rPr>
                <w:rFonts w:ascii="Arial" w:hAnsi="Arial" w:cs="Arial"/>
                <w:b/>
                <w:sz w:val="24"/>
                <w:szCs w:val="24"/>
              </w:rPr>
            </w:pPr>
            <w:r>
              <w:rPr>
                <w:rFonts w:ascii="Arial" w:hAnsi="Arial" w:cs="Arial"/>
                <w:b/>
                <w:sz w:val="24"/>
                <w:szCs w:val="24"/>
              </w:rPr>
              <w:t>THE MINISTER OF SAFTEY AND SECURITY</w:t>
            </w:r>
          </w:p>
        </w:tc>
        <w:tc>
          <w:tcPr>
            <w:tcW w:w="4114" w:type="dxa"/>
          </w:tcPr>
          <w:p w14:paraId="7B0C2F7A" w14:textId="77777777" w:rsidR="002414B7" w:rsidRDefault="002414B7" w:rsidP="002414B7">
            <w:pPr>
              <w:jc w:val="both"/>
              <w:rPr>
                <w:rFonts w:ascii="Arial" w:hAnsi="Arial" w:cs="Arial"/>
                <w:b/>
                <w:sz w:val="24"/>
                <w:szCs w:val="24"/>
              </w:rPr>
            </w:pPr>
            <w:r>
              <w:rPr>
                <w:rFonts w:ascii="Arial" w:hAnsi="Arial" w:cs="Arial"/>
                <w:b/>
                <w:sz w:val="24"/>
                <w:szCs w:val="24"/>
              </w:rPr>
              <w:t xml:space="preserve">                     NINTH RESPONDENT</w:t>
            </w:r>
          </w:p>
          <w:p w14:paraId="1D864E7D" w14:textId="77777777" w:rsidR="002414B7" w:rsidRDefault="002414B7" w:rsidP="002414B7">
            <w:pPr>
              <w:jc w:val="both"/>
              <w:rPr>
                <w:rFonts w:ascii="Arial" w:hAnsi="Arial" w:cs="Arial"/>
                <w:b/>
                <w:sz w:val="24"/>
                <w:szCs w:val="24"/>
              </w:rPr>
            </w:pPr>
          </w:p>
        </w:tc>
      </w:tr>
      <w:tr w:rsidR="002414B7" w14:paraId="6A2875B5" w14:textId="77777777" w:rsidTr="002E50CD">
        <w:trPr>
          <w:trHeight w:val="381"/>
        </w:trPr>
        <w:tc>
          <w:tcPr>
            <w:tcW w:w="5329" w:type="dxa"/>
          </w:tcPr>
          <w:p w14:paraId="29053DFB" w14:textId="77777777" w:rsidR="002414B7" w:rsidRDefault="002414B7" w:rsidP="002414B7">
            <w:pPr>
              <w:jc w:val="both"/>
              <w:rPr>
                <w:rFonts w:ascii="Arial" w:hAnsi="Arial" w:cs="Arial"/>
                <w:b/>
                <w:sz w:val="24"/>
                <w:szCs w:val="24"/>
              </w:rPr>
            </w:pPr>
            <w:r>
              <w:rPr>
                <w:rFonts w:ascii="Arial" w:hAnsi="Arial" w:cs="Arial"/>
                <w:b/>
                <w:sz w:val="24"/>
                <w:szCs w:val="24"/>
              </w:rPr>
              <w:t>LESLIE JAMES HEAVEN</w:t>
            </w:r>
          </w:p>
        </w:tc>
        <w:tc>
          <w:tcPr>
            <w:tcW w:w="4114" w:type="dxa"/>
          </w:tcPr>
          <w:p w14:paraId="49279BD4" w14:textId="77777777" w:rsidR="002414B7" w:rsidRDefault="002414B7" w:rsidP="002414B7">
            <w:pPr>
              <w:jc w:val="both"/>
              <w:rPr>
                <w:rFonts w:ascii="Arial" w:hAnsi="Arial" w:cs="Arial"/>
                <w:b/>
                <w:sz w:val="24"/>
                <w:szCs w:val="24"/>
              </w:rPr>
            </w:pPr>
            <w:r>
              <w:rPr>
                <w:rFonts w:ascii="Arial" w:hAnsi="Arial" w:cs="Arial"/>
                <w:b/>
                <w:sz w:val="24"/>
                <w:szCs w:val="24"/>
              </w:rPr>
              <w:t xml:space="preserve">                    TENTH RESPONDENT</w:t>
            </w:r>
          </w:p>
          <w:p w14:paraId="0F91DF19" w14:textId="77777777" w:rsidR="002414B7" w:rsidRDefault="002414B7" w:rsidP="002414B7">
            <w:pPr>
              <w:jc w:val="both"/>
              <w:rPr>
                <w:rFonts w:ascii="Arial" w:hAnsi="Arial" w:cs="Arial"/>
                <w:b/>
                <w:sz w:val="24"/>
                <w:szCs w:val="24"/>
              </w:rPr>
            </w:pPr>
          </w:p>
        </w:tc>
      </w:tr>
      <w:tr w:rsidR="002414B7" w14:paraId="014A8056" w14:textId="77777777" w:rsidTr="002E50CD">
        <w:trPr>
          <w:trHeight w:val="381"/>
        </w:trPr>
        <w:tc>
          <w:tcPr>
            <w:tcW w:w="5329" w:type="dxa"/>
          </w:tcPr>
          <w:p w14:paraId="2D38805D" w14:textId="77777777" w:rsidR="002414B7" w:rsidRDefault="002414B7" w:rsidP="002414B7">
            <w:pPr>
              <w:pStyle w:val="FootnoteText"/>
              <w:jc w:val="both"/>
              <w:rPr>
                <w:rFonts w:ascii="Arial" w:hAnsi="Arial" w:cs="Arial"/>
                <w:b/>
                <w:sz w:val="24"/>
                <w:szCs w:val="24"/>
              </w:rPr>
            </w:pPr>
            <w:r>
              <w:rPr>
                <w:rFonts w:ascii="Arial" w:hAnsi="Arial" w:cs="Arial"/>
                <w:b/>
                <w:sz w:val="24"/>
                <w:szCs w:val="24"/>
              </w:rPr>
              <w:t>NATIONAL DIRECTOR OF PUBLIC PROSECUTIONS</w:t>
            </w:r>
          </w:p>
        </w:tc>
        <w:tc>
          <w:tcPr>
            <w:tcW w:w="4114" w:type="dxa"/>
          </w:tcPr>
          <w:p w14:paraId="6BA140EE" w14:textId="77777777" w:rsidR="002414B7" w:rsidRDefault="002414B7" w:rsidP="002414B7">
            <w:pPr>
              <w:jc w:val="both"/>
              <w:rPr>
                <w:rFonts w:ascii="Arial" w:hAnsi="Arial" w:cs="Arial"/>
                <w:b/>
                <w:sz w:val="24"/>
                <w:szCs w:val="24"/>
              </w:rPr>
            </w:pPr>
            <w:r>
              <w:rPr>
                <w:rFonts w:ascii="Arial" w:hAnsi="Arial" w:cs="Arial"/>
                <w:b/>
                <w:sz w:val="24"/>
                <w:szCs w:val="24"/>
              </w:rPr>
              <w:t xml:space="preserve">         </w:t>
            </w:r>
          </w:p>
          <w:p w14:paraId="2444DFCD" w14:textId="77777777" w:rsidR="002414B7" w:rsidRDefault="002414B7" w:rsidP="002414B7">
            <w:pPr>
              <w:jc w:val="both"/>
              <w:rPr>
                <w:rFonts w:ascii="Arial" w:hAnsi="Arial" w:cs="Arial"/>
                <w:b/>
                <w:sz w:val="24"/>
                <w:szCs w:val="24"/>
              </w:rPr>
            </w:pPr>
            <w:r>
              <w:rPr>
                <w:rFonts w:ascii="Arial" w:hAnsi="Arial" w:cs="Arial"/>
                <w:b/>
                <w:sz w:val="24"/>
                <w:szCs w:val="24"/>
              </w:rPr>
              <w:t xml:space="preserve">             ELEVENTH RESPONDENT</w:t>
            </w:r>
          </w:p>
        </w:tc>
      </w:tr>
    </w:tbl>
    <w:p w14:paraId="2A63967A" w14:textId="1E74CE2A" w:rsidR="00336EE2" w:rsidRPr="009C50E9" w:rsidRDefault="00DD5364" w:rsidP="002414B7">
      <w:pPr>
        <w:spacing w:line="360" w:lineRule="auto"/>
        <w:jc w:val="both"/>
        <w:rPr>
          <w:rFonts w:ascii="Arial" w:hAnsi="Arial" w:cs="Arial"/>
          <w:b/>
          <w:sz w:val="24"/>
          <w:szCs w:val="24"/>
        </w:rPr>
      </w:pPr>
      <w:r>
        <w:rPr>
          <w:rFonts w:ascii="Arial" w:hAnsi="Arial" w:cs="Arial"/>
          <w:b/>
          <w:sz w:val="24"/>
          <w:szCs w:val="24"/>
        </w:rPr>
        <w:tab/>
        <w:t xml:space="preserve">          </w:t>
      </w:r>
      <w:r>
        <w:rPr>
          <w:rFonts w:ascii="Arial" w:hAnsi="Arial" w:cs="Arial"/>
          <w:b/>
          <w:sz w:val="24"/>
          <w:szCs w:val="24"/>
        </w:rPr>
        <w:tab/>
      </w:r>
      <w:r w:rsidR="00F263DF">
        <w:rPr>
          <w:rFonts w:ascii="Arial" w:hAnsi="Arial" w:cs="Arial"/>
          <w:b/>
          <w:sz w:val="24"/>
          <w:szCs w:val="24"/>
        </w:rPr>
        <w:tab/>
      </w:r>
      <w:r w:rsidR="00F263DF">
        <w:rPr>
          <w:rFonts w:ascii="Arial" w:hAnsi="Arial" w:cs="Arial"/>
          <w:b/>
          <w:sz w:val="24"/>
          <w:szCs w:val="24"/>
        </w:rPr>
        <w:tab/>
      </w:r>
      <w:r w:rsidR="00F263DF">
        <w:rPr>
          <w:rFonts w:ascii="Arial" w:hAnsi="Arial" w:cs="Arial"/>
          <w:b/>
          <w:sz w:val="24"/>
          <w:szCs w:val="24"/>
        </w:rPr>
        <w:tab/>
      </w:r>
      <w:r w:rsidR="00F263DF">
        <w:rPr>
          <w:rFonts w:ascii="Arial" w:hAnsi="Arial" w:cs="Arial"/>
          <w:b/>
          <w:sz w:val="24"/>
          <w:szCs w:val="24"/>
        </w:rPr>
        <w:tab/>
      </w:r>
      <w:r w:rsidR="00F263DF">
        <w:rPr>
          <w:rFonts w:ascii="Arial" w:hAnsi="Arial" w:cs="Arial"/>
          <w:b/>
          <w:sz w:val="24"/>
          <w:szCs w:val="24"/>
        </w:rPr>
        <w:tab/>
      </w:r>
      <w:r w:rsidR="00F263DF">
        <w:rPr>
          <w:rFonts w:ascii="Arial" w:hAnsi="Arial" w:cs="Arial"/>
          <w:b/>
          <w:sz w:val="24"/>
          <w:szCs w:val="24"/>
        </w:rPr>
        <w:tab/>
        <w:t xml:space="preserve">   </w:t>
      </w:r>
    </w:p>
    <w:p w14:paraId="4AB0C9D6" w14:textId="3EC2924F" w:rsidR="0017664F" w:rsidRPr="006F3F6D" w:rsidRDefault="0017664F" w:rsidP="003A1392">
      <w:pPr>
        <w:spacing w:line="360" w:lineRule="auto"/>
        <w:ind w:left="2160" w:hanging="2160"/>
        <w:jc w:val="both"/>
        <w:rPr>
          <w:rFonts w:ascii="Arial" w:hAnsi="Arial" w:cs="Arial"/>
          <w:bCs/>
          <w:sz w:val="24"/>
          <w:szCs w:val="24"/>
        </w:rPr>
      </w:pPr>
      <w:r w:rsidRPr="001F220F">
        <w:rPr>
          <w:rFonts w:ascii="Arial" w:hAnsi="Arial" w:cs="Arial"/>
          <w:b/>
          <w:bCs/>
          <w:sz w:val="24"/>
          <w:szCs w:val="24"/>
        </w:rPr>
        <w:lastRenderedPageBreak/>
        <w:t>Neutral citation:</w:t>
      </w:r>
      <w:r w:rsidRPr="001F220F">
        <w:rPr>
          <w:rFonts w:ascii="Arial" w:hAnsi="Arial" w:cs="Arial"/>
          <w:b/>
          <w:bCs/>
          <w:sz w:val="24"/>
          <w:szCs w:val="24"/>
        </w:rPr>
        <w:tab/>
      </w:r>
      <w:r w:rsidR="00336EE2">
        <w:rPr>
          <w:rFonts w:ascii="Arial" w:hAnsi="Arial" w:cs="Arial"/>
          <w:bCs/>
          <w:i/>
          <w:sz w:val="24"/>
          <w:szCs w:val="24"/>
        </w:rPr>
        <w:t>H</w:t>
      </w:r>
      <w:r w:rsidR="00336EE2" w:rsidRPr="00336EE2">
        <w:rPr>
          <w:rFonts w:ascii="Arial" w:hAnsi="Arial" w:cs="Arial"/>
          <w:bCs/>
          <w:i/>
          <w:sz w:val="24"/>
          <w:szCs w:val="24"/>
        </w:rPr>
        <w:t xml:space="preserve">irt &amp; </w:t>
      </w:r>
      <w:r w:rsidR="00336EE2">
        <w:rPr>
          <w:rFonts w:ascii="Arial" w:hAnsi="Arial" w:cs="Arial"/>
          <w:bCs/>
          <w:i/>
          <w:sz w:val="24"/>
          <w:szCs w:val="24"/>
        </w:rPr>
        <w:t>C</w:t>
      </w:r>
      <w:r w:rsidR="00336EE2" w:rsidRPr="00336EE2">
        <w:rPr>
          <w:rFonts w:ascii="Arial" w:hAnsi="Arial" w:cs="Arial"/>
          <w:bCs/>
          <w:i/>
          <w:sz w:val="24"/>
          <w:szCs w:val="24"/>
        </w:rPr>
        <w:t>arter (</w:t>
      </w:r>
      <w:r w:rsidR="00336EE2">
        <w:rPr>
          <w:rFonts w:ascii="Arial" w:hAnsi="Arial" w:cs="Arial"/>
          <w:bCs/>
          <w:i/>
          <w:sz w:val="24"/>
          <w:szCs w:val="24"/>
        </w:rPr>
        <w:t>P</w:t>
      </w:r>
      <w:r w:rsidR="0023757B">
        <w:rPr>
          <w:rFonts w:ascii="Arial" w:hAnsi="Arial" w:cs="Arial"/>
          <w:bCs/>
          <w:i/>
          <w:sz w:val="24"/>
          <w:szCs w:val="24"/>
        </w:rPr>
        <w:t>ty</w:t>
      </w:r>
      <w:r w:rsidR="00336EE2" w:rsidRPr="00336EE2">
        <w:rPr>
          <w:rFonts w:ascii="Arial" w:hAnsi="Arial" w:cs="Arial"/>
          <w:bCs/>
          <w:i/>
          <w:sz w:val="24"/>
          <w:szCs w:val="24"/>
        </w:rPr>
        <w:t xml:space="preserve">) </w:t>
      </w:r>
      <w:r w:rsidR="00336EE2">
        <w:rPr>
          <w:rFonts w:ascii="Arial" w:hAnsi="Arial" w:cs="Arial"/>
          <w:bCs/>
          <w:i/>
          <w:sz w:val="24"/>
          <w:szCs w:val="24"/>
        </w:rPr>
        <w:t>L</w:t>
      </w:r>
      <w:r w:rsidR="00336EE2" w:rsidRPr="00336EE2">
        <w:rPr>
          <w:rFonts w:ascii="Arial" w:hAnsi="Arial" w:cs="Arial"/>
          <w:bCs/>
          <w:i/>
          <w:sz w:val="24"/>
          <w:szCs w:val="24"/>
        </w:rPr>
        <w:t xml:space="preserve">td </w:t>
      </w:r>
      <w:r w:rsidR="006F3F6D">
        <w:rPr>
          <w:rFonts w:ascii="Arial" w:hAnsi="Arial" w:cs="Arial"/>
          <w:bCs/>
          <w:i/>
          <w:sz w:val="24"/>
          <w:szCs w:val="24"/>
        </w:rPr>
        <w:t>v</w:t>
      </w:r>
      <w:r w:rsidR="00336EE2" w:rsidRPr="00336EE2">
        <w:rPr>
          <w:rFonts w:ascii="Arial" w:hAnsi="Arial" w:cs="Arial"/>
          <w:bCs/>
          <w:i/>
          <w:sz w:val="24"/>
          <w:szCs w:val="24"/>
        </w:rPr>
        <w:t xml:space="preserve"> </w:t>
      </w:r>
      <w:r w:rsidR="00336EE2">
        <w:rPr>
          <w:rFonts w:ascii="Arial" w:hAnsi="Arial" w:cs="Arial"/>
          <w:bCs/>
          <w:i/>
          <w:sz w:val="24"/>
          <w:szCs w:val="24"/>
        </w:rPr>
        <w:t>IT A</w:t>
      </w:r>
      <w:r w:rsidR="00336EE2" w:rsidRPr="00336EE2">
        <w:rPr>
          <w:rFonts w:ascii="Arial" w:hAnsi="Arial" w:cs="Arial"/>
          <w:bCs/>
          <w:i/>
          <w:sz w:val="24"/>
          <w:szCs w:val="24"/>
        </w:rPr>
        <w:t>rnts</w:t>
      </w:r>
      <w:r w:rsidR="009C50E9">
        <w:rPr>
          <w:rFonts w:ascii="Arial" w:hAnsi="Arial" w:cs="Arial"/>
          <w:bCs/>
          <w:i/>
          <w:sz w:val="24"/>
          <w:szCs w:val="24"/>
        </w:rPr>
        <w:t>e</w:t>
      </w:r>
      <w:r w:rsidR="00336EE2" w:rsidRPr="00336EE2">
        <w:rPr>
          <w:rFonts w:ascii="Arial" w:hAnsi="Arial" w:cs="Arial"/>
          <w:bCs/>
          <w:i/>
          <w:sz w:val="24"/>
          <w:szCs w:val="24"/>
        </w:rPr>
        <w:t xml:space="preserve">n </w:t>
      </w:r>
      <w:r w:rsidR="009C50E9">
        <w:rPr>
          <w:rFonts w:ascii="Arial" w:hAnsi="Arial" w:cs="Arial"/>
          <w:bCs/>
          <w:i/>
          <w:sz w:val="24"/>
          <w:szCs w:val="24"/>
        </w:rPr>
        <w:t>N O</w:t>
      </w:r>
      <w:r w:rsidR="00336EE2" w:rsidRPr="00336EE2">
        <w:rPr>
          <w:rFonts w:ascii="Arial" w:hAnsi="Arial" w:cs="Arial"/>
          <w:bCs/>
          <w:i/>
          <w:sz w:val="24"/>
          <w:szCs w:val="24"/>
        </w:rPr>
        <w:t xml:space="preserve"> and </w:t>
      </w:r>
      <w:r w:rsidR="009C50E9">
        <w:rPr>
          <w:rFonts w:ascii="Arial" w:hAnsi="Arial" w:cs="Arial"/>
          <w:bCs/>
          <w:i/>
          <w:sz w:val="24"/>
          <w:szCs w:val="24"/>
        </w:rPr>
        <w:t>O</w:t>
      </w:r>
      <w:r w:rsidR="00336EE2" w:rsidRPr="00336EE2">
        <w:rPr>
          <w:rFonts w:ascii="Arial" w:hAnsi="Arial" w:cs="Arial"/>
          <w:bCs/>
          <w:i/>
          <w:sz w:val="24"/>
          <w:szCs w:val="24"/>
        </w:rPr>
        <w:t>thers</w:t>
      </w:r>
      <w:r w:rsidRPr="001F220F">
        <w:rPr>
          <w:rFonts w:ascii="Arial" w:hAnsi="Arial" w:cs="Arial"/>
          <w:bCs/>
          <w:i/>
          <w:sz w:val="24"/>
          <w:szCs w:val="24"/>
        </w:rPr>
        <w:t xml:space="preserve"> </w:t>
      </w:r>
      <w:r w:rsidRPr="001F220F">
        <w:rPr>
          <w:rFonts w:ascii="Arial" w:hAnsi="Arial" w:cs="Arial"/>
          <w:bCs/>
          <w:sz w:val="24"/>
          <w:szCs w:val="24"/>
        </w:rPr>
        <w:t>(</w:t>
      </w:r>
      <w:r>
        <w:rPr>
          <w:rFonts w:ascii="Arial" w:hAnsi="Arial" w:cs="Arial"/>
          <w:bCs/>
          <w:sz w:val="24"/>
          <w:szCs w:val="24"/>
        </w:rPr>
        <w:t>Case no 277/2020</w:t>
      </w:r>
      <w:r w:rsidRPr="001F220F">
        <w:rPr>
          <w:rFonts w:ascii="Arial" w:hAnsi="Arial" w:cs="Arial"/>
          <w:bCs/>
          <w:sz w:val="24"/>
          <w:szCs w:val="24"/>
        </w:rPr>
        <w:t xml:space="preserve">) [2021] </w:t>
      </w:r>
      <w:r w:rsidRPr="00212718">
        <w:rPr>
          <w:rFonts w:ascii="Arial" w:hAnsi="Arial" w:cs="Arial"/>
          <w:bCs/>
          <w:sz w:val="24"/>
          <w:szCs w:val="24"/>
        </w:rPr>
        <w:t xml:space="preserve">ZASCA </w:t>
      </w:r>
      <w:r w:rsidR="00884506">
        <w:rPr>
          <w:rFonts w:ascii="Arial" w:hAnsi="Arial" w:cs="Arial"/>
          <w:bCs/>
          <w:sz w:val="24"/>
          <w:szCs w:val="24"/>
        </w:rPr>
        <w:t>85</w:t>
      </w:r>
      <w:r w:rsidRPr="00212718">
        <w:rPr>
          <w:rFonts w:ascii="Arial" w:hAnsi="Arial" w:cs="Arial"/>
          <w:bCs/>
          <w:sz w:val="24"/>
          <w:szCs w:val="24"/>
        </w:rPr>
        <w:t xml:space="preserve"> (</w:t>
      </w:r>
      <w:r w:rsidR="00C303D7">
        <w:rPr>
          <w:rFonts w:ascii="Arial" w:hAnsi="Arial" w:cs="Arial"/>
          <w:bCs/>
          <w:sz w:val="24"/>
          <w:szCs w:val="24"/>
        </w:rPr>
        <w:t>18</w:t>
      </w:r>
      <w:r w:rsidRPr="00212718">
        <w:rPr>
          <w:rFonts w:ascii="Arial" w:hAnsi="Arial" w:cs="Arial"/>
          <w:bCs/>
          <w:sz w:val="24"/>
          <w:szCs w:val="24"/>
        </w:rPr>
        <w:t> June</w:t>
      </w:r>
      <w:r w:rsidRPr="001F220F">
        <w:rPr>
          <w:rFonts w:ascii="Arial" w:hAnsi="Arial" w:cs="Arial"/>
          <w:bCs/>
          <w:sz w:val="24"/>
          <w:szCs w:val="24"/>
        </w:rPr>
        <w:t xml:space="preserve"> 2021)</w:t>
      </w:r>
    </w:p>
    <w:p w14:paraId="7B3BF05A" w14:textId="47007138" w:rsidR="0017664F" w:rsidRPr="001F220F" w:rsidRDefault="0017664F" w:rsidP="003A1392">
      <w:pPr>
        <w:spacing w:line="360" w:lineRule="auto"/>
        <w:ind w:left="2160" w:hanging="2160"/>
        <w:jc w:val="both"/>
        <w:rPr>
          <w:rFonts w:ascii="Arial" w:hAnsi="Arial" w:cs="Arial"/>
          <w:sz w:val="24"/>
          <w:szCs w:val="24"/>
        </w:rPr>
      </w:pPr>
      <w:r w:rsidRPr="001F220F">
        <w:rPr>
          <w:rFonts w:ascii="Arial" w:hAnsi="Arial" w:cs="Arial"/>
          <w:b/>
          <w:bCs/>
          <w:sz w:val="24"/>
          <w:szCs w:val="24"/>
        </w:rPr>
        <w:t>Coram:</w:t>
      </w:r>
      <w:r w:rsidRPr="001F220F">
        <w:rPr>
          <w:rFonts w:ascii="Arial" w:hAnsi="Arial" w:cs="Arial"/>
          <w:sz w:val="24"/>
          <w:szCs w:val="24"/>
        </w:rPr>
        <w:tab/>
      </w:r>
      <w:r w:rsidR="00DD5364">
        <w:rPr>
          <w:rFonts w:ascii="Arial" w:hAnsi="Arial" w:cs="Arial"/>
          <w:sz w:val="24"/>
          <w:szCs w:val="24"/>
        </w:rPr>
        <w:t>NAVS</w:t>
      </w:r>
      <w:r>
        <w:rPr>
          <w:rFonts w:ascii="Arial" w:hAnsi="Arial" w:cs="Arial"/>
          <w:sz w:val="24"/>
          <w:szCs w:val="24"/>
        </w:rPr>
        <w:t xml:space="preserve">A, </w:t>
      </w:r>
      <w:r w:rsidRPr="001F220F">
        <w:rPr>
          <w:rFonts w:ascii="Arial" w:hAnsi="Arial" w:cs="Arial"/>
          <w:sz w:val="24"/>
          <w:szCs w:val="24"/>
        </w:rPr>
        <w:t>MO</w:t>
      </w:r>
      <w:r w:rsidR="00DD5364">
        <w:rPr>
          <w:rFonts w:ascii="Arial" w:hAnsi="Arial" w:cs="Arial"/>
          <w:sz w:val="24"/>
          <w:szCs w:val="24"/>
        </w:rPr>
        <w:t>CUMIE</w:t>
      </w:r>
      <w:r>
        <w:rPr>
          <w:rFonts w:ascii="Arial" w:hAnsi="Arial" w:cs="Arial"/>
          <w:sz w:val="24"/>
          <w:szCs w:val="24"/>
        </w:rPr>
        <w:t xml:space="preserve">, </w:t>
      </w:r>
      <w:r w:rsidR="00DD5364">
        <w:rPr>
          <w:rFonts w:ascii="Arial" w:hAnsi="Arial" w:cs="Arial"/>
          <w:sz w:val="24"/>
          <w:szCs w:val="24"/>
        </w:rPr>
        <w:t>DLODLO</w:t>
      </w:r>
      <w:r>
        <w:rPr>
          <w:rFonts w:ascii="Arial" w:hAnsi="Arial" w:cs="Arial"/>
          <w:sz w:val="24"/>
          <w:szCs w:val="24"/>
        </w:rPr>
        <w:t xml:space="preserve"> JJA and</w:t>
      </w:r>
      <w:r w:rsidRPr="001F220F">
        <w:rPr>
          <w:rFonts w:ascii="Arial" w:hAnsi="Arial" w:cs="Arial"/>
          <w:sz w:val="24"/>
          <w:szCs w:val="24"/>
        </w:rPr>
        <w:t xml:space="preserve"> </w:t>
      </w:r>
      <w:r w:rsidR="00DD5364">
        <w:rPr>
          <w:rFonts w:ascii="Arial" w:hAnsi="Arial" w:cs="Arial"/>
          <w:sz w:val="24"/>
          <w:szCs w:val="24"/>
        </w:rPr>
        <w:t>POTTERILL</w:t>
      </w:r>
      <w:r>
        <w:rPr>
          <w:rFonts w:ascii="Arial" w:hAnsi="Arial" w:cs="Arial"/>
          <w:sz w:val="24"/>
          <w:szCs w:val="24"/>
        </w:rPr>
        <w:t xml:space="preserve"> and </w:t>
      </w:r>
      <w:r w:rsidR="00DD5364">
        <w:rPr>
          <w:rFonts w:ascii="Arial" w:hAnsi="Arial" w:cs="Arial"/>
          <w:sz w:val="24"/>
          <w:szCs w:val="24"/>
        </w:rPr>
        <w:t>POYO</w:t>
      </w:r>
      <w:r w:rsidR="00192E86" w:rsidRPr="00192E86">
        <w:rPr>
          <w:rFonts w:ascii="Arial" w:hAnsi="Arial" w:cs="Arial"/>
          <w:sz w:val="24"/>
          <w:szCs w:val="24"/>
          <w:lang w:val="en-GB"/>
        </w:rPr>
        <w:t>-</w:t>
      </w:r>
      <w:r w:rsidR="00DD5364">
        <w:rPr>
          <w:rFonts w:ascii="Arial" w:hAnsi="Arial" w:cs="Arial"/>
          <w:sz w:val="24"/>
          <w:szCs w:val="24"/>
        </w:rPr>
        <w:t>DLWATI</w:t>
      </w:r>
      <w:r>
        <w:rPr>
          <w:rFonts w:ascii="Arial" w:hAnsi="Arial" w:cs="Arial"/>
          <w:sz w:val="24"/>
          <w:szCs w:val="24"/>
        </w:rPr>
        <w:t xml:space="preserve"> AJJA</w:t>
      </w:r>
    </w:p>
    <w:p w14:paraId="75DA3543" w14:textId="2C02B5AF" w:rsidR="0017664F" w:rsidRPr="001F220F" w:rsidRDefault="0017664F" w:rsidP="003A1392">
      <w:pPr>
        <w:spacing w:line="360" w:lineRule="auto"/>
        <w:jc w:val="both"/>
        <w:rPr>
          <w:rFonts w:ascii="Arial" w:hAnsi="Arial" w:cs="Arial"/>
          <w:sz w:val="24"/>
          <w:szCs w:val="24"/>
        </w:rPr>
      </w:pPr>
      <w:r w:rsidRPr="001F220F">
        <w:rPr>
          <w:rFonts w:ascii="Arial" w:hAnsi="Arial" w:cs="Arial"/>
          <w:b/>
          <w:bCs/>
          <w:sz w:val="24"/>
          <w:szCs w:val="24"/>
        </w:rPr>
        <w:t>Heard</w:t>
      </w:r>
      <w:r w:rsidRPr="001F220F">
        <w:rPr>
          <w:rFonts w:ascii="Arial" w:hAnsi="Arial" w:cs="Arial"/>
          <w:sz w:val="24"/>
          <w:szCs w:val="24"/>
        </w:rPr>
        <w:t>:</w:t>
      </w:r>
      <w:r w:rsidRPr="001F220F">
        <w:rPr>
          <w:rFonts w:ascii="Arial" w:hAnsi="Arial" w:cs="Arial"/>
          <w:sz w:val="24"/>
          <w:szCs w:val="24"/>
        </w:rPr>
        <w:tab/>
      </w:r>
      <w:r w:rsidR="009C50E9">
        <w:rPr>
          <w:rFonts w:ascii="Arial" w:hAnsi="Arial" w:cs="Arial"/>
          <w:sz w:val="24"/>
          <w:szCs w:val="24"/>
        </w:rPr>
        <w:tab/>
      </w:r>
      <w:r w:rsidRPr="001F220F">
        <w:rPr>
          <w:rFonts w:ascii="Arial" w:hAnsi="Arial" w:cs="Arial"/>
          <w:sz w:val="24"/>
          <w:szCs w:val="24"/>
        </w:rPr>
        <w:t>1</w:t>
      </w:r>
      <w:r w:rsidR="00DD5364">
        <w:rPr>
          <w:rFonts w:ascii="Arial" w:hAnsi="Arial" w:cs="Arial"/>
          <w:sz w:val="24"/>
          <w:szCs w:val="24"/>
        </w:rPr>
        <w:t>4</w:t>
      </w:r>
      <w:r w:rsidRPr="001F220F">
        <w:rPr>
          <w:rFonts w:ascii="Arial" w:hAnsi="Arial" w:cs="Arial"/>
          <w:sz w:val="24"/>
          <w:szCs w:val="24"/>
        </w:rPr>
        <w:t xml:space="preserve"> Ma</w:t>
      </w:r>
      <w:r w:rsidR="00DD5364">
        <w:rPr>
          <w:rFonts w:ascii="Arial" w:hAnsi="Arial" w:cs="Arial"/>
          <w:sz w:val="24"/>
          <w:szCs w:val="24"/>
        </w:rPr>
        <w:t>y</w:t>
      </w:r>
      <w:r w:rsidRPr="001F220F">
        <w:rPr>
          <w:rFonts w:ascii="Arial" w:hAnsi="Arial" w:cs="Arial"/>
          <w:sz w:val="24"/>
          <w:szCs w:val="24"/>
        </w:rPr>
        <w:t xml:space="preserve"> 2021</w:t>
      </w:r>
    </w:p>
    <w:p w14:paraId="09938F48" w14:textId="60CA06A0" w:rsidR="0017664F" w:rsidRPr="00F662BE" w:rsidRDefault="0017664F" w:rsidP="003A1392">
      <w:pPr>
        <w:spacing w:line="360" w:lineRule="auto"/>
        <w:jc w:val="both"/>
        <w:rPr>
          <w:rFonts w:ascii="Arial" w:hAnsi="Arial" w:cs="Arial"/>
          <w:sz w:val="24"/>
          <w:szCs w:val="24"/>
        </w:rPr>
      </w:pPr>
      <w:r w:rsidRPr="006F3F6D">
        <w:rPr>
          <w:rFonts w:ascii="Arial" w:hAnsi="Arial" w:cs="Arial"/>
          <w:b/>
          <w:bCs/>
          <w:sz w:val="24"/>
          <w:szCs w:val="24"/>
        </w:rPr>
        <w:t>Delivered</w:t>
      </w:r>
      <w:r w:rsidRPr="006F3F6D">
        <w:rPr>
          <w:rFonts w:ascii="Arial" w:hAnsi="Arial" w:cs="Arial"/>
          <w:sz w:val="24"/>
          <w:szCs w:val="24"/>
        </w:rPr>
        <w:t>:</w:t>
      </w:r>
      <w:r w:rsidRPr="006F3F6D">
        <w:rPr>
          <w:rFonts w:ascii="Arial" w:hAnsi="Arial" w:cs="Arial"/>
          <w:sz w:val="24"/>
          <w:szCs w:val="24"/>
        </w:rPr>
        <w:tab/>
        <w:t xml:space="preserve">This judgment was handed down electronically by circulation to the parties’ legal representatives by email, publication on the Supreme Court of Appeal website and release to SAFLII. The date and time for hand-down is deemed to be </w:t>
      </w:r>
      <w:r w:rsidR="00A8337A">
        <w:rPr>
          <w:rFonts w:ascii="Arial" w:hAnsi="Arial" w:cs="Arial"/>
          <w:sz w:val="24"/>
          <w:szCs w:val="24"/>
        </w:rPr>
        <w:t>10h00</w:t>
      </w:r>
      <w:r w:rsidRPr="006F3F6D">
        <w:rPr>
          <w:rFonts w:ascii="Arial" w:hAnsi="Arial" w:cs="Arial"/>
          <w:sz w:val="24"/>
          <w:szCs w:val="24"/>
        </w:rPr>
        <w:t xml:space="preserve"> on </w:t>
      </w:r>
      <w:r w:rsidR="00C303D7">
        <w:rPr>
          <w:rFonts w:ascii="Arial" w:hAnsi="Arial" w:cs="Arial"/>
          <w:sz w:val="24"/>
          <w:szCs w:val="24"/>
        </w:rPr>
        <w:t>18</w:t>
      </w:r>
      <w:r w:rsidRPr="006F3F6D">
        <w:rPr>
          <w:rFonts w:ascii="Arial" w:hAnsi="Arial" w:cs="Arial"/>
          <w:sz w:val="24"/>
          <w:szCs w:val="24"/>
        </w:rPr>
        <w:t xml:space="preserve"> </w:t>
      </w:r>
      <w:r w:rsidR="00336EE2" w:rsidRPr="006F3F6D">
        <w:rPr>
          <w:rFonts w:ascii="Arial" w:hAnsi="Arial" w:cs="Arial"/>
          <w:sz w:val="24"/>
          <w:szCs w:val="24"/>
        </w:rPr>
        <w:t>June</w:t>
      </w:r>
      <w:r w:rsidRPr="006F3F6D">
        <w:rPr>
          <w:rFonts w:ascii="Arial" w:hAnsi="Arial" w:cs="Arial"/>
          <w:sz w:val="24"/>
          <w:szCs w:val="24"/>
        </w:rPr>
        <w:t xml:space="preserve"> 2021.</w:t>
      </w:r>
    </w:p>
    <w:p w14:paraId="7CEC622B" w14:textId="2BA84A0F" w:rsidR="00D5472B" w:rsidRPr="006F3F6D" w:rsidRDefault="0017664F" w:rsidP="00AC390B">
      <w:pPr>
        <w:spacing w:after="0" w:line="360" w:lineRule="auto"/>
        <w:jc w:val="both"/>
        <w:rPr>
          <w:rFonts w:ascii="Arial" w:hAnsi="Arial" w:cs="Arial"/>
          <w:bCs/>
          <w:sz w:val="24"/>
          <w:szCs w:val="24"/>
        </w:rPr>
      </w:pPr>
      <w:r w:rsidRPr="006F3F6D">
        <w:rPr>
          <w:rFonts w:ascii="Arial" w:hAnsi="Arial" w:cs="Arial"/>
          <w:b/>
          <w:bCs/>
          <w:sz w:val="24"/>
          <w:szCs w:val="24"/>
        </w:rPr>
        <w:t>Summary:</w:t>
      </w:r>
      <w:r w:rsidR="00B423A5" w:rsidRPr="006F3F6D">
        <w:rPr>
          <w:rFonts w:ascii="Arial" w:hAnsi="Arial" w:cs="Arial"/>
          <w:b/>
          <w:bCs/>
          <w:sz w:val="24"/>
          <w:szCs w:val="24"/>
        </w:rPr>
        <w:tab/>
      </w:r>
      <w:r w:rsidR="00792F45" w:rsidRPr="006F3F6D">
        <w:rPr>
          <w:rFonts w:ascii="Arial" w:hAnsi="Arial" w:cs="Arial"/>
          <w:bCs/>
          <w:sz w:val="24"/>
          <w:szCs w:val="24"/>
        </w:rPr>
        <w:t>Inquest</w:t>
      </w:r>
      <w:r w:rsidR="00A31B4A">
        <w:rPr>
          <w:rFonts w:ascii="Arial" w:hAnsi="Arial" w:cs="Arial"/>
          <w:bCs/>
          <w:sz w:val="24"/>
          <w:szCs w:val="24"/>
        </w:rPr>
        <w:t xml:space="preserve"> </w:t>
      </w:r>
      <w:r w:rsidR="00A31B4A" w:rsidRPr="00A31B4A">
        <w:rPr>
          <w:rFonts w:ascii="Arial" w:hAnsi="Arial" w:cs="Arial"/>
          <w:bCs/>
          <w:sz w:val="24"/>
          <w:szCs w:val="24"/>
        </w:rPr>
        <w:t>—</w:t>
      </w:r>
      <w:r w:rsidR="00A31B4A">
        <w:rPr>
          <w:rFonts w:ascii="Arial" w:hAnsi="Arial" w:cs="Arial"/>
          <w:bCs/>
          <w:sz w:val="24"/>
          <w:szCs w:val="24"/>
        </w:rPr>
        <w:t xml:space="preserve"> </w:t>
      </w:r>
      <w:r w:rsidR="00792F45" w:rsidRPr="006F3F6D">
        <w:rPr>
          <w:rFonts w:ascii="Arial" w:hAnsi="Arial" w:cs="Arial"/>
          <w:bCs/>
          <w:sz w:val="24"/>
          <w:szCs w:val="24"/>
        </w:rPr>
        <w:t>review of inquest finding</w:t>
      </w:r>
      <w:r w:rsidR="00A31B4A">
        <w:rPr>
          <w:rFonts w:ascii="Arial" w:hAnsi="Arial" w:cs="Arial"/>
          <w:bCs/>
          <w:sz w:val="24"/>
          <w:szCs w:val="24"/>
        </w:rPr>
        <w:t xml:space="preserve"> </w:t>
      </w:r>
      <w:r w:rsidR="00A31B4A" w:rsidRPr="00A31B4A">
        <w:rPr>
          <w:rFonts w:ascii="Arial" w:hAnsi="Arial" w:cs="Arial"/>
          <w:bCs/>
          <w:sz w:val="24"/>
          <w:szCs w:val="24"/>
        </w:rPr>
        <w:t>—</w:t>
      </w:r>
      <w:r w:rsidR="00A31B4A">
        <w:rPr>
          <w:rFonts w:ascii="Arial" w:hAnsi="Arial" w:cs="Arial"/>
          <w:bCs/>
          <w:sz w:val="24"/>
          <w:szCs w:val="24"/>
        </w:rPr>
        <w:t xml:space="preserve"> </w:t>
      </w:r>
      <w:r w:rsidR="009E1451" w:rsidRPr="006F3F6D">
        <w:rPr>
          <w:rFonts w:ascii="Arial" w:hAnsi="Arial" w:cs="Arial"/>
          <w:bCs/>
          <w:sz w:val="24"/>
          <w:szCs w:val="24"/>
        </w:rPr>
        <w:t xml:space="preserve">no </w:t>
      </w:r>
      <w:r w:rsidR="00792F45" w:rsidRPr="006F3F6D">
        <w:rPr>
          <w:rFonts w:ascii="Arial" w:hAnsi="Arial" w:cs="Arial"/>
          <w:bCs/>
          <w:sz w:val="24"/>
          <w:szCs w:val="24"/>
        </w:rPr>
        <w:t>material mistake of law</w:t>
      </w:r>
      <w:r w:rsidR="00D87A13" w:rsidRPr="006F3F6D">
        <w:rPr>
          <w:rFonts w:ascii="Arial" w:hAnsi="Arial" w:cs="Arial"/>
          <w:bCs/>
          <w:sz w:val="24"/>
          <w:szCs w:val="24"/>
        </w:rPr>
        <w:t xml:space="preserve"> impacting outcome</w:t>
      </w:r>
      <w:r w:rsidR="00A31B4A">
        <w:rPr>
          <w:rFonts w:ascii="Arial" w:hAnsi="Arial" w:cs="Arial"/>
          <w:bCs/>
          <w:sz w:val="24"/>
          <w:szCs w:val="24"/>
        </w:rPr>
        <w:t xml:space="preserve"> </w:t>
      </w:r>
      <w:r w:rsidR="00A31B4A" w:rsidRPr="00A31B4A">
        <w:rPr>
          <w:rFonts w:ascii="Arial" w:hAnsi="Arial" w:cs="Arial"/>
          <w:bCs/>
          <w:sz w:val="24"/>
          <w:szCs w:val="24"/>
        </w:rPr>
        <w:t>—</w:t>
      </w:r>
      <w:r w:rsidR="00A31B4A">
        <w:rPr>
          <w:rFonts w:ascii="Arial" w:hAnsi="Arial" w:cs="Arial"/>
          <w:bCs/>
          <w:sz w:val="24"/>
          <w:szCs w:val="24"/>
        </w:rPr>
        <w:t xml:space="preserve"> </w:t>
      </w:r>
      <w:r w:rsidR="00792F45" w:rsidRPr="006F3F6D">
        <w:rPr>
          <w:rFonts w:ascii="Arial" w:hAnsi="Arial" w:cs="Arial"/>
          <w:bCs/>
          <w:sz w:val="24"/>
          <w:szCs w:val="24"/>
        </w:rPr>
        <w:t>prima facie evidence of</w:t>
      </w:r>
      <w:r w:rsidR="00B17325" w:rsidRPr="006F3F6D">
        <w:rPr>
          <w:rFonts w:ascii="Arial" w:hAnsi="Arial" w:cs="Arial"/>
          <w:bCs/>
          <w:sz w:val="24"/>
          <w:szCs w:val="24"/>
        </w:rPr>
        <w:t xml:space="preserve"> act or omission </w:t>
      </w:r>
      <w:r w:rsidR="00CE48B0" w:rsidRPr="006F3F6D">
        <w:rPr>
          <w:rFonts w:ascii="Arial" w:hAnsi="Arial" w:cs="Arial"/>
          <w:bCs/>
          <w:sz w:val="24"/>
          <w:szCs w:val="24"/>
        </w:rPr>
        <w:t>involving or amounting to</w:t>
      </w:r>
      <w:r w:rsidR="00792F45" w:rsidRPr="006F3F6D">
        <w:rPr>
          <w:rFonts w:ascii="Arial" w:hAnsi="Arial" w:cs="Arial"/>
          <w:bCs/>
          <w:sz w:val="24"/>
          <w:szCs w:val="24"/>
        </w:rPr>
        <w:t xml:space="preserve"> an offence</w:t>
      </w:r>
      <w:r w:rsidR="006F3F6D">
        <w:rPr>
          <w:rFonts w:ascii="Arial" w:hAnsi="Arial" w:cs="Arial"/>
          <w:bCs/>
          <w:sz w:val="24"/>
          <w:szCs w:val="24"/>
        </w:rPr>
        <w:t>.</w:t>
      </w:r>
    </w:p>
    <w:p w14:paraId="7F00C1FA" w14:textId="77777777" w:rsidR="006F3F6D" w:rsidRPr="006F3F6D" w:rsidRDefault="006F3F6D" w:rsidP="000D047D">
      <w:pPr>
        <w:spacing w:after="0" w:line="360" w:lineRule="auto"/>
        <w:jc w:val="both"/>
        <w:rPr>
          <w:rFonts w:ascii="Arial" w:hAnsi="Arial" w:cs="Arial"/>
          <w:bCs/>
          <w:sz w:val="24"/>
          <w:szCs w:val="24"/>
        </w:rPr>
      </w:pPr>
    </w:p>
    <w:p w14:paraId="5B1E97FE" w14:textId="77777777" w:rsidR="006F3F6D" w:rsidRDefault="006F3F6D" w:rsidP="000D047D">
      <w:pPr>
        <w:spacing w:after="0" w:line="360" w:lineRule="auto"/>
        <w:jc w:val="both"/>
        <w:rPr>
          <w:rFonts w:ascii="Arial" w:hAnsi="Arial" w:cs="Arial"/>
          <w:bCs/>
          <w:sz w:val="24"/>
          <w:szCs w:val="24"/>
        </w:rPr>
      </w:pPr>
    </w:p>
    <w:p w14:paraId="3FB9D4FF" w14:textId="77777777" w:rsidR="006F3F6D" w:rsidRDefault="006F3F6D" w:rsidP="000D047D">
      <w:pPr>
        <w:spacing w:after="0" w:line="360" w:lineRule="auto"/>
        <w:jc w:val="both"/>
        <w:rPr>
          <w:rFonts w:ascii="Arial" w:hAnsi="Arial" w:cs="Arial"/>
          <w:bCs/>
          <w:sz w:val="24"/>
          <w:szCs w:val="24"/>
        </w:rPr>
      </w:pPr>
    </w:p>
    <w:p w14:paraId="572D1FCA" w14:textId="77777777" w:rsidR="006F3F6D" w:rsidRDefault="006F3F6D" w:rsidP="000D047D">
      <w:pPr>
        <w:spacing w:after="0" w:line="360" w:lineRule="auto"/>
        <w:jc w:val="both"/>
        <w:rPr>
          <w:rFonts w:ascii="Arial" w:hAnsi="Arial" w:cs="Arial"/>
          <w:bCs/>
          <w:sz w:val="24"/>
          <w:szCs w:val="24"/>
        </w:rPr>
      </w:pPr>
    </w:p>
    <w:p w14:paraId="79296A76" w14:textId="77777777" w:rsidR="006F3F6D" w:rsidRDefault="006F3F6D" w:rsidP="000D047D">
      <w:pPr>
        <w:spacing w:after="0" w:line="360" w:lineRule="auto"/>
        <w:jc w:val="both"/>
        <w:rPr>
          <w:rFonts w:ascii="Arial" w:hAnsi="Arial" w:cs="Arial"/>
          <w:bCs/>
          <w:sz w:val="24"/>
          <w:szCs w:val="24"/>
        </w:rPr>
      </w:pPr>
    </w:p>
    <w:p w14:paraId="44E62827" w14:textId="77777777" w:rsidR="006F3F6D" w:rsidRDefault="006F3F6D" w:rsidP="000D047D">
      <w:pPr>
        <w:spacing w:after="0" w:line="360" w:lineRule="auto"/>
        <w:jc w:val="both"/>
        <w:rPr>
          <w:rFonts w:ascii="Arial" w:hAnsi="Arial" w:cs="Arial"/>
          <w:bCs/>
          <w:sz w:val="24"/>
          <w:szCs w:val="24"/>
        </w:rPr>
      </w:pPr>
    </w:p>
    <w:p w14:paraId="4C9F409A" w14:textId="77777777" w:rsidR="006F3F6D" w:rsidRDefault="006F3F6D" w:rsidP="000D047D">
      <w:pPr>
        <w:spacing w:after="0" w:line="360" w:lineRule="auto"/>
        <w:jc w:val="both"/>
        <w:rPr>
          <w:rFonts w:ascii="Arial" w:hAnsi="Arial" w:cs="Arial"/>
          <w:bCs/>
          <w:sz w:val="24"/>
          <w:szCs w:val="24"/>
        </w:rPr>
      </w:pPr>
    </w:p>
    <w:p w14:paraId="147E2505" w14:textId="77777777" w:rsidR="006F3F6D" w:rsidRDefault="006F3F6D" w:rsidP="000D047D">
      <w:pPr>
        <w:spacing w:after="0" w:line="360" w:lineRule="auto"/>
        <w:jc w:val="both"/>
        <w:rPr>
          <w:rFonts w:ascii="Arial" w:hAnsi="Arial" w:cs="Arial"/>
          <w:bCs/>
          <w:sz w:val="24"/>
          <w:szCs w:val="24"/>
        </w:rPr>
      </w:pPr>
    </w:p>
    <w:p w14:paraId="465EF8D3" w14:textId="77777777" w:rsidR="006F3F6D" w:rsidRDefault="006F3F6D" w:rsidP="000D047D">
      <w:pPr>
        <w:spacing w:after="0" w:line="360" w:lineRule="auto"/>
        <w:jc w:val="both"/>
        <w:rPr>
          <w:rFonts w:ascii="Arial" w:hAnsi="Arial" w:cs="Arial"/>
          <w:bCs/>
          <w:sz w:val="24"/>
          <w:szCs w:val="24"/>
        </w:rPr>
      </w:pPr>
    </w:p>
    <w:p w14:paraId="447C7F7C" w14:textId="77777777" w:rsidR="006F3F6D" w:rsidRDefault="006F3F6D" w:rsidP="000D047D">
      <w:pPr>
        <w:spacing w:after="0" w:line="360" w:lineRule="auto"/>
        <w:jc w:val="both"/>
        <w:rPr>
          <w:rFonts w:ascii="Arial" w:hAnsi="Arial" w:cs="Arial"/>
          <w:bCs/>
          <w:sz w:val="24"/>
          <w:szCs w:val="24"/>
        </w:rPr>
      </w:pPr>
    </w:p>
    <w:p w14:paraId="773380CD" w14:textId="77777777" w:rsidR="006F3F6D" w:rsidRDefault="006F3F6D" w:rsidP="000D047D">
      <w:pPr>
        <w:spacing w:after="0" w:line="360" w:lineRule="auto"/>
        <w:jc w:val="both"/>
        <w:rPr>
          <w:rFonts w:ascii="Arial" w:hAnsi="Arial" w:cs="Arial"/>
          <w:bCs/>
          <w:sz w:val="24"/>
          <w:szCs w:val="24"/>
        </w:rPr>
      </w:pPr>
    </w:p>
    <w:p w14:paraId="0DE120A0" w14:textId="77777777" w:rsidR="006F3F6D" w:rsidRDefault="006F3F6D" w:rsidP="000D047D">
      <w:pPr>
        <w:spacing w:after="0" w:line="360" w:lineRule="auto"/>
        <w:jc w:val="both"/>
        <w:rPr>
          <w:rFonts w:ascii="Arial" w:hAnsi="Arial" w:cs="Arial"/>
          <w:bCs/>
          <w:sz w:val="24"/>
          <w:szCs w:val="24"/>
        </w:rPr>
      </w:pPr>
    </w:p>
    <w:p w14:paraId="10AD6030" w14:textId="77777777" w:rsidR="006F3F6D" w:rsidRDefault="006F3F6D" w:rsidP="000D047D">
      <w:pPr>
        <w:spacing w:after="0" w:line="360" w:lineRule="auto"/>
        <w:jc w:val="both"/>
        <w:rPr>
          <w:rFonts w:ascii="Arial" w:hAnsi="Arial" w:cs="Arial"/>
          <w:bCs/>
          <w:sz w:val="24"/>
          <w:szCs w:val="24"/>
        </w:rPr>
      </w:pPr>
    </w:p>
    <w:p w14:paraId="664FBE8B" w14:textId="77777777" w:rsidR="006F3F6D" w:rsidRDefault="006F3F6D" w:rsidP="000D047D">
      <w:pPr>
        <w:spacing w:after="0" w:line="360" w:lineRule="auto"/>
        <w:jc w:val="both"/>
        <w:rPr>
          <w:rFonts w:ascii="Arial" w:hAnsi="Arial" w:cs="Arial"/>
          <w:bCs/>
          <w:sz w:val="24"/>
          <w:szCs w:val="24"/>
        </w:rPr>
      </w:pPr>
    </w:p>
    <w:p w14:paraId="1C4DC1AD" w14:textId="77777777" w:rsidR="006F3F6D" w:rsidRDefault="006F3F6D" w:rsidP="000D047D">
      <w:pPr>
        <w:spacing w:after="0" w:line="360" w:lineRule="auto"/>
        <w:jc w:val="both"/>
        <w:rPr>
          <w:rFonts w:ascii="Arial" w:hAnsi="Arial" w:cs="Arial"/>
          <w:bCs/>
          <w:sz w:val="24"/>
          <w:szCs w:val="24"/>
        </w:rPr>
      </w:pPr>
    </w:p>
    <w:p w14:paraId="6E0BC1E4" w14:textId="77777777" w:rsidR="006F3F6D" w:rsidRDefault="006F3F6D" w:rsidP="000D047D">
      <w:pPr>
        <w:spacing w:after="0" w:line="360" w:lineRule="auto"/>
        <w:jc w:val="both"/>
        <w:rPr>
          <w:rFonts w:ascii="Arial" w:hAnsi="Arial" w:cs="Arial"/>
          <w:bCs/>
          <w:sz w:val="24"/>
          <w:szCs w:val="24"/>
        </w:rPr>
      </w:pPr>
    </w:p>
    <w:p w14:paraId="541A42EF" w14:textId="77777777" w:rsidR="006F3F6D" w:rsidRDefault="006F3F6D" w:rsidP="000D047D">
      <w:pPr>
        <w:spacing w:after="0" w:line="360" w:lineRule="auto"/>
        <w:jc w:val="both"/>
        <w:rPr>
          <w:rFonts w:ascii="Arial" w:hAnsi="Arial" w:cs="Arial"/>
          <w:bCs/>
          <w:sz w:val="24"/>
          <w:szCs w:val="24"/>
        </w:rPr>
      </w:pPr>
    </w:p>
    <w:p w14:paraId="0E86B573" w14:textId="77777777" w:rsidR="006F3F6D" w:rsidRDefault="006F3F6D" w:rsidP="000D047D">
      <w:pPr>
        <w:spacing w:after="0" w:line="360" w:lineRule="auto"/>
        <w:jc w:val="both"/>
        <w:rPr>
          <w:rFonts w:ascii="Arial" w:hAnsi="Arial" w:cs="Arial"/>
          <w:bCs/>
          <w:sz w:val="24"/>
          <w:szCs w:val="24"/>
        </w:rPr>
      </w:pPr>
    </w:p>
    <w:p w14:paraId="0C31C58A" w14:textId="77777777" w:rsidR="00054132" w:rsidRDefault="00054132" w:rsidP="000D047D">
      <w:pPr>
        <w:spacing w:after="0" w:line="360" w:lineRule="auto"/>
        <w:jc w:val="both"/>
        <w:rPr>
          <w:rFonts w:ascii="Arial" w:hAnsi="Arial" w:cs="Arial"/>
          <w:bCs/>
          <w:sz w:val="24"/>
          <w:szCs w:val="24"/>
        </w:rPr>
      </w:pPr>
    </w:p>
    <w:p w14:paraId="235CEDFA" w14:textId="77777777" w:rsidR="003A1392" w:rsidRPr="00B140D2" w:rsidRDefault="003A1392" w:rsidP="000D047D">
      <w:pPr>
        <w:spacing w:after="0" w:line="360" w:lineRule="auto"/>
        <w:jc w:val="both"/>
        <w:rPr>
          <w:rFonts w:ascii="Arial" w:hAnsi="Arial" w:cs="Arial"/>
          <w:b/>
          <w:bCs/>
          <w:sz w:val="24"/>
          <w:szCs w:val="24"/>
        </w:rPr>
      </w:pPr>
    </w:p>
    <w:p w14:paraId="3A794D23" w14:textId="77777777" w:rsidR="00054132" w:rsidRPr="00054132" w:rsidRDefault="00AB70D4" w:rsidP="00054132">
      <w:pPr>
        <w:shd w:val="clear" w:color="auto" w:fill="FFFFFF"/>
        <w:tabs>
          <w:tab w:val="left" w:pos="900"/>
        </w:tabs>
        <w:spacing w:after="0" w:line="360" w:lineRule="auto"/>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lang w:val="en-US"/>
        </w:rPr>
        <w:lastRenderedPageBreak/>
        <w:pict w14:anchorId="23149A21">
          <v:rect id="_x0000_i1025" alt="" style="width:451.3pt;height:1.5pt;mso-width-percent:0;mso-height-percent:0;mso-width-percent:0;mso-height-percent:0" o:hralign="center" o:hrstd="t" o:hrnoshade="t" o:hr="t" fillcolor="black [3213]" stroked="f"/>
        </w:pict>
      </w:r>
    </w:p>
    <w:p w14:paraId="5A9117B2" w14:textId="6ADA5B6C" w:rsidR="00054132" w:rsidRPr="00054132" w:rsidRDefault="00054132" w:rsidP="00054132">
      <w:pPr>
        <w:shd w:val="clear" w:color="auto" w:fill="FFFFFF"/>
        <w:tabs>
          <w:tab w:val="left" w:pos="900"/>
        </w:tabs>
        <w:spacing w:before="120" w:after="0" w:line="36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ORDER</w:t>
      </w:r>
    </w:p>
    <w:p w14:paraId="0B46FBA8" w14:textId="77777777" w:rsidR="00054132" w:rsidRPr="00054132" w:rsidRDefault="00AB70D4" w:rsidP="00054132">
      <w:pPr>
        <w:shd w:val="clear" w:color="auto" w:fill="FFFFFF"/>
        <w:tabs>
          <w:tab w:val="left" w:pos="900"/>
        </w:tabs>
        <w:spacing w:after="0" w:line="360" w:lineRule="auto"/>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lang w:val="en-US"/>
        </w:rPr>
        <w:pict w14:anchorId="6869B608">
          <v:rect id="_x0000_i1026" alt="" style="width:451.3pt;height:1.5pt;mso-width-percent:0;mso-height-percent:0;mso-width-percent:0;mso-height-percent:0" o:hralign="center" o:hrstd="t" o:hrnoshade="t" o:hr="t" fillcolor="black [3213]" stroked="f"/>
        </w:pict>
      </w:r>
    </w:p>
    <w:p w14:paraId="45471251" w14:textId="77777777" w:rsidR="00DD5364" w:rsidRPr="00D2258A" w:rsidRDefault="00DD5364" w:rsidP="001C4169">
      <w:pPr>
        <w:spacing w:after="0" w:line="360" w:lineRule="auto"/>
        <w:jc w:val="both"/>
        <w:rPr>
          <w:rFonts w:ascii="Arial" w:hAnsi="Arial" w:cs="Arial"/>
          <w:b/>
          <w:bCs/>
          <w:sz w:val="24"/>
          <w:szCs w:val="24"/>
          <w:lang w:val="en-GB"/>
        </w:rPr>
      </w:pPr>
    </w:p>
    <w:p w14:paraId="72F2B755" w14:textId="69DF5F2B" w:rsidR="00DD5364" w:rsidRDefault="00DD5364" w:rsidP="001C4169">
      <w:pPr>
        <w:pBdr>
          <w:bottom w:val="single" w:sz="12" w:space="1" w:color="auto"/>
        </w:pBdr>
        <w:spacing w:line="360" w:lineRule="auto"/>
        <w:jc w:val="both"/>
        <w:rPr>
          <w:rFonts w:ascii="Arial" w:hAnsi="Arial" w:cs="Arial"/>
          <w:bCs/>
          <w:sz w:val="24"/>
          <w:szCs w:val="24"/>
        </w:rPr>
      </w:pPr>
      <w:r w:rsidRPr="001F220F">
        <w:rPr>
          <w:rFonts w:ascii="Arial" w:hAnsi="Arial" w:cs="Arial"/>
          <w:b/>
          <w:bCs/>
          <w:sz w:val="24"/>
          <w:szCs w:val="24"/>
        </w:rPr>
        <w:t xml:space="preserve">On appeal from: </w:t>
      </w:r>
      <w:r w:rsidRPr="000F65B1">
        <w:rPr>
          <w:rFonts w:ascii="Arial" w:hAnsi="Arial" w:cs="Arial"/>
          <w:sz w:val="24"/>
          <w:szCs w:val="24"/>
        </w:rPr>
        <w:t>Western Cape Division of the</w:t>
      </w:r>
      <w:r w:rsidRPr="000F65B1">
        <w:rPr>
          <w:rFonts w:ascii="Arial" w:hAnsi="Arial" w:cs="Arial"/>
          <w:b/>
          <w:bCs/>
          <w:sz w:val="24"/>
          <w:szCs w:val="24"/>
        </w:rPr>
        <w:t xml:space="preserve"> </w:t>
      </w:r>
      <w:r w:rsidRPr="000F65B1">
        <w:rPr>
          <w:rFonts w:ascii="Arial" w:hAnsi="Arial" w:cs="Arial"/>
          <w:bCs/>
          <w:sz w:val="24"/>
          <w:szCs w:val="24"/>
        </w:rPr>
        <w:t>High Court, Cape Town (</w:t>
      </w:r>
      <w:r w:rsidR="00294971" w:rsidRPr="001A5DB7">
        <w:rPr>
          <w:rFonts w:ascii="Arial" w:hAnsi="Arial" w:cs="Arial"/>
          <w:bCs/>
          <w:sz w:val="24"/>
          <w:szCs w:val="24"/>
        </w:rPr>
        <w:t xml:space="preserve">Allie, </w:t>
      </w:r>
      <w:r w:rsidR="00D26987" w:rsidRPr="001A5DB7">
        <w:rPr>
          <w:rFonts w:ascii="Arial" w:hAnsi="Arial" w:cs="Arial"/>
          <w:bCs/>
          <w:sz w:val="24"/>
          <w:szCs w:val="24"/>
        </w:rPr>
        <w:t xml:space="preserve">Saldanha, </w:t>
      </w:r>
      <w:r w:rsidR="00294971" w:rsidRPr="001A5DB7">
        <w:rPr>
          <w:rFonts w:ascii="Arial" w:hAnsi="Arial" w:cs="Arial"/>
          <w:bCs/>
          <w:sz w:val="24"/>
          <w:szCs w:val="24"/>
        </w:rPr>
        <w:t>and</w:t>
      </w:r>
      <w:r w:rsidR="00D26987" w:rsidRPr="001A5DB7">
        <w:rPr>
          <w:rFonts w:ascii="Arial" w:hAnsi="Arial" w:cs="Arial"/>
          <w:bCs/>
          <w:sz w:val="24"/>
          <w:szCs w:val="24"/>
        </w:rPr>
        <w:t xml:space="preserve"> Nuku J</w:t>
      </w:r>
      <w:r w:rsidR="00BB384B">
        <w:rPr>
          <w:rFonts w:ascii="Arial" w:hAnsi="Arial" w:cs="Arial"/>
          <w:bCs/>
          <w:sz w:val="24"/>
          <w:szCs w:val="24"/>
        </w:rPr>
        <w:t>J</w:t>
      </w:r>
      <w:r w:rsidRPr="000F65B1">
        <w:rPr>
          <w:rFonts w:ascii="Arial" w:hAnsi="Arial" w:cs="Arial"/>
          <w:bCs/>
          <w:sz w:val="24"/>
          <w:szCs w:val="24"/>
        </w:rPr>
        <w:t xml:space="preserve"> sitting as court of </w:t>
      </w:r>
      <w:r w:rsidR="00ED31B2" w:rsidRPr="000F65B1">
        <w:rPr>
          <w:rFonts w:ascii="Arial" w:hAnsi="Arial" w:cs="Arial"/>
          <w:bCs/>
          <w:sz w:val="24"/>
          <w:szCs w:val="24"/>
        </w:rPr>
        <w:t>review</w:t>
      </w:r>
      <w:r w:rsidR="008521DD" w:rsidRPr="000F65B1">
        <w:rPr>
          <w:rFonts w:ascii="Arial" w:hAnsi="Arial" w:cs="Arial"/>
          <w:bCs/>
          <w:sz w:val="24"/>
          <w:szCs w:val="24"/>
        </w:rPr>
        <w:t xml:space="preserve"> of an inquest findin</w:t>
      </w:r>
      <w:r w:rsidR="00C17649" w:rsidRPr="000F65B1">
        <w:rPr>
          <w:rFonts w:ascii="Arial" w:hAnsi="Arial" w:cs="Arial"/>
          <w:bCs/>
          <w:sz w:val="24"/>
          <w:szCs w:val="24"/>
        </w:rPr>
        <w:t>g</w:t>
      </w:r>
      <w:r w:rsidRPr="000F65B1">
        <w:rPr>
          <w:rFonts w:ascii="Arial" w:hAnsi="Arial" w:cs="Arial"/>
          <w:bCs/>
          <w:sz w:val="24"/>
          <w:szCs w:val="24"/>
        </w:rPr>
        <w:t>):</w:t>
      </w:r>
    </w:p>
    <w:p w14:paraId="472223F7" w14:textId="03CA9E8A" w:rsidR="001C4169" w:rsidRDefault="0076266C" w:rsidP="001C4169">
      <w:pPr>
        <w:pBdr>
          <w:bottom w:val="single" w:sz="12" w:space="1" w:color="auto"/>
        </w:pBdr>
        <w:spacing w:line="360" w:lineRule="auto"/>
        <w:jc w:val="both"/>
        <w:rPr>
          <w:rFonts w:ascii="Arial" w:hAnsi="Arial" w:cs="Arial"/>
          <w:bCs/>
          <w:sz w:val="24"/>
          <w:szCs w:val="24"/>
        </w:rPr>
      </w:pPr>
      <w:r w:rsidRPr="0076266C">
        <w:rPr>
          <w:rFonts w:ascii="Arial" w:hAnsi="Arial" w:cs="Arial"/>
          <w:bCs/>
          <w:sz w:val="24"/>
          <w:szCs w:val="24"/>
        </w:rPr>
        <w:t>The app</w:t>
      </w:r>
      <w:r w:rsidR="008521DD">
        <w:rPr>
          <w:rFonts w:ascii="Arial" w:hAnsi="Arial" w:cs="Arial"/>
          <w:bCs/>
          <w:sz w:val="24"/>
          <w:szCs w:val="24"/>
        </w:rPr>
        <w:t>eal</w:t>
      </w:r>
      <w:r w:rsidRPr="0076266C">
        <w:rPr>
          <w:rFonts w:ascii="Arial" w:hAnsi="Arial" w:cs="Arial"/>
          <w:bCs/>
          <w:sz w:val="24"/>
          <w:szCs w:val="24"/>
        </w:rPr>
        <w:t xml:space="preserve"> is dismissed.</w:t>
      </w:r>
    </w:p>
    <w:p w14:paraId="0F30C584" w14:textId="77777777" w:rsidR="001C4169" w:rsidRDefault="001C4169" w:rsidP="001C4169">
      <w:pPr>
        <w:pBdr>
          <w:bottom w:val="single" w:sz="12" w:space="1" w:color="auto"/>
        </w:pBdr>
        <w:spacing w:line="360" w:lineRule="auto"/>
        <w:jc w:val="both"/>
        <w:rPr>
          <w:rFonts w:ascii="Arial" w:hAnsi="Arial" w:cs="Arial"/>
          <w:bCs/>
          <w:sz w:val="24"/>
          <w:szCs w:val="24"/>
        </w:rPr>
      </w:pPr>
    </w:p>
    <w:p w14:paraId="5D56E4EF" w14:textId="77777777" w:rsidR="009C50E9" w:rsidRPr="00D2258A" w:rsidRDefault="009C50E9" w:rsidP="001C4169">
      <w:pPr>
        <w:spacing w:after="0" w:line="240" w:lineRule="auto"/>
        <w:jc w:val="both"/>
        <w:rPr>
          <w:rFonts w:ascii="Arial" w:hAnsi="Arial" w:cs="Arial"/>
          <w:b/>
          <w:bCs/>
          <w:sz w:val="24"/>
          <w:szCs w:val="24"/>
          <w:lang w:val="en-GB"/>
        </w:rPr>
      </w:pPr>
    </w:p>
    <w:p w14:paraId="09C451CE" w14:textId="69999969" w:rsidR="00DD5364" w:rsidRDefault="00DD5364" w:rsidP="001C4169">
      <w:pPr>
        <w:pBdr>
          <w:bottom w:val="single" w:sz="12" w:space="1" w:color="auto"/>
        </w:pBdr>
        <w:spacing w:after="0" w:line="240" w:lineRule="auto"/>
        <w:jc w:val="center"/>
        <w:rPr>
          <w:rFonts w:ascii="Arial" w:hAnsi="Arial" w:cs="Arial"/>
          <w:b/>
          <w:bCs/>
          <w:sz w:val="24"/>
          <w:szCs w:val="24"/>
          <w:lang w:val="en-GB"/>
        </w:rPr>
      </w:pPr>
      <w:r w:rsidRPr="00D2258A">
        <w:rPr>
          <w:rFonts w:ascii="Arial" w:hAnsi="Arial" w:cs="Arial"/>
          <w:b/>
          <w:bCs/>
          <w:sz w:val="24"/>
          <w:szCs w:val="24"/>
          <w:lang w:val="en-GB"/>
        </w:rPr>
        <w:t>JUDGMENT</w:t>
      </w:r>
    </w:p>
    <w:p w14:paraId="4B3CE1DF" w14:textId="77777777" w:rsidR="00054132" w:rsidRDefault="00054132" w:rsidP="001C4169">
      <w:pPr>
        <w:pBdr>
          <w:bottom w:val="single" w:sz="12" w:space="1" w:color="auto"/>
        </w:pBdr>
        <w:spacing w:after="0" w:line="240" w:lineRule="auto"/>
        <w:jc w:val="center"/>
        <w:rPr>
          <w:rFonts w:ascii="Arial" w:hAnsi="Arial" w:cs="Arial"/>
          <w:b/>
          <w:bCs/>
          <w:sz w:val="24"/>
          <w:szCs w:val="24"/>
          <w:lang w:val="en-GB"/>
        </w:rPr>
      </w:pPr>
    </w:p>
    <w:p w14:paraId="2923B2E9" w14:textId="77777777" w:rsidR="00054132" w:rsidRPr="00D26987" w:rsidRDefault="00054132" w:rsidP="00D26987">
      <w:pPr>
        <w:spacing w:after="0" w:line="360" w:lineRule="auto"/>
        <w:jc w:val="both"/>
        <w:rPr>
          <w:rFonts w:ascii="Arial" w:hAnsi="Arial" w:cs="Arial"/>
          <w:b/>
          <w:bCs/>
          <w:sz w:val="24"/>
          <w:szCs w:val="24"/>
          <w:lang w:val="en-GB"/>
        </w:rPr>
      </w:pPr>
    </w:p>
    <w:p w14:paraId="7B83B1FD" w14:textId="3D1D355C" w:rsidR="00D26987" w:rsidRPr="003A1392" w:rsidRDefault="00D26987" w:rsidP="003A1392">
      <w:pPr>
        <w:spacing w:line="360" w:lineRule="auto"/>
        <w:jc w:val="both"/>
        <w:rPr>
          <w:rFonts w:ascii="Arial" w:eastAsia="Calibri" w:hAnsi="Arial" w:cs="Arial"/>
          <w:sz w:val="24"/>
          <w:szCs w:val="24"/>
        </w:rPr>
      </w:pPr>
      <w:r w:rsidRPr="003A1392">
        <w:rPr>
          <w:rFonts w:ascii="Arial" w:eastAsia="Calibri" w:hAnsi="Arial" w:cs="Arial"/>
          <w:b/>
          <w:bCs/>
          <w:sz w:val="24"/>
          <w:szCs w:val="24"/>
        </w:rPr>
        <w:t>Potterill AJA (</w:t>
      </w:r>
      <w:r w:rsidR="00A261CE">
        <w:rPr>
          <w:rFonts w:ascii="Arial" w:eastAsia="Calibri" w:hAnsi="Arial" w:cs="Arial"/>
          <w:b/>
          <w:bCs/>
          <w:sz w:val="24"/>
          <w:szCs w:val="24"/>
        </w:rPr>
        <w:t>Navsa, Mocumie, Dlodlo JJA and Poyo-Dlwati AJA</w:t>
      </w:r>
      <w:r w:rsidRPr="003A1392">
        <w:rPr>
          <w:rFonts w:ascii="Arial" w:eastAsia="Calibri" w:hAnsi="Arial" w:cs="Arial"/>
          <w:b/>
          <w:bCs/>
          <w:sz w:val="24"/>
          <w:szCs w:val="24"/>
        </w:rPr>
        <w:t xml:space="preserve"> concurring)</w:t>
      </w:r>
    </w:p>
    <w:p w14:paraId="06503EE9" w14:textId="77777777" w:rsidR="00D26987" w:rsidRPr="003A1392" w:rsidRDefault="00D26987" w:rsidP="003A1392">
      <w:pPr>
        <w:spacing w:line="360" w:lineRule="auto"/>
        <w:jc w:val="both"/>
        <w:rPr>
          <w:rFonts w:ascii="Arial" w:eastAsia="Calibri" w:hAnsi="Arial" w:cs="Arial"/>
          <w:sz w:val="24"/>
          <w:szCs w:val="24"/>
        </w:rPr>
      </w:pPr>
      <w:r w:rsidRPr="003A1392">
        <w:rPr>
          <w:rFonts w:ascii="Arial" w:eastAsia="Calibri" w:hAnsi="Arial" w:cs="Arial"/>
          <w:b/>
          <w:bCs/>
          <w:sz w:val="24"/>
          <w:szCs w:val="24"/>
        </w:rPr>
        <w:t>Introduction</w:t>
      </w:r>
    </w:p>
    <w:p w14:paraId="4F8A17D5" w14:textId="014F8C7B" w:rsidR="00D26987" w:rsidRPr="003A1392" w:rsidRDefault="00D26987" w:rsidP="003A1392">
      <w:pPr>
        <w:spacing w:line="360" w:lineRule="auto"/>
        <w:jc w:val="both"/>
        <w:rPr>
          <w:rFonts w:ascii="Arial" w:eastAsia="Calibri" w:hAnsi="Arial" w:cs="Arial"/>
          <w:sz w:val="24"/>
          <w:szCs w:val="24"/>
        </w:rPr>
      </w:pPr>
      <w:r w:rsidRPr="003A1392">
        <w:rPr>
          <w:rFonts w:ascii="Arial" w:eastAsia="Calibri" w:hAnsi="Arial" w:cs="Arial"/>
          <w:sz w:val="24"/>
          <w:szCs w:val="24"/>
        </w:rPr>
        <w:t>[1]</w:t>
      </w:r>
      <w:r w:rsidR="008F78FC" w:rsidRPr="003A1392">
        <w:rPr>
          <w:rFonts w:ascii="Arial" w:eastAsia="Calibri" w:hAnsi="Arial" w:cs="Arial"/>
          <w:sz w:val="24"/>
          <w:szCs w:val="24"/>
        </w:rPr>
        <w:tab/>
      </w:r>
      <w:r w:rsidRPr="003A1392">
        <w:rPr>
          <w:rFonts w:ascii="Arial" w:eastAsia="Calibri" w:hAnsi="Arial" w:cs="Arial"/>
          <w:sz w:val="24"/>
          <w:szCs w:val="24"/>
        </w:rPr>
        <w:t>At a Linkin Park concert held at the Cape Town Stadium on 7 November 2012 Mrs Florentia Loredana Popa tragically lost her life when scaffolding structures</w:t>
      </w:r>
      <w:r w:rsidR="008F78FC" w:rsidRPr="003A1392">
        <w:rPr>
          <w:rFonts w:ascii="Arial" w:eastAsia="Calibri" w:hAnsi="Arial" w:cs="Arial"/>
          <w:sz w:val="24"/>
          <w:szCs w:val="24"/>
        </w:rPr>
        <w:t>,</w:t>
      </w:r>
      <w:r w:rsidRPr="003A1392">
        <w:rPr>
          <w:rFonts w:ascii="Arial" w:eastAsia="Calibri" w:hAnsi="Arial" w:cs="Arial"/>
          <w:sz w:val="24"/>
          <w:szCs w:val="24"/>
        </w:rPr>
        <w:t xml:space="preserve"> to which advertising </w:t>
      </w:r>
      <w:r w:rsidR="00443A72" w:rsidRPr="003A1392">
        <w:rPr>
          <w:rFonts w:ascii="Arial" w:eastAsia="Calibri" w:hAnsi="Arial" w:cs="Arial"/>
          <w:sz w:val="24"/>
          <w:szCs w:val="24"/>
        </w:rPr>
        <w:t>material was</w:t>
      </w:r>
      <w:r w:rsidRPr="003A1392">
        <w:rPr>
          <w:rFonts w:ascii="Arial" w:eastAsia="Calibri" w:hAnsi="Arial" w:cs="Arial"/>
          <w:sz w:val="24"/>
          <w:szCs w:val="24"/>
        </w:rPr>
        <w:t xml:space="preserve"> attached</w:t>
      </w:r>
      <w:r w:rsidR="008F78FC" w:rsidRPr="003A1392">
        <w:rPr>
          <w:rFonts w:ascii="Arial" w:eastAsia="Calibri" w:hAnsi="Arial" w:cs="Arial"/>
          <w:sz w:val="24"/>
          <w:szCs w:val="24"/>
        </w:rPr>
        <w:t>,</w:t>
      </w:r>
      <w:r w:rsidRPr="003A1392">
        <w:rPr>
          <w:rFonts w:ascii="Arial" w:eastAsia="Calibri" w:hAnsi="Arial" w:cs="Arial"/>
          <w:sz w:val="24"/>
          <w:szCs w:val="24"/>
        </w:rPr>
        <w:t xml:space="preserve"> collapsed causing open blunt force trauma to her head resulting in her untimely demise.</w:t>
      </w:r>
      <w:r w:rsidR="002C1F71" w:rsidRPr="003A1392">
        <w:rPr>
          <w:rFonts w:ascii="Arial" w:eastAsia="Calibri" w:hAnsi="Arial" w:cs="Arial"/>
          <w:sz w:val="24"/>
          <w:szCs w:val="24"/>
        </w:rPr>
        <w:t xml:space="preserve"> Several other </w:t>
      </w:r>
      <w:r w:rsidR="00762E67" w:rsidRPr="003A1392">
        <w:rPr>
          <w:rFonts w:ascii="Arial" w:eastAsia="Calibri" w:hAnsi="Arial" w:cs="Arial"/>
          <w:sz w:val="24"/>
          <w:szCs w:val="24"/>
        </w:rPr>
        <w:t>concertgoers</w:t>
      </w:r>
      <w:r w:rsidR="002C1F71" w:rsidRPr="003A1392">
        <w:rPr>
          <w:rFonts w:ascii="Arial" w:eastAsia="Calibri" w:hAnsi="Arial" w:cs="Arial"/>
          <w:sz w:val="24"/>
          <w:szCs w:val="24"/>
        </w:rPr>
        <w:t xml:space="preserve"> were also injured as a result of the</w:t>
      </w:r>
      <w:r w:rsidR="00FA54A2" w:rsidRPr="003A1392">
        <w:rPr>
          <w:rFonts w:ascii="Arial" w:eastAsia="Calibri" w:hAnsi="Arial" w:cs="Arial"/>
          <w:sz w:val="24"/>
          <w:szCs w:val="24"/>
        </w:rPr>
        <w:t xml:space="preserve"> scaf</w:t>
      </w:r>
      <w:r w:rsidR="00AD1768" w:rsidRPr="003A1392">
        <w:rPr>
          <w:rFonts w:ascii="Arial" w:eastAsia="Calibri" w:hAnsi="Arial" w:cs="Arial"/>
          <w:sz w:val="24"/>
          <w:szCs w:val="24"/>
        </w:rPr>
        <w:t>folding collapse.</w:t>
      </w:r>
      <w:r w:rsidRPr="003A1392">
        <w:rPr>
          <w:rFonts w:ascii="Arial" w:eastAsia="Calibri" w:hAnsi="Arial" w:cs="Arial"/>
          <w:sz w:val="24"/>
          <w:szCs w:val="24"/>
        </w:rPr>
        <w:t xml:space="preserve"> Pursuant to this tragedy an inquest was held in terms of s 5(2) of the Inquests Act 58 of 1959 (the Act) and the Magistrate found</w:t>
      </w:r>
      <w:r w:rsidR="00421A7D" w:rsidRPr="003A1392">
        <w:rPr>
          <w:rFonts w:ascii="Arial" w:eastAsia="Calibri" w:hAnsi="Arial" w:cs="Arial"/>
          <w:sz w:val="24"/>
          <w:szCs w:val="24"/>
        </w:rPr>
        <w:t>,</w:t>
      </w:r>
      <w:r w:rsidRPr="003A1392">
        <w:rPr>
          <w:rFonts w:ascii="Arial" w:eastAsia="Calibri" w:hAnsi="Arial" w:cs="Arial"/>
          <w:sz w:val="24"/>
          <w:szCs w:val="24"/>
        </w:rPr>
        <w:t xml:space="preserve"> in terms of s</w:t>
      </w:r>
      <w:r w:rsidR="008F78FC" w:rsidRPr="003A1392">
        <w:rPr>
          <w:rFonts w:ascii="Arial" w:eastAsia="Calibri" w:hAnsi="Arial" w:cs="Arial"/>
          <w:sz w:val="24"/>
          <w:szCs w:val="24"/>
        </w:rPr>
        <w:t xml:space="preserve"> </w:t>
      </w:r>
      <w:r w:rsidRPr="003A1392">
        <w:rPr>
          <w:rFonts w:ascii="Arial" w:eastAsia="Calibri" w:hAnsi="Arial" w:cs="Arial"/>
          <w:sz w:val="24"/>
          <w:szCs w:val="24"/>
        </w:rPr>
        <w:t>16</w:t>
      </w:r>
      <w:r w:rsidR="003D35A1" w:rsidRPr="003A1392">
        <w:rPr>
          <w:rFonts w:ascii="Arial" w:eastAsia="Calibri" w:hAnsi="Arial" w:cs="Arial"/>
          <w:sz w:val="24"/>
          <w:szCs w:val="24"/>
        </w:rPr>
        <w:t>(2)</w:t>
      </w:r>
      <w:r w:rsidR="00DF7BB0" w:rsidRPr="003A1392">
        <w:rPr>
          <w:rFonts w:ascii="Arial" w:eastAsia="Calibri" w:hAnsi="Arial" w:cs="Arial"/>
          <w:sz w:val="24"/>
          <w:szCs w:val="24"/>
        </w:rPr>
        <w:t>(</w:t>
      </w:r>
      <w:r w:rsidR="00DF7BB0" w:rsidRPr="003A1392">
        <w:rPr>
          <w:rFonts w:ascii="Arial" w:eastAsia="Calibri" w:hAnsi="Arial" w:cs="Arial"/>
          <w:i/>
          <w:iCs/>
          <w:sz w:val="24"/>
          <w:szCs w:val="24"/>
        </w:rPr>
        <w:t>d</w:t>
      </w:r>
      <w:r w:rsidR="00DF7BB0" w:rsidRPr="003A1392">
        <w:rPr>
          <w:rFonts w:ascii="Arial" w:eastAsia="Calibri" w:hAnsi="Arial" w:cs="Arial"/>
          <w:sz w:val="24"/>
          <w:szCs w:val="24"/>
        </w:rPr>
        <w:t>)</w:t>
      </w:r>
      <w:r w:rsidRPr="003A1392">
        <w:rPr>
          <w:rFonts w:ascii="Arial" w:eastAsia="Calibri" w:hAnsi="Arial" w:cs="Arial"/>
          <w:sz w:val="24"/>
          <w:szCs w:val="24"/>
        </w:rPr>
        <w:t xml:space="preserve"> thereof</w:t>
      </w:r>
      <w:r w:rsidR="00421A7D" w:rsidRPr="003A1392">
        <w:rPr>
          <w:rFonts w:ascii="Arial" w:eastAsia="Calibri" w:hAnsi="Arial" w:cs="Arial"/>
          <w:sz w:val="24"/>
          <w:szCs w:val="24"/>
        </w:rPr>
        <w:t>,</w:t>
      </w:r>
      <w:r w:rsidRPr="003A1392">
        <w:rPr>
          <w:rFonts w:ascii="Arial" w:eastAsia="Calibri" w:hAnsi="Arial" w:cs="Arial"/>
          <w:sz w:val="24"/>
          <w:szCs w:val="24"/>
        </w:rPr>
        <w:t xml:space="preserve"> that the</w:t>
      </w:r>
      <w:r w:rsidR="00896519" w:rsidRPr="003A1392">
        <w:rPr>
          <w:rFonts w:ascii="Arial" w:eastAsia="Calibri" w:hAnsi="Arial" w:cs="Arial"/>
          <w:sz w:val="24"/>
          <w:szCs w:val="24"/>
        </w:rPr>
        <w:t xml:space="preserve"> death of </w:t>
      </w:r>
      <w:r w:rsidR="00762E67" w:rsidRPr="003A1392">
        <w:rPr>
          <w:rFonts w:ascii="Arial" w:eastAsia="Calibri" w:hAnsi="Arial" w:cs="Arial"/>
          <w:sz w:val="24"/>
          <w:szCs w:val="24"/>
        </w:rPr>
        <w:t>M</w:t>
      </w:r>
      <w:r w:rsidR="001C4169" w:rsidRPr="003A1392">
        <w:rPr>
          <w:rFonts w:ascii="Arial" w:eastAsia="Calibri" w:hAnsi="Arial" w:cs="Arial"/>
          <w:sz w:val="24"/>
          <w:szCs w:val="24"/>
        </w:rPr>
        <w:t>r</w:t>
      </w:r>
      <w:r w:rsidR="00762E67" w:rsidRPr="003A1392">
        <w:rPr>
          <w:rFonts w:ascii="Arial" w:eastAsia="Calibri" w:hAnsi="Arial" w:cs="Arial"/>
          <w:sz w:val="24"/>
          <w:szCs w:val="24"/>
        </w:rPr>
        <w:t xml:space="preserve">s Popa was brought about </w:t>
      </w:r>
      <w:r w:rsidR="0056546B" w:rsidRPr="003A1392">
        <w:rPr>
          <w:rFonts w:ascii="Arial" w:eastAsia="Calibri" w:hAnsi="Arial" w:cs="Arial"/>
          <w:sz w:val="24"/>
          <w:szCs w:val="24"/>
        </w:rPr>
        <w:t xml:space="preserve">by an act or omission </w:t>
      </w:r>
      <w:r w:rsidR="00EE01D6" w:rsidRPr="003A1392">
        <w:rPr>
          <w:rFonts w:ascii="Arial" w:eastAsia="Calibri" w:hAnsi="Arial" w:cs="Arial"/>
          <w:sz w:val="24"/>
          <w:szCs w:val="24"/>
        </w:rPr>
        <w:t xml:space="preserve">on the part of the </w:t>
      </w:r>
      <w:r w:rsidRPr="003A1392">
        <w:rPr>
          <w:rFonts w:ascii="Arial" w:eastAsia="Calibri" w:hAnsi="Arial" w:cs="Arial"/>
          <w:sz w:val="24"/>
          <w:szCs w:val="24"/>
        </w:rPr>
        <w:t>appellant (Hirt &amp; Carter</w:t>
      </w:r>
      <w:r w:rsidR="001C4169" w:rsidRPr="003A1392">
        <w:rPr>
          <w:rFonts w:ascii="Arial" w:eastAsia="Calibri" w:hAnsi="Arial" w:cs="Arial"/>
          <w:sz w:val="24"/>
          <w:szCs w:val="24"/>
        </w:rPr>
        <w:t xml:space="preserve"> (Pty) Ltd</w:t>
      </w:r>
      <w:r w:rsidRPr="003A1392">
        <w:rPr>
          <w:rFonts w:ascii="Arial" w:eastAsia="Calibri" w:hAnsi="Arial" w:cs="Arial"/>
          <w:sz w:val="24"/>
          <w:szCs w:val="24"/>
        </w:rPr>
        <w:t xml:space="preserve">), Vertex </w:t>
      </w:r>
      <w:r w:rsidR="001C4169" w:rsidRPr="003A1392">
        <w:rPr>
          <w:rFonts w:ascii="Arial" w:eastAsia="Calibri" w:hAnsi="Arial" w:cs="Arial"/>
          <w:sz w:val="24"/>
          <w:szCs w:val="24"/>
        </w:rPr>
        <w:t xml:space="preserve">Scaffolding </w:t>
      </w:r>
      <w:r w:rsidRPr="003A1392">
        <w:rPr>
          <w:rFonts w:ascii="Arial" w:eastAsia="Calibri" w:hAnsi="Arial" w:cs="Arial"/>
          <w:sz w:val="24"/>
          <w:szCs w:val="24"/>
        </w:rPr>
        <w:t>CC (Vertex) and Maxw</w:t>
      </w:r>
      <w:r w:rsidR="001C4169" w:rsidRPr="003A1392">
        <w:rPr>
          <w:rFonts w:ascii="Arial" w:eastAsia="Calibri" w:hAnsi="Arial" w:cs="Arial"/>
          <w:sz w:val="24"/>
          <w:szCs w:val="24"/>
        </w:rPr>
        <w:t>i</w:t>
      </w:r>
      <w:r w:rsidRPr="003A1392">
        <w:rPr>
          <w:rFonts w:ascii="Arial" w:eastAsia="Calibri" w:hAnsi="Arial" w:cs="Arial"/>
          <w:sz w:val="24"/>
          <w:szCs w:val="24"/>
        </w:rPr>
        <w:t>ll 137 CC t/a Bothma Signs (Bothma Signs)</w:t>
      </w:r>
      <w:r w:rsidR="009C5329" w:rsidRPr="003A1392">
        <w:rPr>
          <w:rFonts w:ascii="Arial" w:eastAsia="Calibri" w:hAnsi="Arial" w:cs="Arial"/>
          <w:sz w:val="24"/>
          <w:szCs w:val="24"/>
        </w:rPr>
        <w:t>,</w:t>
      </w:r>
      <w:r w:rsidR="00C23ADD" w:rsidRPr="003A1392">
        <w:rPr>
          <w:rFonts w:ascii="Arial" w:eastAsia="Calibri" w:hAnsi="Arial" w:cs="Arial"/>
          <w:sz w:val="24"/>
          <w:szCs w:val="24"/>
        </w:rPr>
        <w:t xml:space="preserve"> that </w:t>
      </w:r>
      <w:r w:rsidR="00C23ADD" w:rsidRPr="003A1392">
        <w:rPr>
          <w:rFonts w:ascii="Arial" w:eastAsia="Calibri" w:hAnsi="Arial" w:cs="Arial"/>
          <w:iCs/>
          <w:sz w:val="24"/>
          <w:szCs w:val="24"/>
        </w:rPr>
        <w:t>prima facie</w:t>
      </w:r>
      <w:r w:rsidR="00C23ADD" w:rsidRPr="003A1392">
        <w:rPr>
          <w:rFonts w:ascii="Arial" w:eastAsia="Calibri" w:hAnsi="Arial" w:cs="Arial"/>
          <w:sz w:val="24"/>
          <w:szCs w:val="24"/>
        </w:rPr>
        <w:t xml:space="preserve"> involves or amounts to an offence</w:t>
      </w:r>
      <w:r w:rsidRPr="003A1392">
        <w:rPr>
          <w:rFonts w:ascii="Arial" w:eastAsia="Calibri" w:hAnsi="Arial" w:cs="Arial"/>
          <w:sz w:val="24"/>
          <w:szCs w:val="24"/>
        </w:rPr>
        <w:t xml:space="preserve">. </w:t>
      </w:r>
    </w:p>
    <w:p w14:paraId="1572D1B3" w14:textId="77777777" w:rsidR="00C17649" w:rsidRPr="003A1392" w:rsidRDefault="00C17649" w:rsidP="003A1392">
      <w:pPr>
        <w:spacing w:line="360" w:lineRule="auto"/>
        <w:jc w:val="both"/>
        <w:rPr>
          <w:rFonts w:ascii="Arial" w:eastAsia="Calibri" w:hAnsi="Arial" w:cs="Arial"/>
          <w:sz w:val="24"/>
          <w:szCs w:val="24"/>
        </w:rPr>
      </w:pPr>
    </w:p>
    <w:p w14:paraId="614C3DE1" w14:textId="3F225761" w:rsidR="00C17649" w:rsidRPr="00D26987" w:rsidRDefault="00D26987" w:rsidP="00D26987">
      <w:pPr>
        <w:spacing w:line="360" w:lineRule="auto"/>
        <w:jc w:val="both"/>
        <w:rPr>
          <w:rFonts w:ascii="Arial" w:eastAsia="Calibri" w:hAnsi="Arial" w:cs="Arial"/>
          <w:sz w:val="24"/>
          <w:szCs w:val="24"/>
        </w:rPr>
      </w:pPr>
      <w:r w:rsidRPr="003A1392">
        <w:rPr>
          <w:rFonts w:ascii="Arial" w:eastAsia="Calibri" w:hAnsi="Arial" w:cs="Arial"/>
          <w:sz w:val="24"/>
          <w:szCs w:val="24"/>
        </w:rPr>
        <w:t>[2</w:t>
      </w:r>
      <w:r w:rsidR="008F78FC" w:rsidRPr="003A1392">
        <w:rPr>
          <w:rFonts w:ascii="Arial" w:eastAsia="Calibri" w:hAnsi="Arial" w:cs="Arial"/>
          <w:sz w:val="24"/>
          <w:szCs w:val="24"/>
        </w:rPr>
        <w:t>]</w:t>
      </w:r>
      <w:r w:rsidR="008F78FC" w:rsidRPr="003A1392">
        <w:rPr>
          <w:rFonts w:ascii="Arial" w:eastAsia="Calibri" w:hAnsi="Arial" w:cs="Arial"/>
          <w:sz w:val="24"/>
          <w:szCs w:val="24"/>
        </w:rPr>
        <w:tab/>
      </w:r>
      <w:r w:rsidRPr="003A1392">
        <w:rPr>
          <w:rFonts w:ascii="Arial" w:eastAsia="Calibri" w:hAnsi="Arial" w:cs="Arial"/>
          <w:sz w:val="24"/>
          <w:szCs w:val="24"/>
        </w:rPr>
        <w:t>Hirt &amp; Carter took the finding of the Magistrate on review</w:t>
      </w:r>
      <w:r w:rsidR="00C23ADD" w:rsidRPr="003A1392">
        <w:rPr>
          <w:rFonts w:ascii="Arial" w:eastAsia="Calibri" w:hAnsi="Arial" w:cs="Arial"/>
          <w:sz w:val="24"/>
          <w:szCs w:val="24"/>
        </w:rPr>
        <w:t xml:space="preserve"> in the</w:t>
      </w:r>
      <w:r w:rsidR="00C169B3" w:rsidRPr="003A1392">
        <w:rPr>
          <w:rFonts w:ascii="Arial" w:eastAsia="Calibri" w:hAnsi="Arial" w:cs="Arial"/>
          <w:sz w:val="24"/>
          <w:szCs w:val="24"/>
        </w:rPr>
        <w:t xml:space="preserve"> West</w:t>
      </w:r>
      <w:r w:rsidR="00D5241C" w:rsidRPr="003A1392">
        <w:rPr>
          <w:rFonts w:ascii="Arial" w:eastAsia="Calibri" w:hAnsi="Arial" w:cs="Arial"/>
          <w:sz w:val="24"/>
          <w:szCs w:val="24"/>
        </w:rPr>
        <w:t>e</w:t>
      </w:r>
      <w:r w:rsidR="00C169B3" w:rsidRPr="003A1392">
        <w:rPr>
          <w:rFonts w:ascii="Arial" w:eastAsia="Calibri" w:hAnsi="Arial" w:cs="Arial"/>
          <w:sz w:val="24"/>
          <w:szCs w:val="24"/>
        </w:rPr>
        <w:t>rn Cape Division of</w:t>
      </w:r>
      <w:r w:rsidR="00D5241C" w:rsidRPr="003A1392">
        <w:rPr>
          <w:rFonts w:ascii="Arial" w:eastAsia="Calibri" w:hAnsi="Arial" w:cs="Arial"/>
          <w:sz w:val="24"/>
          <w:szCs w:val="24"/>
        </w:rPr>
        <w:t xml:space="preserve"> the H</w:t>
      </w:r>
      <w:r w:rsidR="00C23ADD" w:rsidRPr="003A1392">
        <w:rPr>
          <w:rFonts w:ascii="Arial" w:eastAsia="Calibri" w:hAnsi="Arial" w:cs="Arial"/>
          <w:sz w:val="24"/>
          <w:szCs w:val="24"/>
        </w:rPr>
        <w:t>igh cour</w:t>
      </w:r>
      <w:r w:rsidR="00114CA1" w:rsidRPr="003A1392">
        <w:rPr>
          <w:rFonts w:ascii="Arial" w:eastAsia="Calibri" w:hAnsi="Arial" w:cs="Arial"/>
          <w:sz w:val="24"/>
          <w:szCs w:val="24"/>
        </w:rPr>
        <w:t>t</w:t>
      </w:r>
      <w:r w:rsidR="00EE0A49" w:rsidRPr="003A1392">
        <w:rPr>
          <w:rFonts w:ascii="Arial" w:eastAsia="Calibri" w:hAnsi="Arial" w:cs="Arial"/>
          <w:sz w:val="24"/>
          <w:szCs w:val="24"/>
        </w:rPr>
        <w:t>, Cape Town</w:t>
      </w:r>
      <w:r w:rsidR="00ED1E8B" w:rsidRPr="003A1392">
        <w:rPr>
          <w:rFonts w:ascii="Arial" w:eastAsia="Calibri" w:hAnsi="Arial" w:cs="Arial"/>
          <w:sz w:val="24"/>
          <w:szCs w:val="24"/>
        </w:rPr>
        <w:t>,</w:t>
      </w:r>
      <w:r w:rsidR="00043CC4" w:rsidRPr="003A1392">
        <w:rPr>
          <w:rFonts w:ascii="Arial" w:eastAsia="Calibri" w:hAnsi="Arial" w:cs="Arial"/>
          <w:sz w:val="24"/>
          <w:szCs w:val="24"/>
        </w:rPr>
        <w:t xml:space="preserve"> </w:t>
      </w:r>
      <w:r w:rsidR="00743388" w:rsidRPr="003A1392">
        <w:rPr>
          <w:rFonts w:ascii="Arial" w:eastAsia="Calibri" w:hAnsi="Arial" w:cs="Arial"/>
          <w:sz w:val="24"/>
          <w:szCs w:val="24"/>
        </w:rPr>
        <w:t>before three judges.</w:t>
      </w:r>
      <w:r w:rsidR="00ED1E8B" w:rsidRPr="003A1392">
        <w:rPr>
          <w:rFonts w:ascii="Arial" w:eastAsia="Calibri" w:hAnsi="Arial" w:cs="Arial"/>
          <w:sz w:val="24"/>
          <w:szCs w:val="24"/>
        </w:rPr>
        <w:t xml:space="preserve"> </w:t>
      </w:r>
      <w:r w:rsidRPr="003A1392">
        <w:rPr>
          <w:rFonts w:ascii="Arial" w:eastAsia="Calibri" w:hAnsi="Arial" w:cs="Arial"/>
          <w:sz w:val="24"/>
          <w:szCs w:val="24"/>
        </w:rPr>
        <w:t>None of the respondents opposed the review application. Bothma Signs filed an affidavit setting out</w:t>
      </w:r>
      <w:r w:rsidR="00F22392" w:rsidRPr="003A1392">
        <w:rPr>
          <w:rFonts w:ascii="Arial" w:eastAsia="Calibri" w:hAnsi="Arial" w:cs="Arial"/>
          <w:sz w:val="24"/>
          <w:szCs w:val="24"/>
        </w:rPr>
        <w:t xml:space="preserve"> that</w:t>
      </w:r>
      <w:r w:rsidRPr="003A1392">
        <w:rPr>
          <w:rFonts w:ascii="Arial" w:eastAsia="Calibri" w:hAnsi="Arial" w:cs="Arial"/>
          <w:sz w:val="24"/>
          <w:szCs w:val="24"/>
        </w:rPr>
        <w:t xml:space="preserve"> it was not in a financial position to </w:t>
      </w:r>
      <w:r w:rsidR="00070065" w:rsidRPr="003A1392">
        <w:rPr>
          <w:rFonts w:ascii="Arial" w:eastAsia="Calibri" w:hAnsi="Arial" w:cs="Arial"/>
          <w:sz w:val="24"/>
          <w:szCs w:val="24"/>
        </w:rPr>
        <w:t>pursue</w:t>
      </w:r>
      <w:r w:rsidRPr="003A1392">
        <w:rPr>
          <w:rFonts w:ascii="Arial" w:eastAsia="Calibri" w:hAnsi="Arial" w:cs="Arial"/>
          <w:sz w:val="24"/>
          <w:szCs w:val="24"/>
        </w:rPr>
        <w:t xml:space="preserve"> review</w:t>
      </w:r>
      <w:r w:rsidR="00021211" w:rsidRPr="003A1392">
        <w:rPr>
          <w:rFonts w:ascii="Arial" w:eastAsia="Calibri" w:hAnsi="Arial" w:cs="Arial"/>
          <w:sz w:val="24"/>
          <w:szCs w:val="24"/>
        </w:rPr>
        <w:t xml:space="preserve"> proceedings</w:t>
      </w:r>
      <w:r w:rsidRPr="003A1392">
        <w:rPr>
          <w:rFonts w:ascii="Arial" w:eastAsia="Calibri" w:hAnsi="Arial" w:cs="Arial"/>
          <w:sz w:val="24"/>
          <w:szCs w:val="24"/>
        </w:rPr>
        <w:t xml:space="preserve">. A full </w:t>
      </w:r>
      <w:r w:rsidR="003E67EC" w:rsidRPr="003A1392">
        <w:rPr>
          <w:rFonts w:ascii="Arial" w:eastAsia="Calibri" w:hAnsi="Arial" w:cs="Arial"/>
          <w:sz w:val="24"/>
          <w:szCs w:val="24"/>
        </w:rPr>
        <w:t>court</w:t>
      </w:r>
      <w:r w:rsidRPr="003A1392">
        <w:rPr>
          <w:rFonts w:ascii="Arial" w:eastAsia="Calibri" w:hAnsi="Arial" w:cs="Arial"/>
          <w:sz w:val="24"/>
          <w:szCs w:val="24"/>
        </w:rPr>
        <w:t xml:space="preserve"> dismissed the review application. It is against th</w:t>
      </w:r>
      <w:r w:rsidR="00A92B2E" w:rsidRPr="003A1392">
        <w:rPr>
          <w:rFonts w:ascii="Arial" w:eastAsia="Calibri" w:hAnsi="Arial" w:cs="Arial"/>
          <w:sz w:val="24"/>
          <w:szCs w:val="24"/>
        </w:rPr>
        <w:t>a</w:t>
      </w:r>
      <w:r w:rsidR="003E67EC" w:rsidRPr="003A1392">
        <w:rPr>
          <w:rFonts w:ascii="Arial" w:eastAsia="Calibri" w:hAnsi="Arial" w:cs="Arial"/>
          <w:sz w:val="24"/>
          <w:szCs w:val="24"/>
        </w:rPr>
        <w:t>t</w:t>
      </w:r>
      <w:r w:rsidRPr="003A1392">
        <w:rPr>
          <w:rFonts w:ascii="Arial" w:eastAsia="Calibri" w:hAnsi="Arial" w:cs="Arial"/>
          <w:sz w:val="24"/>
          <w:szCs w:val="24"/>
        </w:rPr>
        <w:t xml:space="preserve"> finding, with leave of this Court, that Hirt</w:t>
      </w:r>
      <w:r w:rsidR="00F63FFA" w:rsidRPr="003A1392">
        <w:rPr>
          <w:rFonts w:ascii="Arial" w:eastAsia="Calibri" w:hAnsi="Arial" w:cs="Arial"/>
          <w:sz w:val="24"/>
          <w:szCs w:val="24"/>
        </w:rPr>
        <w:t xml:space="preserve"> &amp; Carter is appealing. There was</w:t>
      </w:r>
      <w:r w:rsidRPr="003A1392">
        <w:rPr>
          <w:rFonts w:ascii="Arial" w:eastAsia="Calibri" w:hAnsi="Arial" w:cs="Arial"/>
          <w:sz w:val="24"/>
          <w:szCs w:val="24"/>
        </w:rPr>
        <w:t xml:space="preserve"> no opposition to the appeal.</w:t>
      </w:r>
    </w:p>
    <w:p w14:paraId="62B3FFE5" w14:textId="087FDB12" w:rsidR="00FD356D" w:rsidRDefault="00D26987" w:rsidP="00D26987">
      <w:pPr>
        <w:spacing w:line="360" w:lineRule="auto"/>
        <w:jc w:val="both"/>
        <w:rPr>
          <w:rFonts w:ascii="Arial" w:eastAsia="Calibri" w:hAnsi="Arial" w:cs="Arial"/>
          <w:color w:val="000000"/>
          <w:sz w:val="24"/>
          <w:szCs w:val="24"/>
        </w:rPr>
      </w:pPr>
      <w:r w:rsidRPr="00D26987">
        <w:rPr>
          <w:rFonts w:ascii="Arial" w:eastAsia="Calibri" w:hAnsi="Arial" w:cs="Arial"/>
          <w:sz w:val="24"/>
          <w:szCs w:val="24"/>
        </w:rPr>
        <w:lastRenderedPageBreak/>
        <w:t>[3]</w:t>
      </w:r>
      <w:r w:rsidR="00132868">
        <w:rPr>
          <w:rFonts w:ascii="Arial" w:eastAsia="Calibri" w:hAnsi="Arial" w:cs="Arial"/>
          <w:sz w:val="24"/>
          <w:szCs w:val="24"/>
        </w:rPr>
        <w:tab/>
      </w:r>
      <w:r w:rsidR="00132868" w:rsidRPr="000F65B1">
        <w:rPr>
          <w:rFonts w:ascii="Arial" w:eastAsia="Calibri" w:hAnsi="Arial" w:cs="Arial"/>
          <w:sz w:val="24"/>
          <w:szCs w:val="24"/>
        </w:rPr>
        <w:t>The review was brought</w:t>
      </w:r>
      <w:r w:rsidR="00D93CFF" w:rsidRPr="000F65B1">
        <w:rPr>
          <w:rFonts w:ascii="Arial" w:eastAsia="Calibri" w:hAnsi="Arial" w:cs="Arial"/>
          <w:sz w:val="24"/>
          <w:szCs w:val="24"/>
        </w:rPr>
        <w:t xml:space="preserve"> in terms of Uniform Rule 53</w:t>
      </w:r>
      <w:r w:rsidR="00132868" w:rsidRPr="000F65B1">
        <w:rPr>
          <w:rFonts w:ascii="Arial" w:eastAsia="Calibri" w:hAnsi="Arial" w:cs="Arial"/>
          <w:sz w:val="24"/>
          <w:szCs w:val="24"/>
        </w:rPr>
        <w:t xml:space="preserve"> </w:t>
      </w:r>
      <w:r w:rsidR="008208B1" w:rsidRPr="000F65B1">
        <w:rPr>
          <w:rFonts w:ascii="Arial" w:eastAsia="Calibri" w:hAnsi="Arial" w:cs="Arial"/>
          <w:sz w:val="24"/>
          <w:szCs w:val="24"/>
        </w:rPr>
        <w:t>under the common law</w:t>
      </w:r>
      <w:r w:rsidR="0051168D" w:rsidRPr="000F65B1">
        <w:rPr>
          <w:rFonts w:ascii="Arial" w:eastAsia="Calibri" w:hAnsi="Arial" w:cs="Arial"/>
          <w:sz w:val="24"/>
          <w:szCs w:val="24"/>
        </w:rPr>
        <w:t xml:space="preserve"> </w:t>
      </w:r>
      <w:r w:rsidR="008208B1" w:rsidRPr="000F65B1">
        <w:rPr>
          <w:rFonts w:ascii="Arial" w:eastAsia="Calibri" w:hAnsi="Arial" w:cs="Arial"/>
          <w:sz w:val="24"/>
          <w:szCs w:val="24"/>
        </w:rPr>
        <w:t xml:space="preserve">and/or read with the Promotion of </w:t>
      </w:r>
      <w:r w:rsidR="0051168D" w:rsidRPr="000F65B1">
        <w:rPr>
          <w:rFonts w:ascii="Arial" w:eastAsia="Calibri" w:hAnsi="Arial" w:cs="Arial"/>
          <w:sz w:val="24"/>
          <w:szCs w:val="24"/>
        </w:rPr>
        <w:t>Administrative Justice Act 3 of 2000</w:t>
      </w:r>
      <w:r w:rsidR="00913A3C">
        <w:rPr>
          <w:rFonts w:ascii="Arial" w:eastAsia="Calibri" w:hAnsi="Arial" w:cs="Arial"/>
          <w:sz w:val="24"/>
          <w:szCs w:val="24"/>
        </w:rPr>
        <w:t xml:space="preserve"> (PAJA)</w:t>
      </w:r>
      <w:r w:rsidR="000F65B1" w:rsidRPr="000F65B1">
        <w:rPr>
          <w:rFonts w:ascii="Arial" w:eastAsia="Calibri" w:hAnsi="Arial" w:cs="Arial"/>
          <w:sz w:val="24"/>
          <w:szCs w:val="24"/>
        </w:rPr>
        <w:t xml:space="preserve">. </w:t>
      </w:r>
      <w:r w:rsidR="00D96EFE" w:rsidRPr="000F65B1">
        <w:rPr>
          <w:rFonts w:ascii="Arial" w:eastAsia="Calibri" w:hAnsi="Arial" w:cs="Arial"/>
          <w:color w:val="000000"/>
          <w:sz w:val="24"/>
          <w:szCs w:val="24"/>
        </w:rPr>
        <w:t xml:space="preserve">In heads of argument in this </w:t>
      </w:r>
      <w:r w:rsidR="002427D0">
        <w:rPr>
          <w:rFonts w:ascii="Arial" w:eastAsia="Calibri" w:hAnsi="Arial" w:cs="Arial"/>
          <w:color w:val="000000"/>
          <w:sz w:val="24"/>
          <w:szCs w:val="24"/>
        </w:rPr>
        <w:t>C</w:t>
      </w:r>
      <w:r w:rsidR="00762E67" w:rsidRPr="000F65B1">
        <w:rPr>
          <w:rFonts w:ascii="Arial" w:eastAsia="Calibri" w:hAnsi="Arial" w:cs="Arial"/>
          <w:color w:val="000000"/>
          <w:sz w:val="24"/>
          <w:szCs w:val="24"/>
        </w:rPr>
        <w:t>ourt,</w:t>
      </w:r>
      <w:r w:rsidR="00D96EFE" w:rsidRPr="000F65B1">
        <w:rPr>
          <w:rFonts w:ascii="Arial" w:eastAsia="Calibri" w:hAnsi="Arial" w:cs="Arial"/>
          <w:color w:val="000000"/>
          <w:sz w:val="24"/>
          <w:szCs w:val="24"/>
        </w:rPr>
        <w:t xml:space="preserve"> it was</w:t>
      </w:r>
      <w:r w:rsidR="000C3FFA" w:rsidRPr="000F65B1">
        <w:rPr>
          <w:rFonts w:ascii="Arial" w:eastAsia="Calibri" w:hAnsi="Arial" w:cs="Arial"/>
          <w:color w:val="000000"/>
          <w:sz w:val="24"/>
          <w:szCs w:val="24"/>
        </w:rPr>
        <w:t xml:space="preserve"> </w:t>
      </w:r>
      <w:r w:rsidR="00CA5CD0" w:rsidRPr="000F65B1">
        <w:rPr>
          <w:rFonts w:ascii="Arial" w:eastAsia="Calibri" w:hAnsi="Arial" w:cs="Arial"/>
          <w:color w:val="000000"/>
          <w:sz w:val="24"/>
          <w:szCs w:val="24"/>
        </w:rPr>
        <w:t>accepted</w:t>
      </w:r>
      <w:r w:rsidR="000C3FFA" w:rsidRPr="000F65B1">
        <w:rPr>
          <w:rFonts w:ascii="Arial" w:eastAsia="Calibri" w:hAnsi="Arial" w:cs="Arial"/>
          <w:color w:val="000000"/>
          <w:sz w:val="24"/>
          <w:szCs w:val="24"/>
        </w:rPr>
        <w:t xml:space="preserve"> that </w:t>
      </w:r>
      <w:r w:rsidR="00501373" w:rsidRPr="000F65B1">
        <w:rPr>
          <w:rFonts w:ascii="Arial" w:eastAsia="Calibri" w:hAnsi="Arial" w:cs="Arial"/>
          <w:color w:val="000000"/>
          <w:sz w:val="24"/>
          <w:szCs w:val="24"/>
        </w:rPr>
        <w:t xml:space="preserve">Hirt </w:t>
      </w:r>
      <w:r w:rsidR="0039241C" w:rsidRPr="000F65B1">
        <w:rPr>
          <w:rFonts w:ascii="Arial" w:eastAsia="Calibri" w:hAnsi="Arial" w:cs="Arial"/>
          <w:color w:val="000000"/>
          <w:sz w:val="24"/>
          <w:szCs w:val="24"/>
        </w:rPr>
        <w:t>&amp;</w:t>
      </w:r>
      <w:r w:rsidR="00501373" w:rsidRPr="000F65B1">
        <w:rPr>
          <w:rFonts w:ascii="Arial" w:eastAsia="Calibri" w:hAnsi="Arial" w:cs="Arial"/>
          <w:color w:val="000000"/>
          <w:sz w:val="24"/>
          <w:szCs w:val="24"/>
        </w:rPr>
        <w:t xml:space="preserve"> Carter’s</w:t>
      </w:r>
      <w:r w:rsidR="00B07F9B" w:rsidRPr="000F65B1">
        <w:rPr>
          <w:rFonts w:ascii="Arial" w:eastAsia="Calibri" w:hAnsi="Arial" w:cs="Arial"/>
          <w:color w:val="000000"/>
          <w:sz w:val="24"/>
          <w:szCs w:val="24"/>
        </w:rPr>
        <w:t xml:space="preserve"> application for review may be treated as </w:t>
      </w:r>
      <w:r w:rsidR="00BF2E6A" w:rsidRPr="000F65B1">
        <w:rPr>
          <w:rFonts w:ascii="Arial" w:eastAsia="Calibri" w:hAnsi="Arial" w:cs="Arial"/>
          <w:color w:val="000000"/>
          <w:sz w:val="24"/>
          <w:szCs w:val="24"/>
        </w:rPr>
        <w:t>one in terms of the common law</w:t>
      </w:r>
      <w:r w:rsidR="004F2657" w:rsidRPr="000F65B1">
        <w:rPr>
          <w:rFonts w:ascii="Arial" w:eastAsia="Calibri" w:hAnsi="Arial" w:cs="Arial"/>
          <w:color w:val="000000"/>
          <w:sz w:val="24"/>
          <w:szCs w:val="24"/>
        </w:rPr>
        <w:t>. It was submitted before us that</w:t>
      </w:r>
      <w:r w:rsidR="00412C55" w:rsidRPr="000F65B1">
        <w:rPr>
          <w:rFonts w:ascii="Arial" w:eastAsia="Calibri" w:hAnsi="Arial" w:cs="Arial"/>
          <w:color w:val="000000"/>
          <w:sz w:val="24"/>
          <w:szCs w:val="24"/>
        </w:rPr>
        <w:t xml:space="preserve"> the Magistrate had </w:t>
      </w:r>
      <w:r w:rsidR="00136253" w:rsidRPr="000F65B1">
        <w:rPr>
          <w:rFonts w:ascii="Arial" w:eastAsia="Calibri" w:hAnsi="Arial" w:cs="Arial"/>
          <w:color w:val="000000"/>
          <w:sz w:val="24"/>
          <w:szCs w:val="24"/>
        </w:rPr>
        <w:t>committed a material error of law</w:t>
      </w:r>
      <w:r w:rsidR="006C215C" w:rsidRPr="000F65B1">
        <w:rPr>
          <w:rFonts w:ascii="Arial" w:eastAsia="Calibri" w:hAnsi="Arial" w:cs="Arial"/>
          <w:color w:val="000000"/>
          <w:sz w:val="24"/>
          <w:szCs w:val="24"/>
        </w:rPr>
        <w:t xml:space="preserve"> of the kind that justified</w:t>
      </w:r>
      <w:r w:rsidR="004E16E5" w:rsidRPr="000F65B1">
        <w:rPr>
          <w:rFonts w:ascii="Arial" w:eastAsia="Calibri" w:hAnsi="Arial" w:cs="Arial"/>
          <w:color w:val="000000"/>
          <w:sz w:val="24"/>
          <w:szCs w:val="24"/>
        </w:rPr>
        <w:t xml:space="preserve"> the setting as</w:t>
      </w:r>
      <w:r w:rsidR="00D27D8A" w:rsidRPr="000F65B1">
        <w:rPr>
          <w:rFonts w:ascii="Arial" w:eastAsia="Calibri" w:hAnsi="Arial" w:cs="Arial"/>
          <w:color w:val="000000"/>
          <w:sz w:val="24"/>
          <w:szCs w:val="24"/>
        </w:rPr>
        <w:t>i</w:t>
      </w:r>
      <w:r w:rsidR="004E16E5" w:rsidRPr="000F65B1">
        <w:rPr>
          <w:rFonts w:ascii="Arial" w:eastAsia="Calibri" w:hAnsi="Arial" w:cs="Arial"/>
          <w:color w:val="000000"/>
          <w:sz w:val="24"/>
          <w:szCs w:val="24"/>
        </w:rPr>
        <w:t>de of</w:t>
      </w:r>
      <w:r w:rsidR="005228BC" w:rsidRPr="000F65B1">
        <w:rPr>
          <w:rFonts w:ascii="Arial" w:eastAsia="Calibri" w:hAnsi="Arial" w:cs="Arial"/>
          <w:color w:val="000000"/>
          <w:sz w:val="24"/>
          <w:szCs w:val="24"/>
        </w:rPr>
        <w:t xml:space="preserve"> the </w:t>
      </w:r>
      <w:r w:rsidR="004E16E5" w:rsidRPr="000F65B1">
        <w:rPr>
          <w:rFonts w:ascii="Arial" w:eastAsia="Calibri" w:hAnsi="Arial" w:cs="Arial"/>
          <w:color w:val="000000"/>
          <w:sz w:val="24"/>
          <w:szCs w:val="24"/>
        </w:rPr>
        <w:t>finding referred to at the end of para 1.</w:t>
      </w:r>
      <w:r w:rsidR="004F2657" w:rsidRPr="000F65B1">
        <w:rPr>
          <w:rFonts w:ascii="Arial" w:eastAsia="Calibri" w:hAnsi="Arial" w:cs="Arial"/>
          <w:color w:val="000000"/>
          <w:sz w:val="24"/>
          <w:szCs w:val="24"/>
        </w:rPr>
        <w:t xml:space="preserve"> </w:t>
      </w:r>
      <w:r w:rsidR="009750A8" w:rsidRPr="000F65B1">
        <w:rPr>
          <w:rFonts w:ascii="Arial" w:eastAsia="Calibri" w:hAnsi="Arial" w:cs="Arial"/>
          <w:color w:val="000000"/>
          <w:sz w:val="24"/>
          <w:szCs w:val="24"/>
        </w:rPr>
        <w:t xml:space="preserve">I intend to deal with that question after having regard to the </w:t>
      </w:r>
      <w:r w:rsidR="007A17C3" w:rsidRPr="000F65B1">
        <w:rPr>
          <w:rFonts w:ascii="Arial" w:eastAsia="Calibri" w:hAnsi="Arial" w:cs="Arial"/>
          <w:color w:val="000000"/>
          <w:sz w:val="24"/>
          <w:szCs w:val="24"/>
        </w:rPr>
        <w:t>background, which</w:t>
      </w:r>
      <w:r w:rsidR="009750A8" w:rsidRPr="000F65B1">
        <w:rPr>
          <w:rFonts w:ascii="Arial" w:eastAsia="Calibri" w:hAnsi="Arial" w:cs="Arial"/>
          <w:color w:val="000000"/>
          <w:sz w:val="24"/>
          <w:szCs w:val="24"/>
        </w:rPr>
        <w:t xml:space="preserve"> appe</w:t>
      </w:r>
      <w:r w:rsidR="009750A8" w:rsidRPr="007A17C3">
        <w:rPr>
          <w:rFonts w:ascii="Arial" w:eastAsia="Calibri" w:hAnsi="Arial" w:cs="Arial"/>
          <w:color w:val="000000"/>
          <w:sz w:val="24"/>
          <w:szCs w:val="24"/>
        </w:rPr>
        <w:t>ar</w:t>
      </w:r>
      <w:r w:rsidR="0002416B" w:rsidRPr="007A17C3">
        <w:rPr>
          <w:rFonts w:ascii="Arial" w:eastAsia="Calibri" w:hAnsi="Arial" w:cs="Arial"/>
          <w:color w:val="000000"/>
          <w:sz w:val="24"/>
          <w:szCs w:val="24"/>
        </w:rPr>
        <w:t>s</w:t>
      </w:r>
      <w:r w:rsidR="009750A8" w:rsidRPr="000F65B1">
        <w:rPr>
          <w:rFonts w:ascii="Arial" w:eastAsia="Calibri" w:hAnsi="Arial" w:cs="Arial"/>
          <w:color w:val="000000"/>
          <w:sz w:val="24"/>
          <w:szCs w:val="24"/>
        </w:rPr>
        <w:t xml:space="preserve"> hereafter, including the Magistrate’s findings</w:t>
      </w:r>
      <w:r w:rsidR="007E6871" w:rsidRPr="000F65B1">
        <w:rPr>
          <w:rFonts w:ascii="Arial" w:eastAsia="Calibri" w:hAnsi="Arial" w:cs="Arial"/>
          <w:color w:val="000000"/>
          <w:sz w:val="24"/>
          <w:szCs w:val="24"/>
        </w:rPr>
        <w:t xml:space="preserve"> based on</w:t>
      </w:r>
      <w:r w:rsidR="002427D0">
        <w:rPr>
          <w:rFonts w:ascii="Arial" w:eastAsia="Calibri" w:hAnsi="Arial" w:cs="Arial"/>
          <w:color w:val="000000"/>
          <w:sz w:val="24"/>
          <w:szCs w:val="24"/>
        </w:rPr>
        <w:t xml:space="preserve"> the evidence adduced before her</w:t>
      </w:r>
      <w:r w:rsidR="00686760" w:rsidRPr="000F65B1">
        <w:rPr>
          <w:rFonts w:ascii="Arial" w:eastAsia="Calibri" w:hAnsi="Arial" w:cs="Arial"/>
          <w:color w:val="000000"/>
          <w:sz w:val="24"/>
          <w:szCs w:val="24"/>
        </w:rPr>
        <w:t xml:space="preserve"> and the findings of the full court</w:t>
      </w:r>
      <w:r w:rsidR="007E6871" w:rsidRPr="000F65B1">
        <w:rPr>
          <w:rFonts w:ascii="Arial" w:eastAsia="Calibri" w:hAnsi="Arial" w:cs="Arial"/>
          <w:color w:val="000000"/>
          <w:sz w:val="24"/>
          <w:szCs w:val="24"/>
        </w:rPr>
        <w:t>.</w:t>
      </w:r>
      <w:r w:rsidR="00294215" w:rsidRPr="000F65B1">
        <w:rPr>
          <w:rFonts w:ascii="Arial" w:eastAsia="Calibri" w:hAnsi="Arial" w:cs="Arial"/>
          <w:color w:val="000000"/>
          <w:sz w:val="24"/>
          <w:szCs w:val="24"/>
        </w:rPr>
        <w:t xml:space="preserve"> I</w:t>
      </w:r>
      <w:r w:rsidR="00C34995" w:rsidRPr="000F65B1">
        <w:rPr>
          <w:rFonts w:ascii="Arial" w:eastAsia="Calibri" w:hAnsi="Arial" w:cs="Arial"/>
          <w:color w:val="000000"/>
          <w:sz w:val="24"/>
          <w:szCs w:val="24"/>
        </w:rPr>
        <w:t>t should be borne in mind throughout that we are dealing with a review and not an appeal.</w:t>
      </w:r>
      <w:r w:rsidR="0046013D" w:rsidRPr="000F65B1">
        <w:rPr>
          <w:rFonts w:ascii="Arial" w:eastAsia="Calibri" w:hAnsi="Arial" w:cs="Arial"/>
          <w:color w:val="000000"/>
          <w:sz w:val="24"/>
          <w:szCs w:val="24"/>
        </w:rPr>
        <w:t xml:space="preserve"> Much of the background</w:t>
      </w:r>
      <w:r w:rsidR="00C34995" w:rsidRPr="000F65B1">
        <w:rPr>
          <w:rFonts w:ascii="Arial" w:eastAsia="Calibri" w:hAnsi="Arial" w:cs="Arial"/>
          <w:color w:val="000000"/>
          <w:sz w:val="24"/>
          <w:szCs w:val="24"/>
        </w:rPr>
        <w:t xml:space="preserve"> set out hereafter</w:t>
      </w:r>
      <w:r w:rsidR="0046013D" w:rsidRPr="000F65B1">
        <w:rPr>
          <w:rFonts w:ascii="Arial" w:eastAsia="Calibri" w:hAnsi="Arial" w:cs="Arial"/>
          <w:color w:val="000000"/>
          <w:sz w:val="24"/>
          <w:szCs w:val="24"/>
        </w:rPr>
        <w:t xml:space="preserve"> is common cause.</w:t>
      </w:r>
      <w:r w:rsidR="0046013D">
        <w:rPr>
          <w:rFonts w:ascii="Arial" w:eastAsia="Calibri" w:hAnsi="Arial" w:cs="Arial"/>
          <w:color w:val="000000"/>
          <w:sz w:val="24"/>
          <w:szCs w:val="24"/>
        </w:rPr>
        <w:t xml:space="preserve"> </w:t>
      </w:r>
    </w:p>
    <w:p w14:paraId="68F5B08F" w14:textId="77777777" w:rsidR="00101CAA" w:rsidRDefault="00101CAA" w:rsidP="00212718">
      <w:pPr>
        <w:spacing w:line="360" w:lineRule="auto"/>
        <w:contextualSpacing/>
        <w:jc w:val="both"/>
        <w:rPr>
          <w:rFonts w:ascii="Arial" w:eastAsia="Calibri" w:hAnsi="Arial" w:cs="Arial"/>
          <w:sz w:val="24"/>
          <w:szCs w:val="24"/>
        </w:rPr>
      </w:pPr>
    </w:p>
    <w:p w14:paraId="6CC690B0" w14:textId="16D0201B" w:rsidR="00D26987" w:rsidRPr="00D26987" w:rsidRDefault="00101CAA" w:rsidP="00212718">
      <w:pPr>
        <w:spacing w:line="360" w:lineRule="auto"/>
        <w:contextualSpacing/>
        <w:jc w:val="both"/>
        <w:rPr>
          <w:rFonts w:ascii="Arial" w:eastAsia="Calibri" w:hAnsi="Arial" w:cs="Arial"/>
          <w:sz w:val="24"/>
          <w:szCs w:val="24"/>
        </w:rPr>
      </w:pPr>
      <w:r>
        <w:rPr>
          <w:rFonts w:ascii="Arial" w:eastAsia="Calibri" w:hAnsi="Arial" w:cs="Arial"/>
          <w:sz w:val="24"/>
          <w:szCs w:val="24"/>
        </w:rPr>
        <w:t>[</w:t>
      </w:r>
      <w:r w:rsidR="0046013D">
        <w:rPr>
          <w:rFonts w:ascii="Arial" w:eastAsia="Calibri" w:hAnsi="Arial" w:cs="Arial"/>
          <w:sz w:val="24"/>
          <w:szCs w:val="24"/>
        </w:rPr>
        <w:t>4</w:t>
      </w:r>
      <w:r>
        <w:rPr>
          <w:rFonts w:ascii="Arial" w:eastAsia="Calibri" w:hAnsi="Arial" w:cs="Arial"/>
          <w:sz w:val="24"/>
          <w:szCs w:val="24"/>
        </w:rPr>
        <w:t>]</w:t>
      </w:r>
      <w:r w:rsidR="006B2656">
        <w:rPr>
          <w:rFonts w:ascii="Arial" w:eastAsia="Calibri" w:hAnsi="Arial" w:cs="Arial"/>
          <w:sz w:val="24"/>
          <w:szCs w:val="24"/>
        </w:rPr>
        <w:tab/>
      </w:r>
      <w:r w:rsidR="00D26987" w:rsidRPr="000F65B1">
        <w:rPr>
          <w:rFonts w:ascii="Arial" w:eastAsia="Calibri" w:hAnsi="Arial" w:cs="Arial"/>
          <w:sz w:val="24"/>
          <w:szCs w:val="24"/>
        </w:rPr>
        <w:t xml:space="preserve">Big Concerts International (Pty) Ltd </w:t>
      </w:r>
      <w:r w:rsidR="00A53F43" w:rsidRPr="000F65B1">
        <w:rPr>
          <w:rFonts w:ascii="Arial" w:eastAsia="Calibri" w:hAnsi="Arial" w:cs="Arial"/>
          <w:sz w:val="24"/>
          <w:szCs w:val="24"/>
        </w:rPr>
        <w:t>(</w:t>
      </w:r>
      <w:r w:rsidR="00D26987" w:rsidRPr="000F65B1">
        <w:rPr>
          <w:rFonts w:ascii="Arial" w:eastAsia="Calibri" w:hAnsi="Arial" w:cs="Arial"/>
          <w:sz w:val="24"/>
          <w:szCs w:val="24"/>
        </w:rPr>
        <w:t>Big Concerts</w:t>
      </w:r>
      <w:r w:rsidR="00A53F43" w:rsidRPr="000F65B1">
        <w:rPr>
          <w:rFonts w:ascii="Arial" w:eastAsia="Calibri" w:hAnsi="Arial" w:cs="Arial"/>
          <w:sz w:val="24"/>
          <w:szCs w:val="24"/>
        </w:rPr>
        <w:t>)</w:t>
      </w:r>
      <w:r w:rsidR="00022640" w:rsidRPr="000F65B1">
        <w:rPr>
          <w:rFonts w:ascii="Arial" w:eastAsia="Calibri" w:hAnsi="Arial" w:cs="Arial"/>
          <w:sz w:val="24"/>
          <w:szCs w:val="24"/>
        </w:rPr>
        <w:t xml:space="preserve"> </w:t>
      </w:r>
      <w:r w:rsidR="006B2656" w:rsidRPr="000F65B1">
        <w:rPr>
          <w:rFonts w:ascii="Arial" w:eastAsia="Calibri" w:hAnsi="Arial" w:cs="Arial"/>
          <w:sz w:val="24"/>
          <w:szCs w:val="24"/>
        </w:rPr>
        <w:t>organised</w:t>
      </w:r>
      <w:r w:rsidR="00D26987" w:rsidRPr="000F65B1">
        <w:rPr>
          <w:rFonts w:ascii="Arial" w:eastAsia="Calibri" w:hAnsi="Arial" w:cs="Arial"/>
          <w:sz w:val="24"/>
          <w:szCs w:val="24"/>
        </w:rPr>
        <w:t xml:space="preserve"> the</w:t>
      </w:r>
      <w:r w:rsidR="006D31E6" w:rsidRPr="000F65B1">
        <w:rPr>
          <w:rFonts w:ascii="Arial" w:eastAsia="Calibri" w:hAnsi="Arial" w:cs="Arial"/>
          <w:sz w:val="24"/>
          <w:szCs w:val="24"/>
        </w:rPr>
        <w:t xml:space="preserve"> Linkin Park concert at two venues, Johannesburg and Cape T</w:t>
      </w:r>
      <w:r w:rsidR="004269FE" w:rsidRPr="000F65B1">
        <w:rPr>
          <w:rFonts w:ascii="Arial" w:eastAsia="Calibri" w:hAnsi="Arial" w:cs="Arial"/>
          <w:sz w:val="24"/>
          <w:szCs w:val="24"/>
        </w:rPr>
        <w:t>own</w:t>
      </w:r>
      <w:r w:rsidR="00D26987" w:rsidRPr="000F65B1">
        <w:rPr>
          <w:rFonts w:ascii="Arial" w:eastAsia="Calibri" w:hAnsi="Arial" w:cs="Arial"/>
          <w:sz w:val="24"/>
          <w:szCs w:val="24"/>
        </w:rPr>
        <w:t xml:space="preserve">. Alliance Safety CC t/a Alliance Safety </w:t>
      </w:r>
      <w:r w:rsidR="00711092">
        <w:rPr>
          <w:rFonts w:ascii="Arial" w:eastAsia="Calibri" w:hAnsi="Arial" w:cs="Arial"/>
          <w:sz w:val="24"/>
          <w:szCs w:val="24"/>
        </w:rPr>
        <w:t>M</w:t>
      </w:r>
      <w:r w:rsidR="00D26987" w:rsidRPr="000F65B1">
        <w:rPr>
          <w:rFonts w:ascii="Arial" w:eastAsia="Calibri" w:hAnsi="Arial" w:cs="Arial"/>
          <w:sz w:val="24"/>
          <w:szCs w:val="24"/>
        </w:rPr>
        <w:t xml:space="preserve">anagement </w:t>
      </w:r>
      <w:r w:rsidR="00A53F43" w:rsidRPr="000F65B1">
        <w:rPr>
          <w:rFonts w:ascii="Arial" w:eastAsia="Calibri" w:hAnsi="Arial" w:cs="Arial"/>
          <w:sz w:val="24"/>
          <w:szCs w:val="24"/>
        </w:rPr>
        <w:t>(</w:t>
      </w:r>
      <w:r w:rsidR="00D26987" w:rsidRPr="000F65B1">
        <w:rPr>
          <w:rFonts w:ascii="Arial" w:eastAsia="Calibri" w:hAnsi="Arial" w:cs="Arial"/>
          <w:sz w:val="24"/>
          <w:szCs w:val="24"/>
        </w:rPr>
        <w:t>Alliance Safety</w:t>
      </w:r>
      <w:r w:rsidR="00A53F43" w:rsidRPr="000F65B1">
        <w:rPr>
          <w:rFonts w:ascii="Arial" w:eastAsia="Calibri" w:hAnsi="Arial" w:cs="Arial"/>
          <w:sz w:val="24"/>
          <w:szCs w:val="24"/>
        </w:rPr>
        <w:t>)</w:t>
      </w:r>
      <w:r w:rsidR="00D26987" w:rsidRPr="000F65B1">
        <w:rPr>
          <w:rFonts w:ascii="Arial" w:eastAsia="Calibri" w:hAnsi="Arial" w:cs="Arial"/>
          <w:sz w:val="24"/>
          <w:szCs w:val="24"/>
        </w:rPr>
        <w:t xml:space="preserve"> was responsible for the safety at the concert</w:t>
      </w:r>
      <w:r w:rsidR="00D26987" w:rsidRPr="00D26987">
        <w:rPr>
          <w:rFonts w:ascii="Arial" w:eastAsia="Calibri" w:hAnsi="Arial" w:cs="Arial"/>
          <w:sz w:val="24"/>
          <w:szCs w:val="24"/>
        </w:rPr>
        <w:t xml:space="preserve">. </w:t>
      </w:r>
      <w:r w:rsidR="00D26987" w:rsidRPr="000F65B1">
        <w:rPr>
          <w:rFonts w:ascii="Arial" w:eastAsia="Calibri" w:hAnsi="Arial" w:cs="Arial"/>
          <w:sz w:val="24"/>
          <w:szCs w:val="24"/>
        </w:rPr>
        <w:t xml:space="preserve">Glaxosmithkline </w:t>
      </w:r>
      <w:r w:rsidR="00A53F43" w:rsidRPr="000F65B1">
        <w:rPr>
          <w:rFonts w:ascii="Arial" w:eastAsia="Calibri" w:hAnsi="Arial" w:cs="Arial"/>
          <w:sz w:val="24"/>
          <w:szCs w:val="24"/>
        </w:rPr>
        <w:t>(</w:t>
      </w:r>
      <w:r w:rsidR="00D26987" w:rsidRPr="000F65B1">
        <w:rPr>
          <w:rFonts w:ascii="Arial" w:eastAsia="Calibri" w:hAnsi="Arial" w:cs="Arial"/>
          <w:sz w:val="24"/>
          <w:szCs w:val="24"/>
        </w:rPr>
        <w:t>Pty</w:t>
      </w:r>
      <w:r w:rsidR="00A53F43" w:rsidRPr="000F65B1">
        <w:rPr>
          <w:rFonts w:ascii="Arial" w:eastAsia="Calibri" w:hAnsi="Arial" w:cs="Arial"/>
          <w:sz w:val="24"/>
          <w:szCs w:val="24"/>
        </w:rPr>
        <w:t>)</w:t>
      </w:r>
      <w:r w:rsidR="00D26987" w:rsidRPr="000F65B1">
        <w:rPr>
          <w:rFonts w:ascii="Arial" w:eastAsia="Calibri" w:hAnsi="Arial" w:cs="Arial"/>
          <w:sz w:val="24"/>
          <w:szCs w:val="24"/>
        </w:rPr>
        <w:t xml:space="preserve"> Ltd </w:t>
      </w:r>
      <w:r w:rsidR="00A53F43" w:rsidRPr="000F65B1">
        <w:rPr>
          <w:rFonts w:ascii="Arial" w:eastAsia="Calibri" w:hAnsi="Arial" w:cs="Arial"/>
          <w:sz w:val="24"/>
          <w:szCs w:val="24"/>
        </w:rPr>
        <w:t>(</w:t>
      </w:r>
      <w:r w:rsidR="00D26987" w:rsidRPr="000F65B1">
        <w:rPr>
          <w:rFonts w:ascii="Arial" w:eastAsia="Calibri" w:hAnsi="Arial" w:cs="Arial"/>
          <w:sz w:val="24"/>
          <w:szCs w:val="24"/>
        </w:rPr>
        <w:t>GSK</w:t>
      </w:r>
      <w:r w:rsidR="00A53F43" w:rsidRPr="000F65B1">
        <w:rPr>
          <w:rFonts w:ascii="Arial" w:eastAsia="Calibri" w:hAnsi="Arial" w:cs="Arial"/>
          <w:sz w:val="24"/>
          <w:szCs w:val="24"/>
        </w:rPr>
        <w:t>)</w:t>
      </w:r>
      <w:r w:rsidR="00D26987" w:rsidRPr="000F65B1">
        <w:rPr>
          <w:rFonts w:ascii="Arial" w:eastAsia="Calibri" w:hAnsi="Arial" w:cs="Arial"/>
          <w:sz w:val="24"/>
          <w:szCs w:val="24"/>
        </w:rPr>
        <w:t xml:space="preserve"> </w:t>
      </w:r>
      <w:r w:rsidR="000168D7" w:rsidRPr="000F65B1">
        <w:rPr>
          <w:rFonts w:ascii="Arial" w:eastAsia="Calibri" w:hAnsi="Arial" w:cs="Arial"/>
          <w:sz w:val="24"/>
          <w:szCs w:val="24"/>
        </w:rPr>
        <w:t>provided</w:t>
      </w:r>
      <w:r w:rsidR="00D26987" w:rsidRPr="000F65B1">
        <w:rPr>
          <w:rFonts w:ascii="Arial" w:eastAsia="Calibri" w:hAnsi="Arial" w:cs="Arial"/>
          <w:sz w:val="24"/>
          <w:szCs w:val="24"/>
        </w:rPr>
        <w:t xml:space="preserve"> sponsorship. Hirt &amp; Carter</w:t>
      </w:r>
      <w:r w:rsidR="00022640" w:rsidRPr="000F65B1">
        <w:rPr>
          <w:rFonts w:ascii="Arial" w:eastAsia="Calibri" w:hAnsi="Arial" w:cs="Arial"/>
          <w:sz w:val="24"/>
          <w:szCs w:val="24"/>
        </w:rPr>
        <w:t>,</w:t>
      </w:r>
      <w:r w:rsidR="00A3085C" w:rsidRPr="000F65B1">
        <w:rPr>
          <w:rFonts w:ascii="Arial" w:eastAsia="Calibri" w:hAnsi="Arial" w:cs="Arial"/>
          <w:sz w:val="24"/>
          <w:szCs w:val="24"/>
        </w:rPr>
        <w:t xml:space="preserve"> </w:t>
      </w:r>
      <w:r w:rsidR="00D26987" w:rsidRPr="000F65B1">
        <w:rPr>
          <w:rFonts w:ascii="Arial" w:eastAsia="Calibri" w:hAnsi="Arial" w:cs="Arial"/>
          <w:sz w:val="24"/>
          <w:szCs w:val="24"/>
        </w:rPr>
        <w:t xml:space="preserve">a media company specialising in designing media </w:t>
      </w:r>
      <w:r w:rsidR="000F65B1" w:rsidRPr="000F65B1">
        <w:rPr>
          <w:rFonts w:ascii="Arial" w:eastAsia="Calibri" w:hAnsi="Arial" w:cs="Arial"/>
          <w:sz w:val="24"/>
          <w:szCs w:val="24"/>
        </w:rPr>
        <w:t>and advertising campaigns,</w:t>
      </w:r>
      <w:r w:rsidR="00D26987" w:rsidRPr="000F65B1">
        <w:rPr>
          <w:rFonts w:ascii="Arial" w:eastAsia="Calibri" w:hAnsi="Arial" w:cs="Arial"/>
          <w:sz w:val="24"/>
          <w:szCs w:val="24"/>
        </w:rPr>
        <w:t xml:space="preserve"> w</w:t>
      </w:r>
      <w:r w:rsidR="008857C6" w:rsidRPr="000F65B1">
        <w:rPr>
          <w:rFonts w:ascii="Arial" w:eastAsia="Calibri" w:hAnsi="Arial" w:cs="Arial"/>
          <w:sz w:val="24"/>
          <w:szCs w:val="24"/>
        </w:rPr>
        <w:t>as</w:t>
      </w:r>
      <w:r w:rsidR="00D26987" w:rsidRPr="000F65B1">
        <w:rPr>
          <w:rFonts w:ascii="Arial" w:eastAsia="Calibri" w:hAnsi="Arial" w:cs="Arial"/>
          <w:sz w:val="24"/>
          <w:szCs w:val="24"/>
        </w:rPr>
        <w:t xml:space="preserve"> approached by GSK who owned the Lucozade energy drinks brand, to assist with a campaign</w:t>
      </w:r>
      <w:r w:rsidR="00783653" w:rsidRPr="000F65B1">
        <w:rPr>
          <w:rFonts w:ascii="Arial" w:eastAsia="Calibri" w:hAnsi="Arial" w:cs="Arial"/>
          <w:sz w:val="24"/>
          <w:szCs w:val="24"/>
        </w:rPr>
        <w:t xml:space="preserve"> to</w:t>
      </w:r>
      <w:r w:rsidR="00D26987" w:rsidRPr="000F65B1">
        <w:rPr>
          <w:rFonts w:ascii="Arial" w:eastAsia="Calibri" w:hAnsi="Arial" w:cs="Arial"/>
          <w:sz w:val="24"/>
          <w:szCs w:val="24"/>
        </w:rPr>
        <w:t xml:space="preserve"> advertis</w:t>
      </w:r>
      <w:r w:rsidR="00783653" w:rsidRPr="000F65B1">
        <w:rPr>
          <w:rFonts w:ascii="Arial" w:eastAsia="Calibri" w:hAnsi="Arial" w:cs="Arial"/>
          <w:sz w:val="24"/>
          <w:szCs w:val="24"/>
        </w:rPr>
        <w:t>e</w:t>
      </w:r>
      <w:r w:rsidR="00D26987" w:rsidRPr="000F65B1">
        <w:rPr>
          <w:rFonts w:ascii="Arial" w:eastAsia="Calibri" w:hAnsi="Arial" w:cs="Arial"/>
          <w:sz w:val="24"/>
          <w:szCs w:val="24"/>
        </w:rPr>
        <w:t xml:space="preserve"> Lucozade at the two concerts of Linkin Park to be held in Cape Town and Johannesburg. </w:t>
      </w:r>
      <w:r w:rsidR="00584ABA" w:rsidRPr="000F65B1">
        <w:rPr>
          <w:rFonts w:ascii="Arial" w:eastAsia="Calibri" w:hAnsi="Arial" w:cs="Arial"/>
          <w:sz w:val="24"/>
          <w:szCs w:val="24"/>
        </w:rPr>
        <w:t xml:space="preserve">It is necessary to record that there </w:t>
      </w:r>
      <w:r w:rsidR="002B4446" w:rsidRPr="000F65B1">
        <w:rPr>
          <w:rFonts w:ascii="Arial" w:eastAsia="Calibri" w:hAnsi="Arial" w:cs="Arial"/>
          <w:sz w:val="24"/>
          <w:szCs w:val="24"/>
        </w:rPr>
        <w:t>was an estab</w:t>
      </w:r>
      <w:r w:rsidR="001F4EBC" w:rsidRPr="000F65B1">
        <w:rPr>
          <w:rFonts w:ascii="Arial" w:eastAsia="Calibri" w:hAnsi="Arial" w:cs="Arial"/>
          <w:sz w:val="24"/>
          <w:szCs w:val="24"/>
        </w:rPr>
        <w:t>lished one</w:t>
      </w:r>
      <w:r w:rsidR="0030271F" w:rsidRPr="000F65B1">
        <w:rPr>
          <w:rFonts w:ascii="Arial" w:eastAsia="Calibri" w:hAnsi="Arial" w:cs="Arial"/>
          <w:sz w:val="24"/>
          <w:szCs w:val="24"/>
        </w:rPr>
        <w:t xml:space="preserve"> year-</w:t>
      </w:r>
      <w:r w:rsidR="008516EF">
        <w:rPr>
          <w:rFonts w:ascii="Arial" w:eastAsia="Calibri" w:hAnsi="Arial" w:cs="Arial"/>
          <w:sz w:val="24"/>
          <w:szCs w:val="24"/>
        </w:rPr>
        <w:t> </w:t>
      </w:r>
      <w:r w:rsidR="007534D9" w:rsidRPr="000F65B1">
        <w:rPr>
          <w:rFonts w:ascii="Arial" w:eastAsia="Calibri" w:hAnsi="Arial" w:cs="Arial"/>
          <w:sz w:val="24"/>
          <w:szCs w:val="24"/>
        </w:rPr>
        <w:t>relationship in place</w:t>
      </w:r>
      <w:r w:rsidR="005E6B2F" w:rsidRPr="000F65B1">
        <w:rPr>
          <w:rFonts w:ascii="Arial" w:eastAsia="Calibri" w:hAnsi="Arial" w:cs="Arial"/>
          <w:sz w:val="24"/>
          <w:szCs w:val="24"/>
        </w:rPr>
        <w:t xml:space="preserve"> between GSK and</w:t>
      </w:r>
      <w:r w:rsidR="00D26987" w:rsidRPr="000F65B1">
        <w:rPr>
          <w:rFonts w:ascii="Arial" w:eastAsia="Calibri" w:hAnsi="Arial" w:cs="Arial"/>
          <w:sz w:val="24"/>
          <w:szCs w:val="24"/>
        </w:rPr>
        <w:t xml:space="preserve"> Hirt &amp; Carter</w:t>
      </w:r>
      <w:r w:rsidR="005E6B2F" w:rsidRPr="000F65B1">
        <w:rPr>
          <w:rFonts w:ascii="Arial" w:eastAsia="Calibri" w:hAnsi="Arial" w:cs="Arial"/>
          <w:sz w:val="24"/>
          <w:szCs w:val="24"/>
        </w:rPr>
        <w:t xml:space="preserve"> at the time that the</w:t>
      </w:r>
      <w:r w:rsidR="007534D9" w:rsidRPr="000F65B1">
        <w:rPr>
          <w:rFonts w:ascii="Arial" w:eastAsia="Calibri" w:hAnsi="Arial" w:cs="Arial"/>
          <w:sz w:val="24"/>
          <w:szCs w:val="24"/>
        </w:rPr>
        <w:t xml:space="preserve"> latter</w:t>
      </w:r>
      <w:r w:rsidR="005E6B2F" w:rsidRPr="000F65B1">
        <w:rPr>
          <w:rFonts w:ascii="Arial" w:eastAsia="Calibri" w:hAnsi="Arial" w:cs="Arial"/>
          <w:sz w:val="24"/>
          <w:szCs w:val="24"/>
        </w:rPr>
        <w:t xml:space="preserve"> w</w:t>
      </w:r>
      <w:r w:rsidR="007534D9" w:rsidRPr="000F65B1">
        <w:rPr>
          <w:rFonts w:ascii="Arial" w:eastAsia="Calibri" w:hAnsi="Arial" w:cs="Arial"/>
          <w:sz w:val="24"/>
          <w:szCs w:val="24"/>
        </w:rPr>
        <w:t>as</w:t>
      </w:r>
      <w:r w:rsidR="005E6B2F" w:rsidRPr="000F65B1">
        <w:rPr>
          <w:rFonts w:ascii="Arial" w:eastAsia="Calibri" w:hAnsi="Arial" w:cs="Arial"/>
          <w:sz w:val="24"/>
          <w:szCs w:val="24"/>
        </w:rPr>
        <w:t xml:space="preserve"> contracted to do the Lucozade branding. </w:t>
      </w:r>
      <w:r w:rsidR="001F4EBC" w:rsidRPr="000F65B1">
        <w:rPr>
          <w:rFonts w:ascii="Arial" w:eastAsia="Calibri" w:hAnsi="Arial" w:cs="Arial"/>
          <w:sz w:val="24"/>
          <w:szCs w:val="24"/>
        </w:rPr>
        <w:t>By the time of the inquest that relationshi</w:t>
      </w:r>
      <w:r w:rsidR="003D574A" w:rsidRPr="000F65B1">
        <w:rPr>
          <w:rFonts w:ascii="Arial" w:eastAsia="Calibri" w:hAnsi="Arial" w:cs="Arial"/>
          <w:sz w:val="24"/>
          <w:szCs w:val="24"/>
        </w:rPr>
        <w:t>p was four-years old.</w:t>
      </w:r>
      <w:r w:rsidR="00A340AC" w:rsidRPr="000F65B1">
        <w:rPr>
          <w:rFonts w:ascii="Arial" w:eastAsia="Calibri" w:hAnsi="Arial" w:cs="Arial"/>
          <w:sz w:val="24"/>
          <w:szCs w:val="24"/>
        </w:rPr>
        <w:t xml:space="preserve"> Hirt &amp; Carter proposed for the concert</w:t>
      </w:r>
      <w:r w:rsidR="003974BE" w:rsidRPr="000F65B1">
        <w:rPr>
          <w:rFonts w:ascii="Arial" w:eastAsia="Calibri" w:hAnsi="Arial" w:cs="Arial"/>
          <w:sz w:val="24"/>
          <w:szCs w:val="24"/>
        </w:rPr>
        <w:t>s</w:t>
      </w:r>
      <w:r w:rsidR="00762E67" w:rsidRPr="000F65B1">
        <w:rPr>
          <w:rFonts w:ascii="Arial" w:eastAsia="Calibri" w:hAnsi="Arial" w:cs="Arial"/>
          <w:sz w:val="24"/>
          <w:szCs w:val="24"/>
        </w:rPr>
        <w:t xml:space="preserve"> </w:t>
      </w:r>
      <w:r w:rsidR="00A340AC" w:rsidRPr="000F65B1">
        <w:rPr>
          <w:rFonts w:ascii="Arial" w:eastAsia="Calibri" w:hAnsi="Arial" w:cs="Arial"/>
          <w:sz w:val="24"/>
          <w:szCs w:val="24"/>
        </w:rPr>
        <w:t xml:space="preserve">large Lucozade branding on appropriate material wrapped around two towers to be constructed. </w:t>
      </w:r>
      <w:r w:rsidR="00DF2F94" w:rsidRPr="000F65B1">
        <w:rPr>
          <w:rFonts w:ascii="Arial" w:eastAsia="Calibri" w:hAnsi="Arial" w:cs="Arial"/>
          <w:sz w:val="24"/>
          <w:szCs w:val="24"/>
        </w:rPr>
        <w:t>Hirt</w:t>
      </w:r>
      <w:r w:rsidR="008513D9">
        <w:rPr>
          <w:rFonts w:ascii="Arial" w:eastAsia="Calibri" w:hAnsi="Arial" w:cs="Arial"/>
          <w:sz w:val="24"/>
          <w:szCs w:val="24"/>
        </w:rPr>
        <w:t> </w:t>
      </w:r>
      <w:r w:rsidR="0039241C" w:rsidRPr="000F65B1">
        <w:rPr>
          <w:rFonts w:ascii="Arial" w:eastAsia="Calibri" w:hAnsi="Arial" w:cs="Arial"/>
          <w:sz w:val="24"/>
          <w:szCs w:val="24"/>
        </w:rPr>
        <w:t>&amp;</w:t>
      </w:r>
      <w:r w:rsidR="008513D9">
        <w:rPr>
          <w:rFonts w:ascii="Arial" w:eastAsia="Calibri" w:hAnsi="Arial" w:cs="Arial"/>
          <w:sz w:val="24"/>
          <w:szCs w:val="24"/>
        </w:rPr>
        <w:t> </w:t>
      </w:r>
      <w:r w:rsidR="00DF2F94" w:rsidRPr="000F65B1">
        <w:rPr>
          <w:rFonts w:ascii="Arial" w:eastAsia="Calibri" w:hAnsi="Arial" w:cs="Arial"/>
          <w:sz w:val="24"/>
          <w:szCs w:val="24"/>
        </w:rPr>
        <w:t>Carter</w:t>
      </w:r>
      <w:r w:rsidR="00D26987" w:rsidRPr="000F65B1">
        <w:rPr>
          <w:rFonts w:ascii="Arial" w:eastAsia="Calibri" w:hAnsi="Arial" w:cs="Arial"/>
          <w:sz w:val="24"/>
          <w:szCs w:val="24"/>
        </w:rPr>
        <w:t xml:space="preserve"> had no experience pertaining to structures to which the</w:t>
      </w:r>
      <w:r w:rsidR="003974BE" w:rsidRPr="000F65B1">
        <w:rPr>
          <w:rFonts w:ascii="Arial" w:eastAsia="Calibri" w:hAnsi="Arial" w:cs="Arial"/>
          <w:sz w:val="24"/>
          <w:szCs w:val="24"/>
        </w:rPr>
        <w:t xml:space="preserve"> branding</w:t>
      </w:r>
      <w:r w:rsidR="00D26987" w:rsidRPr="000F65B1">
        <w:rPr>
          <w:rFonts w:ascii="Arial" w:eastAsia="Calibri" w:hAnsi="Arial" w:cs="Arial"/>
          <w:sz w:val="24"/>
          <w:szCs w:val="24"/>
        </w:rPr>
        <w:t xml:space="preserve"> could be attached and informed GSK that they would approach a third party to erect the structures on which the b</w:t>
      </w:r>
      <w:r w:rsidR="000876F1" w:rsidRPr="000F65B1">
        <w:rPr>
          <w:rFonts w:ascii="Arial" w:eastAsia="Calibri" w:hAnsi="Arial" w:cs="Arial"/>
          <w:sz w:val="24"/>
          <w:szCs w:val="24"/>
        </w:rPr>
        <w:t>randing</w:t>
      </w:r>
      <w:r w:rsidR="00D26987" w:rsidRPr="000F65B1">
        <w:rPr>
          <w:rFonts w:ascii="Arial" w:eastAsia="Calibri" w:hAnsi="Arial" w:cs="Arial"/>
          <w:sz w:val="24"/>
          <w:szCs w:val="24"/>
        </w:rPr>
        <w:t xml:space="preserve"> would be placed</w:t>
      </w:r>
      <w:r w:rsidR="00762E67" w:rsidRPr="000F65B1">
        <w:rPr>
          <w:rFonts w:ascii="Arial" w:eastAsia="Calibri" w:hAnsi="Arial" w:cs="Arial"/>
          <w:sz w:val="24"/>
          <w:szCs w:val="24"/>
        </w:rPr>
        <w:t xml:space="preserve"> accompanied by b</w:t>
      </w:r>
      <w:r w:rsidR="000876F1" w:rsidRPr="000F65B1">
        <w:rPr>
          <w:rFonts w:ascii="Arial" w:eastAsia="Calibri" w:hAnsi="Arial" w:cs="Arial"/>
          <w:sz w:val="24"/>
          <w:szCs w:val="24"/>
        </w:rPr>
        <w:t>anners between the two towers</w:t>
      </w:r>
      <w:r w:rsidR="00D26987" w:rsidRPr="000F65B1">
        <w:rPr>
          <w:rFonts w:ascii="Arial" w:eastAsia="Calibri" w:hAnsi="Arial" w:cs="Arial"/>
          <w:sz w:val="24"/>
          <w:szCs w:val="24"/>
        </w:rPr>
        <w:t xml:space="preserve">. GSK expected from Hirt &amp; Carter an </w:t>
      </w:r>
      <w:r w:rsidR="00A53F43" w:rsidRPr="000F65B1">
        <w:rPr>
          <w:rFonts w:ascii="Arial" w:eastAsia="Calibri" w:hAnsi="Arial" w:cs="Arial"/>
          <w:sz w:val="24"/>
          <w:szCs w:val="24"/>
        </w:rPr>
        <w:t>end-to-end</w:t>
      </w:r>
      <w:r w:rsidR="00D26987" w:rsidRPr="000F65B1">
        <w:rPr>
          <w:rFonts w:ascii="Arial" w:eastAsia="Calibri" w:hAnsi="Arial" w:cs="Arial"/>
          <w:sz w:val="24"/>
          <w:szCs w:val="24"/>
        </w:rPr>
        <w:t xml:space="preserve"> service</w:t>
      </w:r>
      <w:r w:rsidR="000876F1" w:rsidRPr="000F65B1">
        <w:rPr>
          <w:rFonts w:ascii="Arial" w:eastAsia="Calibri" w:hAnsi="Arial" w:cs="Arial"/>
          <w:sz w:val="24"/>
          <w:szCs w:val="24"/>
        </w:rPr>
        <w:t>.</w:t>
      </w:r>
    </w:p>
    <w:p w14:paraId="18A99911" w14:textId="77777777" w:rsidR="00D26987" w:rsidRPr="00D26987" w:rsidRDefault="00D26987" w:rsidP="00D26987">
      <w:pPr>
        <w:spacing w:line="360" w:lineRule="auto"/>
        <w:ind w:left="1080"/>
        <w:contextualSpacing/>
        <w:jc w:val="both"/>
        <w:rPr>
          <w:rFonts w:ascii="Arial" w:eastAsia="Calibri" w:hAnsi="Arial" w:cs="Arial"/>
          <w:sz w:val="24"/>
          <w:szCs w:val="24"/>
        </w:rPr>
      </w:pPr>
    </w:p>
    <w:p w14:paraId="0904CAB8" w14:textId="07EE2272" w:rsidR="00D26987" w:rsidRPr="00D26987" w:rsidRDefault="00A53F43" w:rsidP="006E355D">
      <w:pPr>
        <w:spacing w:line="360" w:lineRule="auto"/>
        <w:contextualSpacing/>
        <w:jc w:val="both"/>
        <w:rPr>
          <w:rFonts w:ascii="Arial" w:eastAsia="Calibri" w:hAnsi="Arial" w:cs="Arial"/>
          <w:sz w:val="24"/>
          <w:szCs w:val="24"/>
        </w:rPr>
      </w:pPr>
      <w:r w:rsidRPr="000F65B1">
        <w:rPr>
          <w:rFonts w:ascii="Arial" w:eastAsia="Calibri" w:hAnsi="Arial" w:cs="Arial"/>
          <w:sz w:val="24"/>
          <w:szCs w:val="24"/>
        </w:rPr>
        <w:t>[</w:t>
      </w:r>
      <w:r w:rsidR="0046013D" w:rsidRPr="000F65B1">
        <w:rPr>
          <w:rFonts w:ascii="Arial" w:eastAsia="Calibri" w:hAnsi="Arial" w:cs="Arial"/>
          <w:sz w:val="24"/>
          <w:szCs w:val="24"/>
        </w:rPr>
        <w:t>5</w:t>
      </w:r>
      <w:r w:rsidRPr="000F65B1">
        <w:rPr>
          <w:rFonts w:ascii="Arial" w:eastAsia="Calibri" w:hAnsi="Arial" w:cs="Arial"/>
          <w:sz w:val="24"/>
          <w:szCs w:val="24"/>
        </w:rPr>
        <w:t>]</w:t>
      </w:r>
      <w:r w:rsidR="00D771A8" w:rsidRPr="000F65B1">
        <w:rPr>
          <w:rFonts w:ascii="Arial" w:eastAsia="Calibri" w:hAnsi="Arial" w:cs="Arial"/>
          <w:sz w:val="24"/>
          <w:szCs w:val="24"/>
        </w:rPr>
        <w:tab/>
      </w:r>
      <w:r w:rsidR="00D26987" w:rsidRPr="000F65B1">
        <w:rPr>
          <w:rFonts w:ascii="Arial" w:eastAsia="Calibri" w:hAnsi="Arial" w:cs="Arial"/>
          <w:sz w:val="24"/>
          <w:szCs w:val="24"/>
        </w:rPr>
        <w:t>Hirt &amp; Carter</w:t>
      </w:r>
      <w:r w:rsidR="002427D0">
        <w:rPr>
          <w:rFonts w:ascii="Arial" w:eastAsia="Calibri" w:hAnsi="Arial" w:cs="Arial"/>
          <w:sz w:val="24"/>
          <w:szCs w:val="24"/>
        </w:rPr>
        <w:t xml:space="preserve"> approached Bothma S</w:t>
      </w:r>
      <w:r w:rsidR="00F77595" w:rsidRPr="000F65B1">
        <w:rPr>
          <w:rFonts w:ascii="Arial" w:eastAsia="Calibri" w:hAnsi="Arial" w:cs="Arial"/>
          <w:sz w:val="24"/>
          <w:szCs w:val="24"/>
        </w:rPr>
        <w:t>igns to make their concept a reality. Hirt</w:t>
      </w:r>
      <w:r w:rsidR="00A228C4">
        <w:rPr>
          <w:rFonts w:ascii="Arial" w:eastAsia="Calibri" w:hAnsi="Arial" w:cs="Arial"/>
          <w:sz w:val="24"/>
          <w:szCs w:val="24"/>
        </w:rPr>
        <w:t> </w:t>
      </w:r>
      <w:r w:rsidR="0039241C" w:rsidRPr="000F65B1">
        <w:rPr>
          <w:rFonts w:ascii="Arial" w:eastAsia="Calibri" w:hAnsi="Arial" w:cs="Arial"/>
          <w:sz w:val="24"/>
          <w:szCs w:val="24"/>
        </w:rPr>
        <w:t>&amp;</w:t>
      </w:r>
      <w:r w:rsidR="00A228C4">
        <w:rPr>
          <w:rFonts w:ascii="Arial" w:eastAsia="Calibri" w:hAnsi="Arial" w:cs="Arial"/>
          <w:sz w:val="24"/>
          <w:szCs w:val="24"/>
        </w:rPr>
        <w:t> </w:t>
      </w:r>
      <w:r w:rsidR="00F77595" w:rsidRPr="000F65B1">
        <w:rPr>
          <w:rFonts w:ascii="Arial" w:eastAsia="Calibri" w:hAnsi="Arial" w:cs="Arial"/>
          <w:sz w:val="24"/>
          <w:szCs w:val="24"/>
        </w:rPr>
        <w:t>Carter</w:t>
      </w:r>
      <w:r w:rsidR="00D26987" w:rsidRPr="000F65B1">
        <w:rPr>
          <w:rFonts w:ascii="Arial" w:eastAsia="Calibri" w:hAnsi="Arial" w:cs="Arial"/>
          <w:sz w:val="24"/>
          <w:szCs w:val="24"/>
        </w:rPr>
        <w:t xml:space="preserve"> knew that Bothma Signs was not a scaffolding expert and</w:t>
      </w:r>
      <w:r w:rsidR="009C4F3B" w:rsidRPr="000F65B1">
        <w:rPr>
          <w:rFonts w:ascii="Arial" w:eastAsia="Calibri" w:hAnsi="Arial" w:cs="Arial"/>
          <w:sz w:val="24"/>
          <w:szCs w:val="24"/>
        </w:rPr>
        <w:t xml:space="preserve"> that</w:t>
      </w:r>
      <w:r w:rsidR="00D26987" w:rsidRPr="000F65B1">
        <w:rPr>
          <w:rFonts w:ascii="Arial" w:eastAsia="Calibri" w:hAnsi="Arial" w:cs="Arial"/>
          <w:sz w:val="24"/>
          <w:szCs w:val="24"/>
        </w:rPr>
        <w:t xml:space="preserve"> this element would be outsourced to a third party. Bothma Signs in turn approached Vertex, a supplier of bespoke scaffolding solutions and contracted Vertex to erect two scaffolding towers for </w:t>
      </w:r>
      <w:r w:rsidR="00CB3FBC" w:rsidRPr="000F65B1">
        <w:rPr>
          <w:rFonts w:ascii="Arial" w:eastAsia="Calibri" w:hAnsi="Arial" w:cs="Arial"/>
          <w:sz w:val="24"/>
          <w:szCs w:val="24"/>
        </w:rPr>
        <w:t xml:space="preserve">the </w:t>
      </w:r>
      <w:r w:rsidR="00D26987" w:rsidRPr="000F65B1">
        <w:rPr>
          <w:rFonts w:ascii="Arial" w:eastAsia="Calibri" w:hAnsi="Arial" w:cs="Arial"/>
          <w:sz w:val="24"/>
          <w:szCs w:val="24"/>
        </w:rPr>
        <w:t xml:space="preserve">Cape Town stadium to which Bothma Signs would attach </w:t>
      </w:r>
      <w:r w:rsidR="00D26987" w:rsidRPr="000F65B1">
        <w:rPr>
          <w:rFonts w:ascii="Arial" w:eastAsia="Calibri" w:hAnsi="Arial" w:cs="Arial"/>
          <w:sz w:val="24"/>
          <w:szCs w:val="24"/>
        </w:rPr>
        <w:lastRenderedPageBreak/>
        <w:t xml:space="preserve">the </w:t>
      </w:r>
      <w:r w:rsidR="009C4F3B" w:rsidRPr="000F65B1">
        <w:rPr>
          <w:rFonts w:ascii="Arial" w:eastAsia="Calibri" w:hAnsi="Arial" w:cs="Arial"/>
          <w:sz w:val="24"/>
          <w:szCs w:val="24"/>
        </w:rPr>
        <w:t>wrapping</w:t>
      </w:r>
      <w:r w:rsidR="00D26987" w:rsidRPr="000F65B1">
        <w:rPr>
          <w:rFonts w:ascii="Arial" w:eastAsia="Calibri" w:hAnsi="Arial" w:cs="Arial"/>
          <w:sz w:val="24"/>
          <w:szCs w:val="24"/>
        </w:rPr>
        <w:t xml:space="preserve"> printed by Hirt &amp; Carter</w:t>
      </w:r>
      <w:r w:rsidR="001470F2" w:rsidRPr="000F65B1">
        <w:rPr>
          <w:rFonts w:ascii="Arial" w:eastAsia="Calibri" w:hAnsi="Arial" w:cs="Arial"/>
          <w:sz w:val="24"/>
          <w:szCs w:val="24"/>
        </w:rPr>
        <w:t xml:space="preserve"> with a</w:t>
      </w:r>
      <w:r w:rsidR="00D26987" w:rsidRPr="000F65B1">
        <w:rPr>
          <w:rFonts w:ascii="Arial" w:eastAsia="Calibri" w:hAnsi="Arial" w:cs="Arial"/>
          <w:sz w:val="24"/>
          <w:szCs w:val="24"/>
        </w:rPr>
        <w:t xml:space="preserve"> banner hung akin to a washing line between the two scaffolding structures.</w:t>
      </w:r>
      <w:r w:rsidR="00CB3FBC" w:rsidRPr="000F65B1">
        <w:rPr>
          <w:rFonts w:ascii="Arial" w:eastAsia="Calibri" w:hAnsi="Arial" w:cs="Arial"/>
          <w:sz w:val="24"/>
          <w:szCs w:val="24"/>
        </w:rPr>
        <w:t xml:space="preserve"> </w:t>
      </w:r>
      <w:r w:rsidR="00D26987" w:rsidRPr="000F65B1">
        <w:rPr>
          <w:rFonts w:ascii="Arial" w:eastAsia="Calibri" w:hAnsi="Arial" w:cs="Arial"/>
          <w:sz w:val="24"/>
          <w:szCs w:val="24"/>
        </w:rPr>
        <w:t>On the day</w:t>
      </w:r>
      <w:r w:rsidR="00D26987" w:rsidRPr="00D26987">
        <w:rPr>
          <w:rFonts w:ascii="Arial" w:eastAsia="Calibri" w:hAnsi="Arial" w:cs="Arial"/>
          <w:sz w:val="24"/>
          <w:szCs w:val="24"/>
        </w:rPr>
        <w:t xml:space="preserve"> of the concert</w:t>
      </w:r>
      <w:r w:rsidR="00CB3FBC">
        <w:rPr>
          <w:rFonts w:ascii="Arial" w:eastAsia="Calibri" w:hAnsi="Arial" w:cs="Arial"/>
          <w:sz w:val="24"/>
          <w:szCs w:val="24"/>
        </w:rPr>
        <w:t>,</w:t>
      </w:r>
      <w:r w:rsidR="00D26987" w:rsidRPr="00D26987">
        <w:rPr>
          <w:rFonts w:ascii="Arial" w:eastAsia="Calibri" w:hAnsi="Arial" w:cs="Arial"/>
          <w:sz w:val="24"/>
          <w:szCs w:val="24"/>
        </w:rPr>
        <w:t xml:space="preserve"> the notorious Cape</w:t>
      </w:r>
      <w:r w:rsidR="00D71FCB">
        <w:rPr>
          <w:rFonts w:ascii="Arial" w:eastAsia="Calibri" w:hAnsi="Arial" w:cs="Arial"/>
          <w:sz w:val="24"/>
          <w:szCs w:val="24"/>
        </w:rPr>
        <w:t> </w:t>
      </w:r>
      <w:r w:rsidR="00D26987" w:rsidRPr="00D26987">
        <w:rPr>
          <w:rFonts w:ascii="Arial" w:eastAsia="Calibri" w:hAnsi="Arial" w:cs="Arial"/>
          <w:sz w:val="24"/>
          <w:szCs w:val="24"/>
        </w:rPr>
        <w:t>winds began to blow and by 19</w:t>
      </w:r>
      <w:r w:rsidR="00192D07">
        <w:rPr>
          <w:rFonts w:ascii="Arial" w:eastAsia="Calibri" w:hAnsi="Arial" w:cs="Arial"/>
          <w:sz w:val="24"/>
          <w:szCs w:val="24"/>
        </w:rPr>
        <w:t>h</w:t>
      </w:r>
      <w:r w:rsidR="00D26987" w:rsidRPr="00D26987">
        <w:rPr>
          <w:rFonts w:ascii="Arial" w:eastAsia="Calibri" w:hAnsi="Arial" w:cs="Arial"/>
          <w:sz w:val="24"/>
          <w:szCs w:val="24"/>
        </w:rPr>
        <w:t>00 its strength increased to such an extent that it blew over the scaffolding structures to which the Lucozade banner was attached.</w:t>
      </w:r>
    </w:p>
    <w:p w14:paraId="77B8BBF8" w14:textId="77777777" w:rsidR="00792F45" w:rsidRDefault="00792F45" w:rsidP="00731FBD">
      <w:pPr>
        <w:spacing w:line="360" w:lineRule="auto"/>
        <w:contextualSpacing/>
        <w:jc w:val="both"/>
        <w:rPr>
          <w:rFonts w:ascii="Arial" w:eastAsia="Calibri" w:hAnsi="Arial" w:cs="Arial"/>
          <w:sz w:val="24"/>
          <w:szCs w:val="24"/>
        </w:rPr>
      </w:pPr>
    </w:p>
    <w:p w14:paraId="31FF6992" w14:textId="5B525C06" w:rsidR="006B72BC" w:rsidRDefault="0084033F" w:rsidP="00731FBD">
      <w:pPr>
        <w:spacing w:line="360" w:lineRule="auto"/>
        <w:contextualSpacing/>
        <w:jc w:val="both"/>
        <w:rPr>
          <w:rFonts w:ascii="Arial" w:eastAsia="Calibri" w:hAnsi="Arial" w:cs="Arial"/>
          <w:sz w:val="24"/>
          <w:szCs w:val="24"/>
        </w:rPr>
      </w:pPr>
      <w:r>
        <w:rPr>
          <w:rFonts w:ascii="Arial" w:eastAsia="Calibri" w:hAnsi="Arial" w:cs="Arial"/>
          <w:sz w:val="24"/>
          <w:szCs w:val="24"/>
        </w:rPr>
        <w:t>[</w:t>
      </w:r>
      <w:r w:rsidR="0046013D">
        <w:rPr>
          <w:rFonts w:ascii="Arial" w:eastAsia="Calibri" w:hAnsi="Arial" w:cs="Arial"/>
          <w:sz w:val="24"/>
          <w:szCs w:val="24"/>
        </w:rPr>
        <w:t>6</w:t>
      </w:r>
      <w:r>
        <w:rPr>
          <w:rFonts w:ascii="Arial" w:eastAsia="Calibri" w:hAnsi="Arial" w:cs="Arial"/>
          <w:sz w:val="24"/>
          <w:szCs w:val="24"/>
        </w:rPr>
        <w:t>]</w:t>
      </w:r>
      <w:r w:rsidR="00415A8D">
        <w:rPr>
          <w:rFonts w:ascii="Arial" w:eastAsia="Calibri" w:hAnsi="Arial" w:cs="Arial"/>
          <w:sz w:val="24"/>
          <w:szCs w:val="24"/>
        </w:rPr>
        <w:tab/>
      </w:r>
      <w:r w:rsidR="00D26987" w:rsidRPr="000F65B1">
        <w:rPr>
          <w:rFonts w:ascii="Arial" w:eastAsia="Calibri" w:hAnsi="Arial" w:cs="Arial"/>
          <w:sz w:val="24"/>
          <w:szCs w:val="24"/>
        </w:rPr>
        <w:t xml:space="preserve">The evidence pertinent to the conduct of Hirt &amp; Carter is best </w:t>
      </w:r>
      <w:r w:rsidR="003A6540" w:rsidRPr="000F65B1">
        <w:rPr>
          <w:rFonts w:ascii="Arial" w:eastAsia="Calibri" w:hAnsi="Arial" w:cs="Arial"/>
          <w:sz w:val="24"/>
          <w:szCs w:val="24"/>
        </w:rPr>
        <w:t>captured</w:t>
      </w:r>
      <w:r w:rsidR="00D26987" w:rsidRPr="000F65B1">
        <w:rPr>
          <w:rFonts w:ascii="Arial" w:eastAsia="Calibri" w:hAnsi="Arial" w:cs="Arial"/>
          <w:sz w:val="24"/>
          <w:szCs w:val="24"/>
        </w:rPr>
        <w:t xml:space="preserve"> </w:t>
      </w:r>
      <w:r w:rsidR="00415A8D" w:rsidRPr="000F65B1">
        <w:rPr>
          <w:rFonts w:ascii="Arial" w:eastAsia="Calibri" w:hAnsi="Arial" w:cs="Arial"/>
          <w:sz w:val="24"/>
          <w:szCs w:val="24"/>
        </w:rPr>
        <w:t>in relation to</w:t>
      </w:r>
      <w:r w:rsidR="00D26987" w:rsidRPr="000F65B1">
        <w:rPr>
          <w:rFonts w:ascii="Arial" w:eastAsia="Calibri" w:hAnsi="Arial" w:cs="Arial"/>
          <w:sz w:val="24"/>
          <w:szCs w:val="24"/>
        </w:rPr>
        <w:t xml:space="preserve"> the evidence of Mrs Pretorius of Sound Media and Mr Olwage of Hirt</w:t>
      </w:r>
      <w:r w:rsidR="00B9421A">
        <w:rPr>
          <w:rFonts w:ascii="Arial" w:eastAsia="Calibri" w:hAnsi="Arial" w:cs="Arial"/>
          <w:sz w:val="24"/>
          <w:szCs w:val="24"/>
        </w:rPr>
        <w:t> </w:t>
      </w:r>
      <w:r w:rsidR="00D26987" w:rsidRPr="000F65B1">
        <w:rPr>
          <w:rFonts w:ascii="Arial" w:eastAsia="Calibri" w:hAnsi="Arial" w:cs="Arial"/>
          <w:sz w:val="24"/>
          <w:szCs w:val="24"/>
        </w:rPr>
        <w:t>&amp;</w:t>
      </w:r>
      <w:r w:rsidR="00B9421A">
        <w:rPr>
          <w:rFonts w:ascii="Arial" w:eastAsia="Calibri" w:hAnsi="Arial" w:cs="Arial"/>
          <w:sz w:val="24"/>
          <w:szCs w:val="24"/>
        </w:rPr>
        <w:t> </w:t>
      </w:r>
      <w:r w:rsidR="00D26987" w:rsidRPr="000F65B1">
        <w:rPr>
          <w:rFonts w:ascii="Arial" w:eastAsia="Calibri" w:hAnsi="Arial" w:cs="Arial"/>
          <w:sz w:val="24"/>
          <w:szCs w:val="24"/>
        </w:rPr>
        <w:t>Carter.</w:t>
      </w:r>
      <w:r w:rsidR="00731FBD" w:rsidRPr="000F65B1">
        <w:rPr>
          <w:rFonts w:ascii="Arial" w:eastAsia="Calibri" w:hAnsi="Arial" w:cs="Arial"/>
          <w:sz w:val="24"/>
          <w:szCs w:val="24"/>
        </w:rPr>
        <w:t xml:space="preserve"> </w:t>
      </w:r>
      <w:r w:rsidR="00D26987" w:rsidRPr="000F65B1">
        <w:rPr>
          <w:rFonts w:ascii="Arial" w:eastAsia="Calibri" w:hAnsi="Arial" w:cs="Arial"/>
          <w:sz w:val="24"/>
          <w:szCs w:val="24"/>
        </w:rPr>
        <w:t>Mrs Pretorius testified that Sound Media was contracted by GSK to do promotional activities at the concert which practically meant they were tasked to hand out as many Lucozade</w:t>
      </w:r>
      <w:r w:rsidR="00F50E63" w:rsidRPr="000F65B1">
        <w:rPr>
          <w:rFonts w:ascii="Arial" w:eastAsia="Calibri" w:hAnsi="Arial" w:cs="Arial"/>
          <w:sz w:val="24"/>
          <w:szCs w:val="24"/>
        </w:rPr>
        <w:t xml:space="preserve"> bottles</w:t>
      </w:r>
      <w:r w:rsidR="00D26987" w:rsidRPr="000F65B1">
        <w:rPr>
          <w:rFonts w:ascii="Arial" w:eastAsia="Calibri" w:hAnsi="Arial" w:cs="Arial"/>
          <w:sz w:val="24"/>
          <w:szCs w:val="24"/>
        </w:rPr>
        <w:t xml:space="preserve"> as they could</w:t>
      </w:r>
      <w:r w:rsidR="00FE2651" w:rsidRPr="000F65B1">
        <w:rPr>
          <w:rFonts w:ascii="Arial" w:eastAsia="Calibri" w:hAnsi="Arial" w:cs="Arial"/>
          <w:sz w:val="24"/>
          <w:szCs w:val="24"/>
        </w:rPr>
        <w:t>,</w:t>
      </w:r>
      <w:r w:rsidR="00D26987" w:rsidRPr="000F65B1">
        <w:rPr>
          <w:rFonts w:ascii="Arial" w:eastAsia="Calibri" w:hAnsi="Arial" w:cs="Arial"/>
          <w:sz w:val="24"/>
          <w:szCs w:val="24"/>
        </w:rPr>
        <w:t xml:space="preserve"> as well as presenting other exciting </w:t>
      </w:r>
      <w:r w:rsidR="00F50E63" w:rsidRPr="000F65B1">
        <w:rPr>
          <w:rFonts w:ascii="Arial" w:eastAsia="Calibri" w:hAnsi="Arial" w:cs="Arial"/>
          <w:sz w:val="24"/>
          <w:szCs w:val="24"/>
        </w:rPr>
        <w:t>promo</w:t>
      </w:r>
      <w:r w:rsidR="002D005D" w:rsidRPr="000F65B1">
        <w:rPr>
          <w:rFonts w:ascii="Arial" w:eastAsia="Calibri" w:hAnsi="Arial" w:cs="Arial"/>
          <w:sz w:val="24"/>
          <w:szCs w:val="24"/>
        </w:rPr>
        <w:t>tions</w:t>
      </w:r>
      <w:r w:rsidR="00D26987" w:rsidRPr="000F65B1">
        <w:rPr>
          <w:rFonts w:ascii="Arial" w:eastAsia="Calibri" w:hAnsi="Arial" w:cs="Arial"/>
          <w:sz w:val="24"/>
          <w:szCs w:val="24"/>
        </w:rPr>
        <w:t xml:space="preserve"> to draw attention to Lucozade. Sound Media offered to do the branding, but Hirt &amp; Carter</w:t>
      </w:r>
      <w:r w:rsidR="006B72BC" w:rsidRPr="000F65B1">
        <w:rPr>
          <w:rFonts w:ascii="Arial" w:eastAsia="Calibri" w:hAnsi="Arial" w:cs="Arial"/>
          <w:sz w:val="24"/>
          <w:szCs w:val="24"/>
        </w:rPr>
        <w:t xml:space="preserve"> had already</w:t>
      </w:r>
      <w:r w:rsidR="00D26987" w:rsidRPr="000F65B1">
        <w:rPr>
          <w:rFonts w:ascii="Arial" w:eastAsia="Calibri" w:hAnsi="Arial" w:cs="Arial"/>
          <w:sz w:val="24"/>
          <w:szCs w:val="24"/>
        </w:rPr>
        <w:t xml:space="preserve"> secured this contract. Sound Media was responsible for</w:t>
      </w:r>
      <w:r w:rsidR="002D005D" w:rsidRPr="000F65B1">
        <w:rPr>
          <w:rFonts w:ascii="Arial" w:eastAsia="Calibri" w:hAnsi="Arial" w:cs="Arial"/>
          <w:sz w:val="24"/>
          <w:szCs w:val="24"/>
        </w:rPr>
        <w:t xml:space="preserve"> co-ordinating</w:t>
      </w:r>
      <w:r w:rsidR="00D26987" w:rsidRPr="000F65B1">
        <w:rPr>
          <w:rFonts w:ascii="Arial" w:eastAsia="Calibri" w:hAnsi="Arial" w:cs="Arial"/>
          <w:sz w:val="24"/>
          <w:szCs w:val="24"/>
        </w:rPr>
        <w:t xml:space="preserve"> the</w:t>
      </w:r>
      <w:r w:rsidR="00E245AD" w:rsidRPr="000F65B1">
        <w:rPr>
          <w:rFonts w:ascii="Arial" w:eastAsia="Calibri" w:hAnsi="Arial" w:cs="Arial"/>
          <w:sz w:val="24"/>
          <w:szCs w:val="24"/>
        </w:rPr>
        <w:t xml:space="preserve"> efforts of</w:t>
      </w:r>
      <w:r w:rsidR="00D26987" w:rsidRPr="000F65B1">
        <w:rPr>
          <w:rFonts w:ascii="Arial" w:eastAsia="Calibri" w:hAnsi="Arial" w:cs="Arial"/>
          <w:sz w:val="24"/>
          <w:szCs w:val="24"/>
        </w:rPr>
        <w:t xml:space="preserve"> various </w:t>
      </w:r>
      <w:r w:rsidR="00E245AD" w:rsidRPr="000F65B1">
        <w:rPr>
          <w:rFonts w:ascii="Arial" w:eastAsia="Calibri" w:hAnsi="Arial" w:cs="Arial"/>
          <w:sz w:val="24"/>
          <w:szCs w:val="24"/>
        </w:rPr>
        <w:t>role-players</w:t>
      </w:r>
      <w:r w:rsidR="00D26987" w:rsidRPr="000F65B1">
        <w:rPr>
          <w:rFonts w:ascii="Arial" w:eastAsia="Calibri" w:hAnsi="Arial" w:cs="Arial"/>
          <w:sz w:val="24"/>
          <w:szCs w:val="24"/>
        </w:rPr>
        <w:t xml:space="preserve"> </w:t>
      </w:r>
      <w:r w:rsidR="00E245AD" w:rsidRPr="000F65B1">
        <w:rPr>
          <w:rFonts w:ascii="Arial" w:eastAsia="Calibri" w:hAnsi="Arial" w:cs="Arial"/>
          <w:sz w:val="24"/>
          <w:szCs w:val="24"/>
        </w:rPr>
        <w:t>involved in</w:t>
      </w:r>
      <w:r w:rsidR="00D5634A" w:rsidRPr="000F65B1">
        <w:rPr>
          <w:rFonts w:ascii="Arial" w:eastAsia="Calibri" w:hAnsi="Arial" w:cs="Arial"/>
          <w:sz w:val="24"/>
          <w:szCs w:val="24"/>
        </w:rPr>
        <w:t xml:space="preserve"> promoting and conducting the concert</w:t>
      </w:r>
      <w:r w:rsidR="00D26987" w:rsidRPr="000F65B1">
        <w:rPr>
          <w:rFonts w:ascii="Arial" w:eastAsia="Calibri" w:hAnsi="Arial" w:cs="Arial"/>
          <w:sz w:val="24"/>
          <w:szCs w:val="24"/>
        </w:rPr>
        <w:t>. Mrs Pretorius was the point of contact between Big Concerts, GSK and</w:t>
      </w:r>
      <w:r w:rsidR="00D26987" w:rsidRPr="00D26987">
        <w:rPr>
          <w:rFonts w:ascii="Arial" w:eastAsia="Calibri" w:hAnsi="Arial" w:cs="Arial"/>
          <w:sz w:val="24"/>
          <w:szCs w:val="24"/>
        </w:rPr>
        <w:t xml:space="preserve"> Alliance Safety. She described herself as the communicator between Hirt &amp; Carter and Big Concerts.</w:t>
      </w:r>
    </w:p>
    <w:p w14:paraId="46823767" w14:textId="77777777" w:rsidR="006B72BC" w:rsidRPr="00D26987" w:rsidRDefault="006B72BC" w:rsidP="00E13F9C">
      <w:pPr>
        <w:spacing w:line="360" w:lineRule="auto"/>
        <w:contextualSpacing/>
        <w:jc w:val="both"/>
        <w:rPr>
          <w:rFonts w:ascii="Arial" w:eastAsia="Calibri" w:hAnsi="Arial" w:cs="Arial"/>
          <w:sz w:val="24"/>
          <w:szCs w:val="24"/>
        </w:rPr>
      </w:pPr>
    </w:p>
    <w:p w14:paraId="418CBF8B" w14:textId="01A1438D" w:rsidR="00C91938" w:rsidRPr="00D26987" w:rsidRDefault="006B72BC" w:rsidP="00792F45">
      <w:pPr>
        <w:spacing w:line="360" w:lineRule="auto"/>
        <w:contextualSpacing/>
        <w:jc w:val="both"/>
        <w:rPr>
          <w:rFonts w:ascii="Arial" w:eastAsia="Calibri" w:hAnsi="Arial" w:cs="Arial"/>
          <w:sz w:val="24"/>
          <w:szCs w:val="24"/>
        </w:rPr>
      </w:pPr>
      <w:r>
        <w:rPr>
          <w:rFonts w:ascii="Arial" w:eastAsia="Calibri" w:hAnsi="Arial" w:cs="Arial"/>
          <w:sz w:val="24"/>
          <w:szCs w:val="24"/>
        </w:rPr>
        <w:t>[</w:t>
      </w:r>
      <w:r w:rsidR="0046013D">
        <w:rPr>
          <w:rFonts w:ascii="Arial" w:eastAsia="Calibri" w:hAnsi="Arial" w:cs="Arial"/>
          <w:sz w:val="24"/>
          <w:szCs w:val="24"/>
        </w:rPr>
        <w:t>7</w:t>
      </w:r>
      <w:r>
        <w:rPr>
          <w:rFonts w:ascii="Arial" w:eastAsia="Calibri" w:hAnsi="Arial" w:cs="Arial"/>
          <w:sz w:val="24"/>
          <w:szCs w:val="24"/>
        </w:rPr>
        <w:t>]</w:t>
      </w:r>
      <w:r w:rsidR="00D5634A">
        <w:rPr>
          <w:rFonts w:ascii="Arial" w:eastAsia="Calibri" w:hAnsi="Arial" w:cs="Arial"/>
          <w:sz w:val="24"/>
          <w:szCs w:val="24"/>
        </w:rPr>
        <w:tab/>
      </w:r>
      <w:r w:rsidRPr="000F65B1">
        <w:rPr>
          <w:rFonts w:ascii="Arial" w:eastAsia="Calibri" w:hAnsi="Arial" w:cs="Arial"/>
          <w:sz w:val="24"/>
          <w:szCs w:val="24"/>
        </w:rPr>
        <w:t xml:space="preserve">Mrs Pretorius’s </w:t>
      </w:r>
      <w:r w:rsidR="00D26987" w:rsidRPr="000F65B1">
        <w:rPr>
          <w:rFonts w:ascii="Arial" w:eastAsia="Calibri" w:hAnsi="Arial" w:cs="Arial"/>
          <w:sz w:val="24"/>
          <w:szCs w:val="24"/>
        </w:rPr>
        <w:t xml:space="preserve">evidence was </w:t>
      </w:r>
      <w:r w:rsidRPr="000F65B1">
        <w:rPr>
          <w:rFonts w:ascii="Arial" w:eastAsia="Calibri" w:hAnsi="Arial" w:cs="Arial"/>
          <w:sz w:val="24"/>
          <w:szCs w:val="24"/>
        </w:rPr>
        <w:t xml:space="preserve">that </w:t>
      </w:r>
      <w:r w:rsidR="00D26987" w:rsidRPr="000F65B1">
        <w:rPr>
          <w:rFonts w:ascii="Arial" w:eastAsia="Calibri" w:hAnsi="Arial" w:cs="Arial"/>
          <w:sz w:val="24"/>
          <w:szCs w:val="24"/>
        </w:rPr>
        <w:t>Big Concerts had made it clear that safety was everything. She was aware that an engineer’s sign-off and a safety file was req</w:t>
      </w:r>
      <w:r w:rsidR="003944BB">
        <w:rPr>
          <w:rFonts w:ascii="Arial" w:eastAsia="Calibri" w:hAnsi="Arial" w:cs="Arial"/>
          <w:sz w:val="24"/>
          <w:szCs w:val="24"/>
        </w:rPr>
        <w:t>uired for the scaffolding. Big C</w:t>
      </w:r>
      <w:r w:rsidR="00D26987" w:rsidRPr="000F65B1">
        <w:rPr>
          <w:rFonts w:ascii="Arial" w:eastAsia="Calibri" w:hAnsi="Arial" w:cs="Arial"/>
          <w:sz w:val="24"/>
          <w:szCs w:val="24"/>
        </w:rPr>
        <w:t xml:space="preserve">oncerts sent her </w:t>
      </w:r>
      <w:r w:rsidR="00A03DBA" w:rsidRPr="000F65B1">
        <w:rPr>
          <w:rFonts w:ascii="Arial" w:eastAsia="Calibri" w:hAnsi="Arial" w:cs="Arial"/>
          <w:sz w:val="24"/>
          <w:szCs w:val="24"/>
        </w:rPr>
        <w:t>an</w:t>
      </w:r>
      <w:r w:rsidR="00D26987" w:rsidRPr="000F65B1">
        <w:rPr>
          <w:rFonts w:ascii="Arial" w:eastAsia="Calibri" w:hAnsi="Arial" w:cs="Arial"/>
          <w:sz w:val="24"/>
          <w:szCs w:val="24"/>
        </w:rPr>
        <w:t xml:space="preserve"> indemnity form, a contractor’s agreement and a checklist explaining that the checklist supplied the information necessary for the safety file. Mrs Pretorius was familiar with the need f</w:t>
      </w:r>
      <w:r w:rsidRPr="000F65B1">
        <w:rPr>
          <w:rFonts w:ascii="Arial" w:eastAsia="Calibri" w:hAnsi="Arial" w:cs="Arial"/>
          <w:sz w:val="24"/>
          <w:szCs w:val="24"/>
        </w:rPr>
        <w:t>or</w:t>
      </w:r>
      <w:r w:rsidR="00D26987" w:rsidRPr="000F65B1">
        <w:rPr>
          <w:rFonts w:ascii="Arial" w:eastAsia="Calibri" w:hAnsi="Arial" w:cs="Arial"/>
          <w:sz w:val="24"/>
          <w:szCs w:val="24"/>
        </w:rPr>
        <w:t xml:space="preserve"> a safety file from previous projects. At a meeting</w:t>
      </w:r>
      <w:r w:rsidR="0053768D" w:rsidRPr="000F65B1">
        <w:rPr>
          <w:rFonts w:ascii="Arial" w:eastAsia="Calibri" w:hAnsi="Arial" w:cs="Arial"/>
          <w:sz w:val="24"/>
          <w:szCs w:val="24"/>
        </w:rPr>
        <w:t>,</w:t>
      </w:r>
      <w:r w:rsidR="00D26987" w:rsidRPr="000F65B1">
        <w:rPr>
          <w:rFonts w:ascii="Arial" w:eastAsia="Calibri" w:hAnsi="Arial" w:cs="Arial"/>
          <w:sz w:val="24"/>
          <w:szCs w:val="24"/>
        </w:rPr>
        <w:t xml:space="preserve"> a day before the event</w:t>
      </w:r>
      <w:r w:rsidR="00260A4E" w:rsidRPr="000F65B1">
        <w:rPr>
          <w:rFonts w:ascii="Arial" w:eastAsia="Calibri" w:hAnsi="Arial" w:cs="Arial"/>
          <w:sz w:val="24"/>
          <w:szCs w:val="24"/>
        </w:rPr>
        <w:t xml:space="preserve">, </w:t>
      </w:r>
      <w:r w:rsidR="0076266C" w:rsidRPr="000F65B1">
        <w:rPr>
          <w:rFonts w:ascii="Arial" w:eastAsia="Calibri" w:hAnsi="Arial" w:cs="Arial"/>
          <w:sz w:val="24"/>
          <w:szCs w:val="24"/>
        </w:rPr>
        <w:t>Mrs Pretorius</w:t>
      </w:r>
      <w:r w:rsidR="00260A4E" w:rsidRPr="000F65B1">
        <w:rPr>
          <w:rFonts w:ascii="Arial" w:eastAsia="Calibri" w:hAnsi="Arial" w:cs="Arial"/>
          <w:sz w:val="24"/>
          <w:szCs w:val="24"/>
        </w:rPr>
        <w:t xml:space="preserve"> handed</w:t>
      </w:r>
      <w:r w:rsidR="00D26987" w:rsidRPr="000F65B1">
        <w:rPr>
          <w:rFonts w:ascii="Arial" w:eastAsia="Calibri" w:hAnsi="Arial" w:cs="Arial"/>
          <w:sz w:val="24"/>
          <w:szCs w:val="24"/>
        </w:rPr>
        <w:t xml:space="preserve"> indemnity forms </w:t>
      </w:r>
      <w:r w:rsidR="00260A4E" w:rsidRPr="000F65B1">
        <w:rPr>
          <w:rFonts w:ascii="Arial" w:eastAsia="Calibri" w:hAnsi="Arial" w:cs="Arial"/>
          <w:sz w:val="24"/>
          <w:szCs w:val="24"/>
        </w:rPr>
        <w:t xml:space="preserve">she had received from Big Concerts to </w:t>
      </w:r>
      <w:r w:rsidR="00D26987" w:rsidRPr="000F65B1">
        <w:rPr>
          <w:rFonts w:ascii="Arial" w:eastAsia="Calibri" w:hAnsi="Arial" w:cs="Arial"/>
          <w:sz w:val="24"/>
          <w:szCs w:val="24"/>
        </w:rPr>
        <w:t>Mr Olwage</w:t>
      </w:r>
      <w:r w:rsidR="00D26987" w:rsidRPr="00D26987">
        <w:rPr>
          <w:rFonts w:ascii="Arial" w:eastAsia="Calibri" w:hAnsi="Arial" w:cs="Arial"/>
          <w:sz w:val="24"/>
          <w:szCs w:val="24"/>
        </w:rPr>
        <w:t>.</w:t>
      </w:r>
    </w:p>
    <w:p w14:paraId="55EB9638" w14:textId="77777777" w:rsidR="00C91938" w:rsidRPr="00D26987" w:rsidRDefault="00C91938" w:rsidP="00D26987">
      <w:pPr>
        <w:spacing w:line="360" w:lineRule="auto"/>
        <w:ind w:left="1080"/>
        <w:contextualSpacing/>
        <w:jc w:val="both"/>
        <w:rPr>
          <w:rFonts w:ascii="Arial" w:eastAsia="Calibri" w:hAnsi="Arial" w:cs="Arial"/>
          <w:sz w:val="24"/>
          <w:szCs w:val="24"/>
        </w:rPr>
      </w:pPr>
    </w:p>
    <w:p w14:paraId="2D8A25CA" w14:textId="22A924E2" w:rsidR="00D26987" w:rsidRPr="000F65B1" w:rsidRDefault="00C91938" w:rsidP="00004497">
      <w:pPr>
        <w:spacing w:line="360" w:lineRule="auto"/>
        <w:contextualSpacing/>
        <w:jc w:val="both"/>
        <w:rPr>
          <w:rFonts w:ascii="Arial" w:eastAsia="Calibri" w:hAnsi="Arial" w:cs="Arial"/>
          <w:sz w:val="24"/>
          <w:szCs w:val="24"/>
        </w:rPr>
      </w:pPr>
      <w:r>
        <w:rPr>
          <w:rFonts w:ascii="Arial" w:eastAsia="Calibri" w:hAnsi="Arial" w:cs="Arial"/>
          <w:sz w:val="24"/>
          <w:szCs w:val="24"/>
        </w:rPr>
        <w:t>[</w:t>
      </w:r>
      <w:r w:rsidR="0046013D">
        <w:rPr>
          <w:rFonts w:ascii="Arial" w:eastAsia="Calibri" w:hAnsi="Arial" w:cs="Arial"/>
          <w:sz w:val="24"/>
          <w:szCs w:val="24"/>
        </w:rPr>
        <w:t>8</w:t>
      </w:r>
      <w:r>
        <w:rPr>
          <w:rFonts w:ascii="Arial" w:eastAsia="Calibri" w:hAnsi="Arial" w:cs="Arial"/>
          <w:sz w:val="24"/>
          <w:szCs w:val="24"/>
        </w:rPr>
        <w:t>]</w:t>
      </w:r>
      <w:r w:rsidR="0046013D">
        <w:rPr>
          <w:rFonts w:ascii="Arial" w:eastAsia="Calibri" w:hAnsi="Arial" w:cs="Arial"/>
          <w:sz w:val="24"/>
          <w:szCs w:val="24"/>
        </w:rPr>
        <w:tab/>
      </w:r>
      <w:r w:rsidR="00D26987" w:rsidRPr="000F65B1">
        <w:rPr>
          <w:rFonts w:ascii="Arial" w:eastAsia="Calibri" w:hAnsi="Arial" w:cs="Arial"/>
          <w:sz w:val="24"/>
          <w:szCs w:val="24"/>
        </w:rPr>
        <w:t>The day before the concert the following emails were exchanged between Mrs</w:t>
      </w:r>
      <w:r w:rsidR="007D0283">
        <w:rPr>
          <w:rFonts w:ascii="Arial" w:eastAsia="Calibri" w:hAnsi="Arial" w:cs="Arial"/>
          <w:sz w:val="24"/>
          <w:szCs w:val="24"/>
        </w:rPr>
        <w:t> </w:t>
      </w:r>
      <w:r w:rsidR="00D26987" w:rsidRPr="000F65B1">
        <w:rPr>
          <w:rFonts w:ascii="Arial" w:eastAsia="Calibri" w:hAnsi="Arial" w:cs="Arial"/>
          <w:sz w:val="24"/>
          <w:szCs w:val="24"/>
        </w:rPr>
        <w:t xml:space="preserve">Pretorius and Big Concerts with Big Concerts </w:t>
      </w:r>
      <w:r w:rsidR="00A03DBA" w:rsidRPr="000F65B1">
        <w:rPr>
          <w:rFonts w:ascii="Arial" w:eastAsia="Calibri" w:hAnsi="Arial" w:cs="Arial"/>
          <w:sz w:val="24"/>
          <w:szCs w:val="24"/>
        </w:rPr>
        <w:t>communicating</w:t>
      </w:r>
      <w:r w:rsidR="00D26987" w:rsidRPr="000F65B1">
        <w:rPr>
          <w:rFonts w:ascii="Arial" w:eastAsia="Calibri" w:hAnsi="Arial" w:cs="Arial"/>
          <w:sz w:val="24"/>
          <w:szCs w:val="24"/>
        </w:rPr>
        <w:t xml:space="preserve"> as follows:</w:t>
      </w:r>
    </w:p>
    <w:p w14:paraId="364C37F8" w14:textId="63CCF624" w:rsidR="00C91938" w:rsidRPr="000F65B1" w:rsidRDefault="00C91938" w:rsidP="000D047D">
      <w:pPr>
        <w:spacing w:after="120" w:line="360" w:lineRule="auto"/>
        <w:jc w:val="both"/>
        <w:rPr>
          <w:rFonts w:ascii="Arial" w:eastAsia="Calibri" w:hAnsi="Arial" w:cs="Arial"/>
        </w:rPr>
      </w:pPr>
      <w:r w:rsidRPr="000F65B1">
        <w:rPr>
          <w:rFonts w:ascii="Arial" w:eastAsia="Calibri" w:hAnsi="Arial" w:cs="Arial"/>
        </w:rPr>
        <w:t>‘</w:t>
      </w:r>
      <w:r w:rsidR="00D26987" w:rsidRPr="000F65B1">
        <w:rPr>
          <w:rFonts w:ascii="Arial" w:eastAsia="Calibri" w:hAnsi="Arial" w:cs="Arial"/>
        </w:rPr>
        <w:t xml:space="preserve">Are These </w:t>
      </w:r>
      <w:r w:rsidR="00D26987" w:rsidRPr="00A35D00">
        <w:rPr>
          <w:rFonts w:ascii="Arial" w:eastAsia="Calibri" w:hAnsi="Arial" w:cs="Arial"/>
        </w:rPr>
        <w:t>Safety Forms</w:t>
      </w:r>
      <w:r w:rsidR="003A3B48">
        <w:rPr>
          <w:rFonts w:ascii="Arial" w:eastAsia="Calibri" w:hAnsi="Arial" w:cs="Arial"/>
        </w:rPr>
        <w:t>?</w:t>
      </w:r>
    </w:p>
    <w:p w14:paraId="46735360" w14:textId="6BC0A7C1" w:rsidR="00A30406" w:rsidRPr="000F65B1" w:rsidRDefault="00D26987" w:rsidP="000D047D">
      <w:pPr>
        <w:spacing w:after="120" w:line="360" w:lineRule="auto"/>
        <w:jc w:val="both"/>
        <w:rPr>
          <w:rFonts w:ascii="Arial" w:eastAsia="Calibri" w:hAnsi="Arial" w:cs="Arial"/>
          <w:sz w:val="24"/>
          <w:szCs w:val="24"/>
        </w:rPr>
      </w:pPr>
      <w:r w:rsidRPr="000F65B1">
        <w:rPr>
          <w:rFonts w:ascii="Arial" w:eastAsia="Calibri" w:hAnsi="Arial" w:cs="Arial"/>
        </w:rPr>
        <w:t>Hi, Penny. I just wanted to follow up on this. Have the forms been completed</w:t>
      </w:r>
      <w:r w:rsidR="001B7260">
        <w:rPr>
          <w:rFonts w:ascii="Arial" w:eastAsia="Calibri" w:hAnsi="Arial" w:cs="Arial"/>
        </w:rPr>
        <w:t>?</w:t>
      </w:r>
      <w:r w:rsidR="00A30406" w:rsidRPr="000F65B1">
        <w:rPr>
          <w:rFonts w:ascii="Arial" w:eastAsia="Calibri" w:hAnsi="Arial" w:cs="Arial"/>
        </w:rPr>
        <w:t>’</w:t>
      </w:r>
    </w:p>
    <w:p w14:paraId="1D6499FD" w14:textId="1D7FF77D" w:rsidR="00D26987" w:rsidRPr="000F65B1" w:rsidRDefault="00D26987" w:rsidP="00004497">
      <w:pPr>
        <w:spacing w:after="0" w:line="360" w:lineRule="auto"/>
        <w:jc w:val="both"/>
        <w:rPr>
          <w:rFonts w:ascii="Arial" w:eastAsia="Calibri" w:hAnsi="Arial" w:cs="Arial"/>
          <w:sz w:val="24"/>
          <w:szCs w:val="24"/>
        </w:rPr>
      </w:pPr>
      <w:r w:rsidRPr="000F65B1">
        <w:rPr>
          <w:rFonts w:ascii="Arial" w:eastAsia="Calibri" w:hAnsi="Arial" w:cs="Arial"/>
          <w:sz w:val="24"/>
          <w:szCs w:val="24"/>
        </w:rPr>
        <w:t>M</w:t>
      </w:r>
      <w:r w:rsidR="00A30406" w:rsidRPr="000F65B1">
        <w:rPr>
          <w:rFonts w:ascii="Arial" w:eastAsia="Calibri" w:hAnsi="Arial" w:cs="Arial"/>
          <w:sz w:val="24"/>
          <w:szCs w:val="24"/>
        </w:rPr>
        <w:t>r</w:t>
      </w:r>
      <w:r w:rsidRPr="000F65B1">
        <w:rPr>
          <w:rFonts w:ascii="Arial" w:eastAsia="Calibri" w:hAnsi="Arial" w:cs="Arial"/>
          <w:sz w:val="24"/>
          <w:szCs w:val="24"/>
        </w:rPr>
        <w:t>s Pretorius answer</w:t>
      </w:r>
      <w:r w:rsidR="007A45E7">
        <w:rPr>
          <w:rFonts w:ascii="Arial" w:eastAsia="Calibri" w:hAnsi="Arial" w:cs="Arial"/>
          <w:sz w:val="24"/>
          <w:szCs w:val="24"/>
        </w:rPr>
        <w:t xml:space="preserve">ed </w:t>
      </w:r>
      <w:r w:rsidRPr="000F65B1">
        <w:rPr>
          <w:rFonts w:ascii="Arial" w:eastAsia="Calibri" w:hAnsi="Arial" w:cs="Arial"/>
          <w:sz w:val="24"/>
          <w:szCs w:val="24"/>
        </w:rPr>
        <w:t>as follows:</w:t>
      </w:r>
    </w:p>
    <w:p w14:paraId="0DACFC1E" w14:textId="7512F08D" w:rsidR="00A30406" w:rsidRPr="000F65B1" w:rsidRDefault="00A30406" w:rsidP="00004497">
      <w:pPr>
        <w:spacing w:line="360" w:lineRule="auto"/>
        <w:contextualSpacing/>
        <w:jc w:val="both"/>
        <w:rPr>
          <w:rFonts w:ascii="Arial" w:eastAsia="Calibri" w:hAnsi="Arial" w:cs="Arial"/>
        </w:rPr>
      </w:pPr>
      <w:r w:rsidRPr="000F65B1">
        <w:rPr>
          <w:rFonts w:ascii="Arial" w:eastAsia="Calibri" w:hAnsi="Arial" w:cs="Arial"/>
        </w:rPr>
        <w:t>‘</w:t>
      </w:r>
      <w:r w:rsidR="00D26987" w:rsidRPr="000F65B1">
        <w:rPr>
          <w:rFonts w:ascii="Arial" w:eastAsia="Calibri" w:hAnsi="Arial" w:cs="Arial"/>
        </w:rPr>
        <w:t>Yip. They have and we have a heavy back-up document. The scaffolding the</w:t>
      </w:r>
      <w:r w:rsidRPr="000F65B1">
        <w:rPr>
          <w:rFonts w:ascii="Arial" w:eastAsia="Calibri" w:hAnsi="Arial" w:cs="Arial"/>
        </w:rPr>
        <w:t xml:space="preserve"> </w:t>
      </w:r>
      <w:r w:rsidR="00D26987" w:rsidRPr="000F65B1">
        <w:rPr>
          <w:rFonts w:ascii="Arial" w:eastAsia="Calibri" w:hAnsi="Arial" w:cs="Arial"/>
        </w:rPr>
        <w:t>[sic] team have this with them on site.</w:t>
      </w:r>
      <w:r w:rsidRPr="000F65B1">
        <w:rPr>
          <w:rFonts w:ascii="Arial" w:eastAsia="Calibri" w:hAnsi="Arial" w:cs="Arial"/>
        </w:rPr>
        <w:t>’</w:t>
      </w:r>
    </w:p>
    <w:p w14:paraId="00FFC328" w14:textId="01C7332E" w:rsidR="00D26987" w:rsidRDefault="00D26987" w:rsidP="00A30406">
      <w:pPr>
        <w:spacing w:line="360" w:lineRule="auto"/>
        <w:contextualSpacing/>
        <w:jc w:val="both"/>
        <w:rPr>
          <w:rFonts w:ascii="Arial" w:eastAsia="Calibri" w:hAnsi="Arial" w:cs="Arial"/>
          <w:sz w:val="24"/>
          <w:szCs w:val="24"/>
        </w:rPr>
      </w:pPr>
      <w:r w:rsidRPr="000F65B1">
        <w:rPr>
          <w:rFonts w:ascii="Arial" w:eastAsia="Calibri" w:hAnsi="Arial" w:cs="Arial"/>
          <w:sz w:val="24"/>
          <w:szCs w:val="24"/>
        </w:rPr>
        <w:lastRenderedPageBreak/>
        <w:t>M</w:t>
      </w:r>
      <w:r w:rsidR="00A30406" w:rsidRPr="000F65B1">
        <w:rPr>
          <w:rFonts w:ascii="Arial" w:eastAsia="Calibri" w:hAnsi="Arial" w:cs="Arial"/>
          <w:sz w:val="24"/>
          <w:szCs w:val="24"/>
        </w:rPr>
        <w:t>r</w:t>
      </w:r>
      <w:r w:rsidRPr="000F65B1">
        <w:rPr>
          <w:rFonts w:ascii="Arial" w:eastAsia="Calibri" w:hAnsi="Arial" w:cs="Arial"/>
          <w:sz w:val="24"/>
          <w:szCs w:val="24"/>
        </w:rPr>
        <w:t>s Pretorius could not recall how this was discussed with Mr Olwage but she</w:t>
      </w:r>
      <w:r w:rsidR="00D43459" w:rsidRPr="000F65B1">
        <w:rPr>
          <w:rFonts w:ascii="Arial" w:eastAsia="Calibri" w:hAnsi="Arial" w:cs="Arial"/>
          <w:sz w:val="24"/>
          <w:szCs w:val="24"/>
        </w:rPr>
        <w:t xml:space="preserve"> was adamant that</w:t>
      </w:r>
      <w:r w:rsidRPr="000F65B1">
        <w:rPr>
          <w:rFonts w:ascii="Arial" w:eastAsia="Calibri" w:hAnsi="Arial" w:cs="Arial"/>
          <w:sz w:val="24"/>
          <w:szCs w:val="24"/>
        </w:rPr>
        <w:t xml:space="preserve"> </w:t>
      </w:r>
      <w:r w:rsidR="00FC3870" w:rsidRPr="000F65B1">
        <w:rPr>
          <w:rFonts w:ascii="Arial" w:eastAsia="Calibri" w:hAnsi="Arial" w:cs="Arial"/>
          <w:sz w:val="24"/>
          <w:szCs w:val="24"/>
        </w:rPr>
        <w:t>she</w:t>
      </w:r>
      <w:r w:rsidR="00A03972" w:rsidRPr="000F65B1">
        <w:rPr>
          <w:rFonts w:ascii="Arial" w:eastAsia="Calibri" w:hAnsi="Arial" w:cs="Arial"/>
          <w:sz w:val="24"/>
          <w:szCs w:val="24"/>
        </w:rPr>
        <w:t xml:space="preserve"> had</w:t>
      </w:r>
      <w:r w:rsidR="00FC3870" w:rsidRPr="000F65B1">
        <w:rPr>
          <w:rFonts w:ascii="Arial" w:eastAsia="Calibri" w:hAnsi="Arial" w:cs="Arial"/>
          <w:sz w:val="24"/>
          <w:szCs w:val="24"/>
        </w:rPr>
        <w:t xml:space="preserve"> </w:t>
      </w:r>
      <w:r w:rsidRPr="000F65B1">
        <w:rPr>
          <w:rFonts w:ascii="Arial" w:eastAsia="Calibri" w:hAnsi="Arial" w:cs="Arial"/>
          <w:sz w:val="24"/>
          <w:szCs w:val="24"/>
        </w:rPr>
        <w:t>received this information from him.</w:t>
      </w:r>
    </w:p>
    <w:p w14:paraId="3C8F7E27" w14:textId="77777777" w:rsidR="00A30406" w:rsidRPr="00D26987" w:rsidRDefault="00A30406" w:rsidP="00004497">
      <w:pPr>
        <w:spacing w:line="360" w:lineRule="auto"/>
        <w:contextualSpacing/>
        <w:jc w:val="both"/>
        <w:rPr>
          <w:rFonts w:ascii="Arial" w:eastAsia="Calibri" w:hAnsi="Arial" w:cs="Arial"/>
          <w:sz w:val="24"/>
          <w:szCs w:val="24"/>
        </w:rPr>
      </w:pPr>
    </w:p>
    <w:p w14:paraId="7CCC93EE" w14:textId="51464994" w:rsidR="0076266C" w:rsidRPr="000F65B1" w:rsidRDefault="00A30406" w:rsidP="000D047D">
      <w:pPr>
        <w:spacing w:after="0" w:line="360" w:lineRule="auto"/>
        <w:jc w:val="both"/>
        <w:rPr>
          <w:rFonts w:ascii="Arial" w:eastAsia="Calibri" w:hAnsi="Arial" w:cs="Arial"/>
          <w:sz w:val="24"/>
          <w:szCs w:val="24"/>
        </w:rPr>
      </w:pPr>
      <w:r>
        <w:rPr>
          <w:rFonts w:ascii="Arial" w:eastAsia="Calibri" w:hAnsi="Arial" w:cs="Arial"/>
          <w:sz w:val="24"/>
          <w:szCs w:val="24"/>
        </w:rPr>
        <w:t>[</w:t>
      </w:r>
      <w:r w:rsidR="0046013D">
        <w:rPr>
          <w:rFonts w:ascii="Arial" w:eastAsia="Calibri" w:hAnsi="Arial" w:cs="Arial"/>
          <w:sz w:val="24"/>
          <w:szCs w:val="24"/>
        </w:rPr>
        <w:t>9</w:t>
      </w:r>
      <w:r>
        <w:rPr>
          <w:rFonts w:ascii="Arial" w:eastAsia="Calibri" w:hAnsi="Arial" w:cs="Arial"/>
          <w:sz w:val="24"/>
          <w:szCs w:val="24"/>
        </w:rPr>
        <w:t>]</w:t>
      </w:r>
      <w:r w:rsidR="00E76109">
        <w:rPr>
          <w:rFonts w:ascii="Arial" w:eastAsia="Calibri" w:hAnsi="Arial" w:cs="Arial"/>
          <w:sz w:val="24"/>
          <w:szCs w:val="24"/>
        </w:rPr>
        <w:tab/>
      </w:r>
      <w:r w:rsidR="00D26987" w:rsidRPr="000F65B1">
        <w:rPr>
          <w:rFonts w:ascii="Arial" w:eastAsia="Calibri" w:hAnsi="Arial" w:cs="Arial"/>
          <w:sz w:val="24"/>
          <w:szCs w:val="24"/>
        </w:rPr>
        <w:t>On the day of the concert she received a</w:t>
      </w:r>
      <w:r w:rsidR="00E76109" w:rsidRPr="000F65B1">
        <w:rPr>
          <w:rFonts w:ascii="Arial" w:eastAsia="Calibri" w:hAnsi="Arial" w:cs="Arial"/>
          <w:sz w:val="24"/>
          <w:szCs w:val="24"/>
        </w:rPr>
        <w:t>n</w:t>
      </w:r>
      <w:r w:rsidR="00D26987" w:rsidRPr="000F65B1">
        <w:rPr>
          <w:rFonts w:ascii="Arial" w:eastAsia="Calibri" w:hAnsi="Arial" w:cs="Arial"/>
          <w:sz w:val="24"/>
          <w:szCs w:val="24"/>
        </w:rPr>
        <w:t xml:space="preserve"> SMS from Mr Olwage </w:t>
      </w:r>
      <w:r w:rsidR="009C5680" w:rsidRPr="000F65B1">
        <w:rPr>
          <w:rFonts w:ascii="Arial" w:eastAsia="Calibri" w:hAnsi="Arial" w:cs="Arial"/>
          <w:sz w:val="24"/>
          <w:szCs w:val="24"/>
        </w:rPr>
        <w:t xml:space="preserve">stating the </w:t>
      </w:r>
      <w:r w:rsidR="00D26987" w:rsidRPr="000F65B1">
        <w:rPr>
          <w:rFonts w:ascii="Arial" w:eastAsia="Calibri" w:hAnsi="Arial" w:cs="Arial"/>
          <w:sz w:val="24"/>
          <w:szCs w:val="24"/>
        </w:rPr>
        <w:t>following</w:t>
      </w:r>
      <w:r w:rsidR="009C5680" w:rsidRPr="000F65B1">
        <w:rPr>
          <w:rFonts w:ascii="Arial" w:eastAsia="Calibri" w:hAnsi="Arial" w:cs="Arial"/>
          <w:sz w:val="24"/>
          <w:szCs w:val="24"/>
        </w:rPr>
        <w:t>:</w:t>
      </w:r>
    </w:p>
    <w:p w14:paraId="4FCBA63E" w14:textId="2ED88C41" w:rsidR="00D26987" w:rsidRPr="000F65B1" w:rsidRDefault="006B5A85" w:rsidP="000D047D">
      <w:pPr>
        <w:spacing w:after="0" w:line="360" w:lineRule="auto"/>
        <w:jc w:val="both"/>
        <w:rPr>
          <w:rFonts w:ascii="Arial" w:eastAsia="Calibri" w:hAnsi="Arial" w:cs="Arial"/>
        </w:rPr>
      </w:pPr>
      <w:r w:rsidRPr="000F65B1">
        <w:rPr>
          <w:rFonts w:ascii="Arial" w:eastAsia="Calibri" w:hAnsi="Arial" w:cs="Arial"/>
        </w:rPr>
        <w:t>'</w:t>
      </w:r>
      <w:r w:rsidR="00D26987" w:rsidRPr="000F65B1">
        <w:rPr>
          <w:rFonts w:ascii="Arial" w:eastAsia="Calibri" w:hAnsi="Arial" w:cs="Arial"/>
        </w:rPr>
        <w:t>Spoke to Cameron. Got th</w:t>
      </w:r>
      <w:r w:rsidR="007A17C3">
        <w:rPr>
          <w:rFonts w:ascii="Arial" w:eastAsia="Calibri" w:hAnsi="Arial" w:cs="Arial"/>
        </w:rPr>
        <w:t>e guys dropping safety docs off</w:t>
      </w:r>
      <w:r w:rsidR="00D26987" w:rsidRPr="000F65B1">
        <w:rPr>
          <w:rFonts w:ascii="Arial" w:eastAsia="Calibri" w:hAnsi="Arial" w:cs="Arial"/>
        </w:rPr>
        <w:t xml:space="preserve"> We cannot have someone</w:t>
      </w:r>
      <w:r w:rsidRPr="000F65B1">
        <w:rPr>
          <w:rFonts w:ascii="Arial" w:eastAsia="Calibri" w:hAnsi="Arial" w:cs="Arial"/>
        </w:rPr>
        <w:t xml:space="preserve"> </w:t>
      </w:r>
      <w:r w:rsidR="00D26987" w:rsidRPr="000F65B1">
        <w:rPr>
          <w:rFonts w:ascii="Arial" w:eastAsia="Calibri" w:hAnsi="Arial" w:cs="Arial"/>
        </w:rPr>
        <w:t>there</w:t>
      </w:r>
      <w:r w:rsidR="00162B20">
        <w:rPr>
          <w:rFonts w:ascii="Arial" w:eastAsia="Calibri" w:hAnsi="Arial" w:cs="Arial"/>
        </w:rPr>
        <w:t xml:space="preserve"> </w:t>
      </w:r>
      <w:r w:rsidR="00D26987" w:rsidRPr="000F65B1">
        <w:rPr>
          <w:rFonts w:ascii="Arial" w:eastAsia="Calibri" w:hAnsi="Arial" w:cs="Arial"/>
        </w:rPr>
        <w:t>24/7 for scaffolding. This was not discussed with us therefor not costed or arranged with</w:t>
      </w:r>
      <w:r w:rsidR="00162B20">
        <w:rPr>
          <w:rFonts w:ascii="Arial" w:eastAsia="Calibri" w:hAnsi="Arial" w:cs="Arial"/>
        </w:rPr>
        <w:t xml:space="preserve"> </w:t>
      </w:r>
      <w:r w:rsidR="00D26987" w:rsidRPr="000F65B1">
        <w:rPr>
          <w:rFonts w:ascii="Arial" w:eastAsia="Calibri" w:hAnsi="Arial" w:cs="Arial"/>
        </w:rPr>
        <w:t>[indi</w:t>
      </w:r>
      <w:r w:rsidR="00194857">
        <w:rPr>
          <w:rFonts w:ascii="Arial" w:eastAsia="Calibri" w:hAnsi="Arial" w:cs="Arial"/>
        </w:rPr>
        <w:t>s</w:t>
      </w:r>
      <w:r w:rsidR="00D26987" w:rsidRPr="000F65B1">
        <w:rPr>
          <w:rFonts w:ascii="Arial" w:eastAsia="Calibri" w:hAnsi="Arial" w:cs="Arial"/>
        </w:rPr>
        <w:t>tin</w:t>
      </w:r>
      <w:r w:rsidR="00194857">
        <w:rPr>
          <w:rFonts w:ascii="Arial" w:eastAsia="Calibri" w:hAnsi="Arial" w:cs="Arial"/>
        </w:rPr>
        <w:t>c</w:t>
      </w:r>
      <w:r w:rsidR="00D26987" w:rsidRPr="000F65B1">
        <w:rPr>
          <w:rFonts w:ascii="Arial" w:eastAsia="Calibri" w:hAnsi="Arial" w:cs="Arial"/>
        </w:rPr>
        <w:t>t]</w:t>
      </w:r>
      <w:r w:rsidRPr="000F65B1">
        <w:rPr>
          <w:rFonts w:ascii="Arial" w:eastAsia="Calibri" w:hAnsi="Arial" w:cs="Arial"/>
        </w:rPr>
        <w:t>.’</w:t>
      </w:r>
    </w:p>
    <w:p w14:paraId="52B58B63" w14:textId="1F1AB31C" w:rsidR="00D26987" w:rsidRPr="000F65B1" w:rsidRDefault="00D26987" w:rsidP="00004497">
      <w:pPr>
        <w:spacing w:line="360" w:lineRule="auto"/>
        <w:contextualSpacing/>
        <w:jc w:val="both"/>
        <w:rPr>
          <w:rFonts w:ascii="Arial" w:eastAsia="Calibri" w:hAnsi="Arial" w:cs="Arial"/>
          <w:sz w:val="24"/>
          <w:szCs w:val="24"/>
        </w:rPr>
      </w:pPr>
      <w:r w:rsidRPr="000F65B1">
        <w:rPr>
          <w:rFonts w:ascii="Arial" w:eastAsia="Calibri" w:hAnsi="Arial" w:cs="Arial"/>
          <w:sz w:val="24"/>
          <w:szCs w:val="24"/>
        </w:rPr>
        <w:t>In a further SMS</w:t>
      </w:r>
      <w:r w:rsidR="00DB31D6">
        <w:rPr>
          <w:rFonts w:ascii="Arial" w:eastAsia="Calibri" w:hAnsi="Arial" w:cs="Arial"/>
          <w:sz w:val="24"/>
          <w:szCs w:val="24"/>
        </w:rPr>
        <w:t>,</w:t>
      </w:r>
      <w:r w:rsidRPr="000F65B1">
        <w:rPr>
          <w:rFonts w:ascii="Arial" w:eastAsia="Calibri" w:hAnsi="Arial" w:cs="Arial"/>
          <w:sz w:val="24"/>
          <w:szCs w:val="24"/>
        </w:rPr>
        <w:t xml:space="preserve"> Mr Olwage replie</w:t>
      </w:r>
      <w:r w:rsidR="00B43250">
        <w:rPr>
          <w:rFonts w:ascii="Arial" w:eastAsia="Calibri" w:hAnsi="Arial" w:cs="Arial"/>
          <w:sz w:val="24"/>
          <w:szCs w:val="24"/>
        </w:rPr>
        <w:t>d</w:t>
      </w:r>
      <w:r w:rsidRPr="000F65B1">
        <w:rPr>
          <w:rFonts w:ascii="Arial" w:eastAsia="Calibri" w:hAnsi="Arial" w:cs="Arial"/>
          <w:sz w:val="24"/>
          <w:szCs w:val="24"/>
        </w:rPr>
        <w:t xml:space="preserve"> as follows:</w:t>
      </w:r>
    </w:p>
    <w:p w14:paraId="19B14044" w14:textId="5E55FD94" w:rsidR="00D26987" w:rsidRPr="000F65B1" w:rsidRDefault="006B5A85" w:rsidP="00004497">
      <w:pPr>
        <w:spacing w:line="360" w:lineRule="auto"/>
        <w:contextualSpacing/>
        <w:jc w:val="both"/>
        <w:rPr>
          <w:rFonts w:ascii="Arial" w:eastAsia="Calibri" w:hAnsi="Arial" w:cs="Arial"/>
          <w:sz w:val="24"/>
          <w:szCs w:val="24"/>
        </w:rPr>
      </w:pPr>
      <w:r w:rsidRPr="000F65B1">
        <w:rPr>
          <w:rFonts w:ascii="Arial" w:eastAsia="Calibri" w:hAnsi="Arial" w:cs="Arial"/>
        </w:rPr>
        <w:t>‘</w:t>
      </w:r>
      <w:r w:rsidR="00D26987" w:rsidRPr="000F65B1">
        <w:rPr>
          <w:rFonts w:ascii="Arial" w:eastAsia="Calibri" w:hAnsi="Arial" w:cs="Arial"/>
        </w:rPr>
        <w:t>Hi, Penny. I disagree. You made it very clear about the safety docs not some</w:t>
      </w:r>
      <w:r w:rsidR="00052A85">
        <w:rPr>
          <w:rFonts w:ascii="Arial" w:eastAsia="Calibri" w:hAnsi="Arial" w:cs="Arial"/>
        </w:rPr>
        <w:t>one</w:t>
      </w:r>
      <w:r w:rsidR="00D26987" w:rsidRPr="000F65B1">
        <w:rPr>
          <w:rFonts w:ascii="Arial" w:eastAsia="Calibri" w:hAnsi="Arial" w:cs="Arial"/>
        </w:rPr>
        <w:t xml:space="preserve"> being on site 24/7 re: scaffolding.</w:t>
      </w:r>
      <w:r w:rsidRPr="000F65B1">
        <w:rPr>
          <w:rFonts w:ascii="Arial" w:eastAsia="Calibri" w:hAnsi="Arial" w:cs="Arial"/>
        </w:rPr>
        <w:t>’</w:t>
      </w:r>
    </w:p>
    <w:p w14:paraId="3FFB2860" w14:textId="64D19CE4" w:rsidR="00D26987" w:rsidRPr="00D26987" w:rsidRDefault="00D26987" w:rsidP="00004497">
      <w:pPr>
        <w:spacing w:line="360" w:lineRule="auto"/>
        <w:contextualSpacing/>
        <w:jc w:val="both"/>
        <w:rPr>
          <w:rFonts w:ascii="Arial" w:eastAsia="Calibri" w:hAnsi="Arial" w:cs="Arial"/>
          <w:sz w:val="24"/>
          <w:szCs w:val="24"/>
        </w:rPr>
      </w:pPr>
      <w:r w:rsidRPr="000F65B1">
        <w:rPr>
          <w:rFonts w:ascii="Arial" w:eastAsia="Calibri" w:hAnsi="Arial" w:cs="Arial"/>
          <w:sz w:val="24"/>
          <w:szCs w:val="24"/>
        </w:rPr>
        <w:t xml:space="preserve">In a </w:t>
      </w:r>
      <w:r w:rsidR="00306A21">
        <w:rPr>
          <w:rFonts w:ascii="Arial" w:eastAsia="Calibri" w:hAnsi="Arial" w:cs="Arial"/>
          <w:sz w:val="24"/>
          <w:szCs w:val="24"/>
        </w:rPr>
        <w:t>subsequent</w:t>
      </w:r>
      <w:r w:rsidRPr="000F65B1">
        <w:rPr>
          <w:rFonts w:ascii="Arial" w:eastAsia="Calibri" w:hAnsi="Arial" w:cs="Arial"/>
          <w:sz w:val="24"/>
          <w:szCs w:val="24"/>
        </w:rPr>
        <w:t xml:space="preserve"> SMS</w:t>
      </w:r>
      <w:r w:rsidR="006B5A85" w:rsidRPr="000F65B1">
        <w:rPr>
          <w:rFonts w:ascii="Arial" w:eastAsia="Calibri" w:hAnsi="Arial" w:cs="Arial"/>
          <w:sz w:val="24"/>
          <w:szCs w:val="24"/>
        </w:rPr>
        <w:t xml:space="preserve">, Mr Olwage </w:t>
      </w:r>
      <w:r w:rsidRPr="000F65B1">
        <w:rPr>
          <w:rFonts w:ascii="Arial" w:eastAsia="Calibri" w:hAnsi="Arial" w:cs="Arial"/>
          <w:sz w:val="24"/>
          <w:szCs w:val="24"/>
        </w:rPr>
        <w:t>then inform</w:t>
      </w:r>
      <w:r w:rsidR="00B43250">
        <w:rPr>
          <w:rFonts w:ascii="Arial" w:eastAsia="Calibri" w:hAnsi="Arial" w:cs="Arial"/>
          <w:sz w:val="24"/>
          <w:szCs w:val="24"/>
        </w:rPr>
        <w:t>ed</w:t>
      </w:r>
      <w:r w:rsidRPr="000F65B1">
        <w:rPr>
          <w:rFonts w:ascii="Arial" w:eastAsia="Calibri" w:hAnsi="Arial" w:cs="Arial"/>
          <w:sz w:val="24"/>
          <w:szCs w:val="24"/>
        </w:rPr>
        <w:t xml:space="preserve"> M</w:t>
      </w:r>
      <w:r w:rsidR="006B5A85" w:rsidRPr="000F65B1">
        <w:rPr>
          <w:rFonts w:ascii="Arial" w:eastAsia="Calibri" w:hAnsi="Arial" w:cs="Arial"/>
          <w:sz w:val="24"/>
          <w:szCs w:val="24"/>
        </w:rPr>
        <w:t>r</w:t>
      </w:r>
      <w:r w:rsidRPr="000F65B1">
        <w:rPr>
          <w:rFonts w:ascii="Arial" w:eastAsia="Calibri" w:hAnsi="Arial" w:cs="Arial"/>
          <w:sz w:val="24"/>
          <w:szCs w:val="24"/>
        </w:rPr>
        <w:t xml:space="preserve">s Pretorius that one of the scaffolding guys </w:t>
      </w:r>
      <w:r w:rsidR="00B43250">
        <w:rPr>
          <w:rFonts w:ascii="Arial" w:eastAsia="Calibri" w:hAnsi="Arial" w:cs="Arial"/>
          <w:sz w:val="24"/>
          <w:szCs w:val="24"/>
        </w:rPr>
        <w:t>was</w:t>
      </w:r>
      <w:r w:rsidRPr="000F65B1">
        <w:rPr>
          <w:rFonts w:ascii="Arial" w:eastAsia="Calibri" w:hAnsi="Arial" w:cs="Arial"/>
          <w:sz w:val="24"/>
          <w:szCs w:val="24"/>
        </w:rPr>
        <w:t xml:space="preserve"> on their way and w</w:t>
      </w:r>
      <w:r w:rsidR="003755F0">
        <w:rPr>
          <w:rFonts w:ascii="Arial" w:eastAsia="Calibri" w:hAnsi="Arial" w:cs="Arial"/>
          <w:sz w:val="24"/>
          <w:szCs w:val="24"/>
        </w:rPr>
        <w:t>ou</w:t>
      </w:r>
      <w:r w:rsidR="00D52134">
        <w:rPr>
          <w:rFonts w:ascii="Arial" w:eastAsia="Calibri" w:hAnsi="Arial" w:cs="Arial"/>
          <w:sz w:val="24"/>
          <w:szCs w:val="24"/>
        </w:rPr>
        <w:t>l</w:t>
      </w:r>
      <w:r w:rsidR="003755F0">
        <w:rPr>
          <w:rFonts w:ascii="Arial" w:eastAsia="Calibri" w:hAnsi="Arial" w:cs="Arial"/>
          <w:sz w:val="24"/>
          <w:szCs w:val="24"/>
        </w:rPr>
        <w:t>d</w:t>
      </w:r>
      <w:r w:rsidRPr="000F65B1">
        <w:rPr>
          <w:rFonts w:ascii="Arial" w:eastAsia="Calibri" w:hAnsi="Arial" w:cs="Arial"/>
          <w:sz w:val="24"/>
          <w:szCs w:val="24"/>
        </w:rPr>
        <w:t xml:space="preserve"> look for Lee</w:t>
      </w:r>
      <w:r w:rsidR="00FC3870" w:rsidRPr="000F65B1">
        <w:rPr>
          <w:rFonts w:ascii="Arial" w:eastAsia="Calibri" w:hAnsi="Arial" w:cs="Arial"/>
          <w:sz w:val="24"/>
          <w:szCs w:val="24"/>
        </w:rPr>
        <w:t>, an</w:t>
      </w:r>
      <w:r w:rsidR="00FC3870">
        <w:rPr>
          <w:rFonts w:ascii="Arial" w:eastAsia="Calibri" w:hAnsi="Arial" w:cs="Arial"/>
          <w:sz w:val="24"/>
          <w:szCs w:val="24"/>
        </w:rPr>
        <w:t xml:space="preserve"> employee of GSK,</w:t>
      </w:r>
      <w:r w:rsidR="00E76109">
        <w:rPr>
          <w:rFonts w:ascii="Arial" w:eastAsia="Calibri" w:hAnsi="Arial" w:cs="Arial"/>
          <w:sz w:val="24"/>
          <w:szCs w:val="24"/>
        </w:rPr>
        <w:t xml:space="preserve"> </w:t>
      </w:r>
      <w:r w:rsidRPr="00D26987">
        <w:rPr>
          <w:rFonts w:ascii="Arial" w:eastAsia="Calibri" w:hAnsi="Arial" w:cs="Arial"/>
          <w:sz w:val="24"/>
          <w:szCs w:val="24"/>
        </w:rPr>
        <w:t xml:space="preserve">once there. </w:t>
      </w:r>
    </w:p>
    <w:p w14:paraId="2148C325" w14:textId="77777777" w:rsidR="00D26987" w:rsidRPr="00D26987" w:rsidRDefault="00D26987" w:rsidP="00D26987">
      <w:pPr>
        <w:spacing w:line="360" w:lineRule="auto"/>
        <w:ind w:left="1080"/>
        <w:contextualSpacing/>
        <w:jc w:val="both"/>
        <w:rPr>
          <w:rFonts w:ascii="Arial" w:eastAsia="Calibri" w:hAnsi="Arial" w:cs="Arial"/>
          <w:sz w:val="24"/>
          <w:szCs w:val="24"/>
        </w:rPr>
      </w:pPr>
    </w:p>
    <w:p w14:paraId="2BDB2868" w14:textId="587CBB75" w:rsidR="00A66B25" w:rsidRDefault="006B5A85" w:rsidP="000D047D">
      <w:pPr>
        <w:spacing w:after="0" w:line="360" w:lineRule="auto"/>
        <w:jc w:val="both"/>
        <w:rPr>
          <w:rFonts w:ascii="Arial" w:eastAsia="Calibri" w:hAnsi="Arial" w:cs="Arial"/>
          <w:sz w:val="24"/>
          <w:szCs w:val="24"/>
        </w:rPr>
      </w:pPr>
      <w:r>
        <w:rPr>
          <w:rFonts w:ascii="Arial" w:eastAsia="Calibri" w:hAnsi="Arial" w:cs="Arial"/>
          <w:sz w:val="24"/>
          <w:szCs w:val="24"/>
        </w:rPr>
        <w:t>[1</w:t>
      </w:r>
      <w:r w:rsidR="0046013D">
        <w:rPr>
          <w:rFonts w:ascii="Arial" w:eastAsia="Calibri" w:hAnsi="Arial" w:cs="Arial"/>
          <w:sz w:val="24"/>
          <w:szCs w:val="24"/>
        </w:rPr>
        <w:t>0</w:t>
      </w:r>
      <w:r>
        <w:rPr>
          <w:rFonts w:ascii="Arial" w:eastAsia="Calibri" w:hAnsi="Arial" w:cs="Arial"/>
          <w:sz w:val="24"/>
          <w:szCs w:val="24"/>
        </w:rPr>
        <w:t>]</w:t>
      </w:r>
      <w:r w:rsidR="00B45CA4">
        <w:rPr>
          <w:rFonts w:ascii="Arial" w:eastAsia="Calibri" w:hAnsi="Arial" w:cs="Arial"/>
          <w:sz w:val="24"/>
          <w:szCs w:val="24"/>
        </w:rPr>
        <w:tab/>
      </w:r>
      <w:r w:rsidRPr="000F65B1">
        <w:rPr>
          <w:rFonts w:ascii="Arial" w:eastAsia="Calibri" w:hAnsi="Arial" w:cs="Arial"/>
          <w:sz w:val="24"/>
          <w:szCs w:val="24"/>
        </w:rPr>
        <w:t>Mrs Pretorius</w:t>
      </w:r>
      <w:r w:rsidR="00D26987" w:rsidRPr="000F65B1">
        <w:rPr>
          <w:rFonts w:ascii="Arial" w:eastAsia="Calibri" w:hAnsi="Arial" w:cs="Arial"/>
          <w:sz w:val="24"/>
          <w:szCs w:val="24"/>
        </w:rPr>
        <w:t xml:space="preserve"> testified that she</w:t>
      </w:r>
      <w:r w:rsidR="00A03972" w:rsidRPr="000F65B1">
        <w:rPr>
          <w:rFonts w:ascii="Arial" w:eastAsia="Calibri" w:hAnsi="Arial" w:cs="Arial"/>
          <w:sz w:val="24"/>
          <w:szCs w:val="24"/>
        </w:rPr>
        <w:t xml:space="preserve"> had</w:t>
      </w:r>
      <w:r w:rsidR="00D26987" w:rsidRPr="000F65B1">
        <w:rPr>
          <w:rFonts w:ascii="Arial" w:eastAsia="Calibri" w:hAnsi="Arial" w:cs="Arial"/>
          <w:sz w:val="24"/>
          <w:szCs w:val="24"/>
        </w:rPr>
        <w:t xml:space="preserve"> stressed to Mr Olwage that</w:t>
      </w:r>
      <w:r w:rsidR="000F65B1" w:rsidRPr="000F65B1">
        <w:rPr>
          <w:rFonts w:ascii="Arial" w:eastAsia="Calibri" w:hAnsi="Arial" w:cs="Arial"/>
          <w:sz w:val="24"/>
          <w:szCs w:val="24"/>
        </w:rPr>
        <w:t xml:space="preserve"> a</w:t>
      </w:r>
      <w:r w:rsidR="00D223A3" w:rsidRPr="000F65B1">
        <w:rPr>
          <w:rFonts w:ascii="Arial" w:eastAsia="Calibri" w:hAnsi="Arial" w:cs="Arial"/>
          <w:sz w:val="24"/>
          <w:szCs w:val="24"/>
        </w:rPr>
        <w:t xml:space="preserve"> </w:t>
      </w:r>
      <w:r w:rsidR="003967AE" w:rsidRPr="000F65B1">
        <w:rPr>
          <w:rFonts w:ascii="Arial" w:eastAsia="Calibri" w:hAnsi="Arial" w:cs="Arial"/>
          <w:sz w:val="24"/>
          <w:szCs w:val="24"/>
        </w:rPr>
        <w:t>safety file</w:t>
      </w:r>
      <w:r w:rsidR="0062714B" w:rsidRPr="000F65B1">
        <w:rPr>
          <w:rFonts w:ascii="Arial" w:eastAsia="Calibri" w:hAnsi="Arial" w:cs="Arial"/>
          <w:sz w:val="24"/>
          <w:szCs w:val="24"/>
        </w:rPr>
        <w:t xml:space="preserve"> was required including</w:t>
      </w:r>
      <w:r w:rsidR="003967AE" w:rsidRPr="000F65B1">
        <w:rPr>
          <w:rFonts w:ascii="Arial" w:eastAsia="Calibri" w:hAnsi="Arial" w:cs="Arial"/>
          <w:sz w:val="24"/>
          <w:szCs w:val="24"/>
        </w:rPr>
        <w:t xml:space="preserve"> a sign-off by a structural engineer. She knew Mr</w:t>
      </w:r>
      <w:r w:rsidR="003967AE" w:rsidRPr="00D26987">
        <w:rPr>
          <w:rFonts w:ascii="Arial" w:eastAsia="Calibri" w:hAnsi="Arial" w:cs="Arial"/>
          <w:sz w:val="24"/>
          <w:szCs w:val="24"/>
        </w:rPr>
        <w:t xml:space="preserve"> Lord</w:t>
      </w:r>
      <w:r w:rsidR="001A7DA9">
        <w:rPr>
          <w:rFonts w:ascii="Arial" w:eastAsia="Calibri" w:hAnsi="Arial" w:cs="Arial"/>
          <w:sz w:val="24"/>
          <w:szCs w:val="24"/>
        </w:rPr>
        <w:t xml:space="preserve"> </w:t>
      </w:r>
      <w:r w:rsidR="001A7DA9" w:rsidRPr="00D26987">
        <w:rPr>
          <w:rFonts w:ascii="Arial" w:eastAsia="Calibri" w:hAnsi="Arial" w:cs="Arial"/>
          <w:sz w:val="24"/>
          <w:szCs w:val="24"/>
        </w:rPr>
        <w:t xml:space="preserve">was a safety officer and later learnt he represented Safety Alliance. </w:t>
      </w:r>
      <w:r w:rsidR="00D67FE3" w:rsidRPr="00D26987">
        <w:rPr>
          <w:rFonts w:ascii="Arial" w:eastAsia="Calibri" w:hAnsi="Arial" w:cs="Arial"/>
          <w:sz w:val="24"/>
          <w:szCs w:val="24"/>
        </w:rPr>
        <w:t>Mr Olwage had told her that the safety file was with the scaffolding team.</w:t>
      </w:r>
      <w:r w:rsidR="00D67FE3">
        <w:rPr>
          <w:rFonts w:ascii="Arial" w:eastAsia="Calibri" w:hAnsi="Arial" w:cs="Arial"/>
          <w:sz w:val="24"/>
          <w:szCs w:val="24"/>
        </w:rPr>
        <w:t xml:space="preserve"> </w:t>
      </w:r>
    </w:p>
    <w:p w14:paraId="40064683" w14:textId="77777777" w:rsidR="00A66B25" w:rsidRDefault="00A66B25" w:rsidP="00D223A3">
      <w:pPr>
        <w:spacing w:after="0" w:line="360" w:lineRule="auto"/>
        <w:ind w:left="720" w:hanging="720"/>
        <w:jc w:val="both"/>
        <w:rPr>
          <w:rFonts w:ascii="Arial" w:eastAsia="Calibri" w:hAnsi="Arial" w:cs="Arial"/>
          <w:sz w:val="24"/>
          <w:szCs w:val="24"/>
        </w:rPr>
      </w:pPr>
    </w:p>
    <w:p w14:paraId="4F11EA76" w14:textId="68ABD479" w:rsidR="00134C95" w:rsidRDefault="00A66B25" w:rsidP="000D047D">
      <w:pPr>
        <w:spacing w:after="0" w:line="360" w:lineRule="auto"/>
        <w:jc w:val="both"/>
        <w:rPr>
          <w:rFonts w:ascii="Arial" w:eastAsia="Calibri" w:hAnsi="Arial" w:cs="Arial"/>
          <w:sz w:val="24"/>
          <w:szCs w:val="24"/>
        </w:rPr>
      </w:pPr>
      <w:r w:rsidRPr="000F65B1">
        <w:rPr>
          <w:rFonts w:ascii="Arial" w:eastAsia="Calibri" w:hAnsi="Arial" w:cs="Arial"/>
          <w:sz w:val="24"/>
          <w:szCs w:val="24"/>
        </w:rPr>
        <w:t>[11]</w:t>
      </w:r>
      <w:r w:rsidRPr="000F65B1">
        <w:rPr>
          <w:rFonts w:ascii="Arial" w:eastAsia="Calibri" w:hAnsi="Arial" w:cs="Arial"/>
          <w:sz w:val="24"/>
          <w:szCs w:val="24"/>
        </w:rPr>
        <w:tab/>
      </w:r>
      <w:r w:rsidR="00046457" w:rsidRPr="007A17C3">
        <w:rPr>
          <w:rFonts w:ascii="Arial" w:eastAsia="Calibri" w:hAnsi="Arial" w:cs="Arial"/>
          <w:sz w:val="24"/>
          <w:szCs w:val="24"/>
        </w:rPr>
        <w:t>Mr Olwage was a key accounts manager at Hirt &amp; Carter</w:t>
      </w:r>
      <w:r w:rsidR="00046457">
        <w:rPr>
          <w:rFonts w:ascii="Arial" w:eastAsia="Calibri" w:hAnsi="Arial" w:cs="Arial"/>
          <w:sz w:val="24"/>
          <w:szCs w:val="24"/>
        </w:rPr>
        <w:t xml:space="preserve">. </w:t>
      </w:r>
      <w:r w:rsidR="00046457" w:rsidRPr="007A17C3">
        <w:rPr>
          <w:rFonts w:ascii="Arial" w:eastAsia="Calibri" w:hAnsi="Arial" w:cs="Arial"/>
          <w:sz w:val="24"/>
          <w:szCs w:val="24"/>
        </w:rPr>
        <w:t>He</w:t>
      </w:r>
      <w:r w:rsidR="00D67FE3" w:rsidRPr="007A17C3">
        <w:rPr>
          <w:rFonts w:ascii="Arial" w:eastAsia="Calibri" w:hAnsi="Arial" w:cs="Arial"/>
          <w:sz w:val="24"/>
          <w:szCs w:val="24"/>
        </w:rPr>
        <w:t xml:space="preserve"> testified</w:t>
      </w:r>
      <w:r w:rsidR="00D67FE3" w:rsidRPr="000F65B1">
        <w:rPr>
          <w:rFonts w:ascii="Arial" w:eastAsia="Calibri" w:hAnsi="Arial" w:cs="Arial"/>
          <w:sz w:val="24"/>
          <w:szCs w:val="24"/>
        </w:rPr>
        <w:t xml:space="preserve"> that Hirt &amp; Carter is primarily a printing facility, including printing large banner designs they conceptualised for advertising and media</w:t>
      </w:r>
      <w:r w:rsidR="0048027F">
        <w:rPr>
          <w:rFonts w:ascii="Arial" w:eastAsia="Calibri" w:hAnsi="Arial" w:cs="Arial"/>
          <w:sz w:val="24"/>
          <w:szCs w:val="24"/>
        </w:rPr>
        <w:t> </w:t>
      </w:r>
      <w:r w:rsidR="00D67FE3" w:rsidRPr="000F65B1">
        <w:rPr>
          <w:rFonts w:ascii="Arial" w:eastAsia="Calibri" w:hAnsi="Arial" w:cs="Arial"/>
          <w:sz w:val="24"/>
          <w:szCs w:val="24"/>
        </w:rPr>
        <w:t>campaign</w:t>
      </w:r>
      <w:r w:rsidR="00D67FE3" w:rsidRPr="007A17C3">
        <w:rPr>
          <w:rFonts w:ascii="Arial" w:eastAsia="Calibri" w:hAnsi="Arial" w:cs="Arial"/>
          <w:sz w:val="24"/>
          <w:szCs w:val="24"/>
        </w:rPr>
        <w:t>s.</w:t>
      </w:r>
      <w:r w:rsidR="00D67FE3" w:rsidRPr="000F65B1">
        <w:rPr>
          <w:rFonts w:ascii="Arial" w:eastAsia="Calibri" w:hAnsi="Arial" w:cs="Arial"/>
          <w:sz w:val="24"/>
          <w:szCs w:val="24"/>
        </w:rPr>
        <w:t xml:space="preserve"> GSK appointed Hirt &amp; Carter as its media advisor with the specific task to create an advertising campaign for Lucozade at the </w:t>
      </w:r>
      <w:r w:rsidR="00134C95" w:rsidRPr="000F65B1">
        <w:rPr>
          <w:rFonts w:ascii="Arial" w:eastAsia="Calibri" w:hAnsi="Arial" w:cs="Arial"/>
          <w:sz w:val="24"/>
          <w:szCs w:val="24"/>
        </w:rPr>
        <w:t xml:space="preserve">Cape Town </w:t>
      </w:r>
      <w:r w:rsidR="003944BB">
        <w:rPr>
          <w:rFonts w:ascii="Arial" w:eastAsia="Calibri" w:hAnsi="Arial" w:cs="Arial"/>
          <w:sz w:val="24"/>
          <w:szCs w:val="24"/>
        </w:rPr>
        <w:t>S</w:t>
      </w:r>
      <w:r w:rsidR="00134C95" w:rsidRPr="000F65B1">
        <w:rPr>
          <w:rFonts w:ascii="Arial" w:eastAsia="Calibri" w:hAnsi="Arial" w:cs="Arial"/>
          <w:sz w:val="24"/>
          <w:szCs w:val="24"/>
        </w:rPr>
        <w:t>tadium. GSK was an exi</w:t>
      </w:r>
      <w:r w:rsidR="0008406D" w:rsidRPr="000F65B1">
        <w:rPr>
          <w:rFonts w:ascii="Arial" w:eastAsia="Calibri" w:hAnsi="Arial" w:cs="Arial"/>
          <w:sz w:val="24"/>
          <w:szCs w:val="24"/>
        </w:rPr>
        <w:t xml:space="preserve">sting client of Hirt &amp; Carter. </w:t>
      </w:r>
      <w:r w:rsidR="00134C95" w:rsidRPr="000F65B1">
        <w:rPr>
          <w:rFonts w:ascii="Arial" w:eastAsia="Calibri" w:hAnsi="Arial" w:cs="Arial"/>
          <w:sz w:val="24"/>
          <w:szCs w:val="24"/>
        </w:rPr>
        <w:t>It was agreed that large wrappin</w:t>
      </w:r>
      <w:r w:rsidR="00216507">
        <w:rPr>
          <w:rFonts w:ascii="Arial" w:eastAsia="Calibri" w:hAnsi="Arial" w:cs="Arial"/>
          <w:sz w:val="24"/>
          <w:szCs w:val="24"/>
        </w:rPr>
        <w:t>g and</w:t>
      </w:r>
      <w:r w:rsidR="00134C95" w:rsidRPr="000F65B1">
        <w:rPr>
          <w:rFonts w:ascii="Arial" w:eastAsia="Calibri" w:hAnsi="Arial" w:cs="Arial"/>
          <w:sz w:val="24"/>
          <w:szCs w:val="24"/>
        </w:rPr>
        <w:t xml:space="preserve"> banners </w:t>
      </w:r>
      <w:r w:rsidR="00D93B08" w:rsidRPr="000F65B1">
        <w:rPr>
          <w:rFonts w:ascii="Arial" w:eastAsia="Calibri" w:hAnsi="Arial" w:cs="Arial"/>
          <w:sz w:val="24"/>
          <w:szCs w:val="24"/>
        </w:rPr>
        <w:t xml:space="preserve">would be designed </w:t>
      </w:r>
      <w:r w:rsidR="00216507">
        <w:rPr>
          <w:rFonts w:ascii="Arial" w:eastAsia="Calibri" w:hAnsi="Arial" w:cs="Arial"/>
          <w:sz w:val="24"/>
          <w:szCs w:val="24"/>
        </w:rPr>
        <w:t>to</w:t>
      </w:r>
      <w:r w:rsidR="00D93B08" w:rsidRPr="000F65B1">
        <w:rPr>
          <w:rFonts w:ascii="Arial" w:eastAsia="Calibri" w:hAnsi="Arial" w:cs="Arial"/>
          <w:sz w:val="24"/>
          <w:szCs w:val="24"/>
        </w:rPr>
        <w:t xml:space="preserve"> be erected at the stadium. The two parties concluded Hirt</w:t>
      </w:r>
      <w:r w:rsidR="00B1251D">
        <w:rPr>
          <w:rFonts w:ascii="Arial" w:eastAsia="Calibri" w:hAnsi="Arial" w:cs="Arial"/>
          <w:sz w:val="24"/>
          <w:szCs w:val="24"/>
        </w:rPr>
        <w:t> </w:t>
      </w:r>
      <w:r w:rsidR="00D93B08" w:rsidRPr="000F65B1">
        <w:rPr>
          <w:rFonts w:ascii="Arial" w:eastAsia="Calibri" w:hAnsi="Arial" w:cs="Arial"/>
          <w:sz w:val="24"/>
          <w:szCs w:val="24"/>
        </w:rPr>
        <w:t>&amp;</w:t>
      </w:r>
      <w:r w:rsidR="00B1251D">
        <w:rPr>
          <w:rFonts w:ascii="Arial" w:eastAsia="Calibri" w:hAnsi="Arial" w:cs="Arial"/>
          <w:sz w:val="24"/>
          <w:szCs w:val="24"/>
        </w:rPr>
        <w:t> </w:t>
      </w:r>
      <w:r w:rsidR="00D93B08" w:rsidRPr="000F65B1">
        <w:rPr>
          <w:rFonts w:ascii="Arial" w:eastAsia="Calibri" w:hAnsi="Arial" w:cs="Arial"/>
          <w:sz w:val="24"/>
          <w:szCs w:val="24"/>
        </w:rPr>
        <w:t xml:space="preserve">Carter’s standard trade agreement. Hirt &amp; Carter had to deliver the banner on a structure. </w:t>
      </w:r>
      <w:r w:rsidR="00D93B08" w:rsidRPr="007A17C3">
        <w:rPr>
          <w:rFonts w:ascii="Arial" w:eastAsia="Calibri" w:hAnsi="Arial" w:cs="Arial"/>
          <w:sz w:val="24"/>
          <w:szCs w:val="24"/>
        </w:rPr>
        <w:t>Significantly</w:t>
      </w:r>
      <w:r w:rsidR="008425E2" w:rsidRPr="007A17C3">
        <w:rPr>
          <w:rFonts w:ascii="Arial" w:eastAsia="Calibri" w:hAnsi="Arial" w:cs="Arial"/>
          <w:sz w:val="24"/>
          <w:szCs w:val="24"/>
        </w:rPr>
        <w:t>,</w:t>
      </w:r>
      <w:r w:rsidR="00D93B08" w:rsidRPr="000F65B1">
        <w:rPr>
          <w:rFonts w:ascii="Arial" w:eastAsia="Calibri" w:hAnsi="Arial" w:cs="Arial"/>
          <w:sz w:val="24"/>
          <w:szCs w:val="24"/>
        </w:rPr>
        <w:t xml:space="preserve"> when cross-examined by counsel on behalf of GSK</w:t>
      </w:r>
      <w:r w:rsidR="000C3A59" w:rsidRPr="000F65B1">
        <w:rPr>
          <w:rFonts w:ascii="Arial" w:eastAsia="Calibri" w:hAnsi="Arial" w:cs="Arial"/>
          <w:sz w:val="24"/>
          <w:szCs w:val="24"/>
        </w:rPr>
        <w:t>,</w:t>
      </w:r>
      <w:r w:rsidR="00D93B08" w:rsidRPr="000F65B1">
        <w:rPr>
          <w:rFonts w:ascii="Arial" w:eastAsia="Calibri" w:hAnsi="Arial" w:cs="Arial"/>
          <w:sz w:val="24"/>
          <w:szCs w:val="24"/>
        </w:rPr>
        <w:t xml:space="preserve"> </w:t>
      </w:r>
      <w:r w:rsidR="003944BB">
        <w:rPr>
          <w:rFonts w:ascii="Arial" w:eastAsia="Calibri" w:hAnsi="Arial" w:cs="Arial"/>
          <w:sz w:val="24"/>
          <w:szCs w:val="24"/>
        </w:rPr>
        <w:t>Mr</w:t>
      </w:r>
      <w:r w:rsidR="00C57EE9">
        <w:rPr>
          <w:rFonts w:ascii="Arial" w:eastAsia="Calibri" w:hAnsi="Arial" w:cs="Arial"/>
          <w:sz w:val="24"/>
          <w:szCs w:val="24"/>
        </w:rPr>
        <w:t> </w:t>
      </w:r>
      <w:r w:rsidR="00D93B08" w:rsidRPr="000F65B1">
        <w:rPr>
          <w:rFonts w:ascii="Arial" w:eastAsia="Calibri" w:hAnsi="Arial" w:cs="Arial"/>
          <w:sz w:val="24"/>
          <w:szCs w:val="24"/>
        </w:rPr>
        <w:t xml:space="preserve">Olwage stated that GSK could rely on Hirt </w:t>
      </w:r>
      <w:r w:rsidR="000C3A59" w:rsidRPr="000F65B1">
        <w:rPr>
          <w:rFonts w:ascii="Arial" w:eastAsia="Calibri" w:hAnsi="Arial" w:cs="Arial"/>
          <w:sz w:val="24"/>
          <w:szCs w:val="24"/>
        </w:rPr>
        <w:t>&amp;</w:t>
      </w:r>
      <w:r w:rsidR="00D93B08" w:rsidRPr="000F65B1">
        <w:rPr>
          <w:rFonts w:ascii="Arial" w:eastAsia="Calibri" w:hAnsi="Arial" w:cs="Arial"/>
          <w:sz w:val="24"/>
          <w:szCs w:val="24"/>
        </w:rPr>
        <w:t xml:space="preserve"> Carter not only for the</w:t>
      </w:r>
      <w:r w:rsidR="000F65B1" w:rsidRPr="000F65B1">
        <w:rPr>
          <w:rFonts w:ascii="Arial" w:eastAsia="Calibri" w:hAnsi="Arial" w:cs="Arial"/>
          <w:sz w:val="24"/>
          <w:szCs w:val="24"/>
        </w:rPr>
        <w:t xml:space="preserve"> </w:t>
      </w:r>
      <w:r w:rsidR="00134C95" w:rsidRPr="000F65B1">
        <w:rPr>
          <w:rFonts w:ascii="Arial" w:eastAsia="Calibri" w:hAnsi="Arial" w:cs="Arial"/>
          <w:sz w:val="24"/>
          <w:szCs w:val="24"/>
        </w:rPr>
        <w:t>branding but in relation to safety as well.</w:t>
      </w:r>
      <w:r w:rsidR="00AF6E45" w:rsidRPr="000F65B1">
        <w:rPr>
          <w:rFonts w:ascii="Arial" w:eastAsia="Calibri" w:hAnsi="Arial" w:cs="Arial"/>
          <w:sz w:val="24"/>
          <w:szCs w:val="24"/>
        </w:rPr>
        <w:t xml:space="preserve"> That was an </w:t>
      </w:r>
      <w:r w:rsidR="00DF09BF" w:rsidRPr="000F65B1">
        <w:rPr>
          <w:rFonts w:ascii="Arial" w:eastAsia="Calibri" w:hAnsi="Arial" w:cs="Arial"/>
          <w:sz w:val="24"/>
          <w:szCs w:val="24"/>
        </w:rPr>
        <w:t>obligat</w:t>
      </w:r>
      <w:r w:rsidR="00A34E7A" w:rsidRPr="000F65B1">
        <w:rPr>
          <w:rFonts w:ascii="Arial" w:eastAsia="Calibri" w:hAnsi="Arial" w:cs="Arial"/>
          <w:sz w:val="24"/>
          <w:szCs w:val="24"/>
        </w:rPr>
        <w:t>ion</w:t>
      </w:r>
      <w:r w:rsidR="005A5030" w:rsidRPr="000F65B1">
        <w:rPr>
          <w:rFonts w:ascii="Arial" w:eastAsia="Calibri" w:hAnsi="Arial" w:cs="Arial"/>
          <w:sz w:val="24"/>
          <w:szCs w:val="24"/>
        </w:rPr>
        <w:t xml:space="preserve"> tha</w:t>
      </w:r>
      <w:r w:rsidR="0080759F" w:rsidRPr="000F65B1">
        <w:rPr>
          <w:rFonts w:ascii="Arial" w:eastAsia="Calibri" w:hAnsi="Arial" w:cs="Arial"/>
          <w:sz w:val="24"/>
          <w:szCs w:val="24"/>
        </w:rPr>
        <w:t>t Hirt &amp;</w:t>
      </w:r>
      <w:r w:rsidR="003944BB">
        <w:rPr>
          <w:rFonts w:ascii="Arial" w:eastAsia="Calibri" w:hAnsi="Arial" w:cs="Arial"/>
          <w:sz w:val="24"/>
          <w:szCs w:val="24"/>
        </w:rPr>
        <w:t xml:space="preserve"> </w:t>
      </w:r>
      <w:r w:rsidR="0080759F" w:rsidRPr="000F65B1">
        <w:rPr>
          <w:rFonts w:ascii="Arial" w:eastAsia="Calibri" w:hAnsi="Arial" w:cs="Arial"/>
          <w:sz w:val="24"/>
          <w:szCs w:val="24"/>
        </w:rPr>
        <w:t>Carter had assumed</w:t>
      </w:r>
      <w:r w:rsidR="00AF6E45" w:rsidRPr="000F65B1">
        <w:rPr>
          <w:rFonts w:ascii="Arial" w:eastAsia="Calibri" w:hAnsi="Arial" w:cs="Arial"/>
          <w:sz w:val="24"/>
          <w:szCs w:val="24"/>
        </w:rPr>
        <w:t>.</w:t>
      </w:r>
    </w:p>
    <w:p w14:paraId="12C2FE5E" w14:textId="77777777" w:rsidR="00134C95" w:rsidRDefault="00134C95" w:rsidP="00134C95">
      <w:pPr>
        <w:spacing w:after="0" w:line="360" w:lineRule="auto"/>
        <w:ind w:left="720" w:hanging="720"/>
        <w:jc w:val="both"/>
        <w:rPr>
          <w:rFonts w:ascii="Arial" w:eastAsia="Calibri" w:hAnsi="Arial" w:cs="Arial"/>
          <w:sz w:val="24"/>
          <w:szCs w:val="24"/>
        </w:rPr>
      </w:pPr>
    </w:p>
    <w:p w14:paraId="2310DE6E" w14:textId="76471F3F" w:rsidR="00D26987" w:rsidRPr="00D26987" w:rsidRDefault="00A8771C" w:rsidP="00187646">
      <w:pPr>
        <w:spacing w:line="360" w:lineRule="auto"/>
        <w:jc w:val="both"/>
        <w:rPr>
          <w:rFonts w:ascii="Arial" w:eastAsia="Calibri" w:hAnsi="Arial" w:cs="Arial"/>
          <w:sz w:val="24"/>
          <w:szCs w:val="24"/>
        </w:rPr>
      </w:pPr>
      <w:r>
        <w:rPr>
          <w:rFonts w:ascii="Arial" w:eastAsia="Calibri" w:hAnsi="Arial" w:cs="Arial"/>
          <w:sz w:val="24"/>
          <w:szCs w:val="24"/>
        </w:rPr>
        <w:t>[1</w:t>
      </w:r>
      <w:r w:rsidR="00A66B25">
        <w:rPr>
          <w:rFonts w:ascii="Arial" w:eastAsia="Calibri" w:hAnsi="Arial" w:cs="Arial"/>
          <w:sz w:val="24"/>
          <w:szCs w:val="24"/>
        </w:rPr>
        <w:t>2</w:t>
      </w:r>
      <w:r>
        <w:rPr>
          <w:rFonts w:ascii="Arial" w:eastAsia="Calibri" w:hAnsi="Arial" w:cs="Arial"/>
          <w:sz w:val="24"/>
          <w:szCs w:val="24"/>
        </w:rPr>
        <w:t>]</w:t>
      </w:r>
      <w:r w:rsidR="0090311C">
        <w:rPr>
          <w:rFonts w:ascii="Arial" w:eastAsia="Calibri" w:hAnsi="Arial" w:cs="Arial"/>
          <w:sz w:val="24"/>
          <w:szCs w:val="24"/>
        </w:rPr>
        <w:tab/>
      </w:r>
      <w:r w:rsidR="00D26987" w:rsidRPr="00D26987">
        <w:rPr>
          <w:rFonts w:ascii="Arial" w:eastAsia="Calibri" w:hAnsi="Arial" w:cs="Arial"/>
          <w:sz w:val="24"/>
          <w:szCs w:val="24"/>
        </w:rPr>
        <w:t>Mr Olwage had 19 years’ experience of designing media and advertising campaigns and pertinent to this matter</w:t>
      </w:r>
      <w:r w:rsidR="00C57EE9">
        <w:rPr>
          <w:rFonts w:ascii="Arial" w:eastAsia="Calibri" w:hAnsi="Arial" w:cs="Arial"/>
          <w:sz w:val="24"/>
          <w:szCs w:val="24"/>
        </w:rPr>
        <w:t>,</w:t>
      </w:r>
      <w:r w:rsidR="00D26987" w:rsidRPr="00D26987">
        <w:rPr>
          <w:rFonts w:ascii="Arial" w:eastAsia="Calibri" w:hAnsi="Arial" w:cs="Arial"/>
          <w:sz w:val="24"/>
          <w:szCs w:val="24"/>
        </w:rPr>
        <w:t xml:space="preserve"> designing and printing large banners. He had </w:t>
      </w:r>
      <w:r w:rsidR="00D26987" w:rsidRPr="00D26987">
        <w:rPr>
          <w:rFonts w:ascii="Arial" w:eastAsia="Calibri" w:hAnsi="Arial" w:cs="Arial"/>
          <w:sz w:val="24"/>
          <w:szCs w:val="24"/>
        </w:rPr>
        <w:lastRenderedPageBreak/>
        <w:t>no expertise in attaching a designed banner</w:t>
      </w:r>
      <w:r w:rsidR="00F87FDF">
        <w:rPr>
          <w:rFonts w:ascii="Arial" w:eastAsia="Calibri" w:hAnsi="Arial" w:cs="Arial"/>
          <w:sz w:val="24"/>
          <w:szCs w:val="24"/>
        </w:rPr>
        <w:t xml:space="preserve"> or wrapping</w:t>
      </w:r>
      <w:r w:rsidR="00D26987" w:rsidRPr="00D26987">
        <w:rPr>
          <w:rFonts w:ascii="Arial" w:eastAsia="Calibri" w:hAnsi="Arial" w:cs="Arial"/>
          <w:sz w:val="24"/>
          <w:szCs w:val="24"/>
        </w:rPr>
        <w:t xml:space="preserve"> to a structure or of constructing scaffolding to which the banner could be attached. He had no knowledge</w:t>
      </w:r>
      <w:r w:rsidR="0008406D">
        <w:rPr>
          <w:rFonts w:ascii="Arial" w:eastAsia="Calibri" w:hAnsi="Arial" w:cs="Arial"/>
          <w:sz w:val="24"/>
          <w:szCs w:val="24"/>
        </w:rPr>
        <w:t xml:space="preserve"> of</w:t>
      </w:r>
      <w:r w:rsidR="00D26987" w:rsidRPr="00D26987">
        <w:rPr>
          <w:rFonts w:ascii="Arial" w:eastAsia="Calibri" w:hAnsi="Arial" w:cs="Arial"/>
          <w:sz w:val="24"/>
          <w:szCs w:val="24"/>
        </w:rPr>
        <w:t xml:space="preserve"> what legislative requirements needed to be in place at a concert or what was required for safe and secure activations at a concert. He had never had to provide a safety file and did not know what it entailed. Designing and printing did not require him to have this knowledge. Hirt &amp; Carter had no contractual relationship with Vertex</w:t>
      </w:r>
      <w:r w:rsidR="008D3891">
        <w:rPr>
          <w:rFonts w:ascii="Arial" w:eastAsia="Calibri" w:hAnsi="Arial" w:cs="Arial"/>
          <w:sz w:val="24"/>
          <w:szCs w:val="24"/>
        </w:rPr>
        <w:t>, the company</w:t>
      </w:r>
      <w:r w:rsidR="00D26987" w:rsidRPr="00D26987">
        <w:rPr>
          <w:rFonts w:ascii="Arial" w:eastAsia="Calibri" w:hAnsi="Arial" w:cs="Arial"/>
          <w:sz w:val="24"/>
          <w:szCs w:val="24"/>
        </w:rPr>
        <w:t xml:space="preserve"> that constructed the scaffolding.</w:t>
      </w:r>
    </w:p>
    <w:p w14:paraId="10215933" w14:textId="77777777" w:rsidR="00236796" w:rsidRDefault="00236796" w:rsidP="009459A8">
      <w:pPr>
        <w:spacing w:before="240" w:line="360" w:lineRule="auto"/>
        <w:contextualSpacing/>
        <w:jc w:val="both"/>
        <w:rPr>
          <w:rFonts w:ascii="Arial" w:eastAsia="Calibri" w:hAnsi="Arial" w:cs="Arial"/>
          <w:sz w:val="24"/>
          <w:szCs w:val="24"/>
        </w:rPr>
      </w:pPr>
    </w:p>
    <w:p w14:paraId="26E44E64" w14:textId="57583224" w:rsidR="009459A8" w:rsidRDefault="00C64D1C" w:rsidP="003E314C">
      <w:pPr>
        <w:spacing w:before="240" w:line="360" w:lineRule="auto"/>
        <w:contextualSpacing/>
        <w:jc w:val="both"/>
        <w:rPr>
          <w:rFonts w:ascii="Arial" w:eastAsia="Calibri" w:hAnsi="Arial" w:cs="Arial"/>
          <w:sz w:val="24"/>
          <w:szCs w:val="24"/>
        </w:rPr>
      </w:pPr>
      <w:r>
        <w:rPr>
          <w:rFonts w:ascii="Arial" w:eastAsia="Calibri" w:hAnsi="Arial" w:cs="Arial"/>
          <w:sz w:val="24"/>
          <w:szCs w:val="24"/>
        </w:rPr>
        <w:t>[1</w:t>
      </w:r>
      <w:r w:rsidR="0080759F">
        <w:rPr>
          <w:rFonts w:ascii="Arial" w:eastAsia="Calibri" w:hAnsi="Arial" w:cs="Arial"/>
          <w:sz w:val="24"/>
          <w:szCs w:val="24"/>
        </w:rPr>
        <w:t>3</w:t>
      </w:r>
      <w:r>
        <w:rPr>
          <w:rFonts w:ascii="Arial" w:eastAsia="Calibri" w:hAnsi="Arial" w:cs="Arial"/>
          <w:sz w:val="24"/>
          <w:szCs w:val="24"/>
        </w:rPr>
        <w:t>]</w:t>
      </w:r>
      <w:r w:rsidR="0090311C">
        <w:rPr>
          <w:rFonts w:ascii="Arial" w:eastAsia="Calibri" w:hAnsi="Arial" w:cs="Arial"/>
          <w:sz w:val="24"/>
          <w:szCs w:val="24"/>
        </w:rPr>
        <w:tab/>
      </w:r>
      <w:r w:rsidR="00E60451" w:rsidRPr="000F65B1">
        <w:rPr>
          <w:rFonts w:ascii="Arial" w:eastAsia="Calibri" w:hAnsi="Arial" w:cs="Arial"/>
          <w:sz w:val="24"/>
          <w:szCs w:val="24"/>
        </w:rPr>
        <w:t>Mr Olwage</w:t>
      </w:r>
      <w:r w:rsidR="00D26987" w:rsidRPr="000F65B1">
        <w:rPr>
          <w:rFonts w:ascii="Arial" w:eastAsia="Calibri" w:hAnsi="Arial" w:cs="Arial"/>
          <w:sz w:val="24"/>
          <w:szCs w:val="24"/>
        </w:rPr>
        <w:t xml:space="preserve"> was however,</w:t>
      </w:r>
      <w:r w:rsidR="0090311C" w:rsidRPr="000F65B1">
        <w:rPr>
          <w:rFonts w:ascii="Arial" w:eastAsia="Calibri" w:hAnsi="Arial" w:cs="Arial"/>
          <w:sz w:val="24"/>
          <w:szCs w:val="24"/>
        </w:rPr>
        <w:t xml:space="preserve"> repeatedly</w:t>
      </w:r>
      <w:r w:rsidR="00D26987" w:rsidRPr="000F65B1">
        <w:rPr>
          <w:rFonts w:ascii="Arial" w:eastAsia="Calibri" w:hAnsi="Arial" w:cs="Arial"/>
          <w:sz w:val="24"/>
          <w:szCs w:val="24"/>
        </w:rPr>
        <w:t xml:space="preserve"> made aware that a safety file was necessary. In October </w:t>
      </w:r>
      <w:r w:rsidR="00E60451" w:rsidRPr="000F65B1">
        <w:rPr>
          <w:rFonts w:ascii="Arial" w:eastAsia="Calibri" w:hAnsi="Arial" w:cs="Arial"/>
          <w:sz w:val="24"/>
          <w:szCs w:val="24"/>
        </w:rPr>
        <w:t>2012</w:t>
      </w:r>
      <w:r w:rsidR="009459A8" w:rsidRPr="000F65B1">
        <w:rPr>
          <w:rFonts w:ascii="Arial" w:eastAsia="Calibri" w:hAnsi="Arial" w:cs="Arial"/>
          <w:sz w:val="24"/>
          <w:szCs w:val="24"/>
        </w:rPr>
        <w:t>,</w:t>
      </w:r>
      <w:r w:rsidR="00E60451" w:rsidRPr="000F65B1">
        <w:rPr>
          <w:rFonts w:ascii="Arial" w:eastAsia="Calibri" w:hAnsi="Arial" w:cs="Arial"/>
          <w:sz w:val="24"/>
          <w:szCs w:val="24"/>
        </w:rPr>
        <w:t xml:space="preserve"> </w:t>
      </w:r>
      <w:r w:rsidR="0044031D" w:rsidRPr="0044031D">
        <w:rPr>
          <w:rFonts w:ascii="Arial" w:eastAsia="Calibri" w:hAnsi="Arial" w:cs="Arial"/>
          <w:sz w:val="24"/>
          <w:szCs w:val="24"/>
        </w:rPr>
        <w:t>there was</w:t>
      </w:r>
      <w:r w:rsidR="00D26987" w:rsidRPr="0044031D">
        <w:rPr>
          <w:rFonts w:ascii="Arial" w:eastAsia="Calibri" w:hAnsi="Arial" w:cs="Arial"/>
          <w:sz w:val="24"/>
          <w:szCs w:val="24"/>
        </w:rPr>
        <w:t xml:space="preserve"> a pre</w:t>
      </w:r>
      <w:r w:rsidR="00D26987" w:rsidRPr="000F65B1">
        <w:rPr>
          <w:rFonts w:ascii="Arial" w:eastAsia="Calibri" w:hAnsi="Arial" w:cs="Arial"/>
          <w:sz w:val="24"/>
          <w:szCs w:val="24"/>
        </w:rPr>
        <w:t>-production meeting where safety was discussed. He was in two further mee</w:t>
      </w:r>
      <w:r w:rsidR="00A74CF3" w:rsidRPr="000F65B1">
        <w:rPr>
          <w:rFonts w:ascii="Arial" w:eastAsia="Calibri" w:hAnsi="Arial" w:cs="Arial"/>
          <w:sz w:val="24"/>
          <w:szCs w:val="24"/>
        </w:rPr>
        <w:t>tings where safety was again</w:t>
      </w:r>
      <w:r w:rsidR="00DA3B22" w:rsidRPr="000F65B1">
        <w:rPr>
          <w:rFonts w:ascii="Arial" w:eastAsia="Calibri" w:hAnsi="Arial" w:cs="Arial"/>
          <w:sz w:val="24"/>
          <w:szCs w:val="24"/>
        </w:rPr>
        <w:t xml:space="preserve"> pertinently</w:t>
      </w:r>
      <w:r w:rsidR="0008406D" w:rsidRPr="000F65B1">
        <w:rPr>
          <w:rFonts w:ascii="Arial" w:eastAsia="Calibri" w:hAnsi="Arial" w:cs="Arial"/>
          <w:sz w:val="24"/>
          <w:szCs w:val="24"/>
        </w:rPr>
        <w:t xml:space="preserve"> on the agenda.</w:t>
      </w:r>
      <w:r w:rsidR="00D26987" w:rsidRPr="000F65B1">
        <w:rPr>
          <w:rFonts w:ascii="Arial" w:eastAsia="Calibri" w:hAnsi="Arial" w:cs="Arial"/>
          <w:sz w:val="24"/>
          <w:szCs w:val="24"/>
        </w:rPr>
        <w:t xml:space="preserve"> He had received an email from M</w:t>
      </w:r>
      <w:r w:rsidR="009459A8" w:rsidRPr="000F65B1">
        <w:rPr>
          <w:rFonts w:ascii="Arial" w:eastAsia="Calibri" w:hAnsi="Arial" w:cs="Arial"/>
          <w:sz w:val="24"/>
          <w:szCs w:val="24"/>
        </w:rPr>
        <w:t>r</w:t>
      </w:r>
      <w:r w:rsidR="00D26987" w:rsidRPr="000F65B1">
        <w:rPr>
          <w:rFonts w:ascii="Arial" w:eastAsia="Calibri" w:hAnsi="Arial" w:cs="Arial"/>
          <w:sz w:val="24"/>
          <w:szCs w:val="24"/>
        </w:rPr>
        <w:t>s Pretorius asking about dimensions of the scaffolding and</w:t>
      </w:r>
      <w:r w:rsidR="003749C6" w:rsidRPr="000F65B1">
        <w:rPr>
          <w:rFonts w:ascii="Arial" w:eastAsia="Calibri" w:hAnsi="Arial" w:cs="Arial"/>
          <w:sz w:val="24"/>
          <w:szCs w:val="24"/>
        </w:rPr>
        <w:t xml:space="preserve"> stating</w:t>
      </w:r>
      <w:r w:rsidR="00D26987" w:rsidRPr="000F65B1">
        <w:rPr>
          <w:rFonts w:ascii="Arial" w:eastAsia="Calibri" w:hAnsi="Arial" w:cs="Arial"/>
          <w:sz w:val="24"/>
          <w:szCs w:val="24"/>
        </w:rPr>
        <w:t xml:space="preserve"> that the use of scaffolding was acceptable on condition it was signed off by a structural engineer. </w:t>
      </w:r>
      <w:r w:rsidR="009459A8" w:rsidRPr="000F65B1">
        <w:rPr>
          <w:rFonts w:ascii="Arial" w:eastAsia="Calibri" w:hAnsi="Arial" w:cs="Arial"/>
          <w:sz w:val="24"/>
          <w:szCs w:val="24"/>
        </w:rPr>
        <w:t>Mr Olwage</w:t>
      </w:r>
      <w:r w:rsidR="00D26987" w:rsidRPr="000F65B1">
        <w:rPr>
          <w:rFonts w:ascii="Arial" w:eastAsia="Calibri" w:hAnsi="Arial" w:cs="Arial"/>
          <w:sz w:val="24"/>
          <w:szCs w:val="24"/>
        </w:rPr>
        <w:t xml:space="preserve"> could not recall </w:t>
      </w:r>
      <w:r w:rsidR="003749C6" w:rsidRPr="000F65B1">
        <w:rPr>
          <w:rFonts w:ascii="Arial" w:eastAsia="Calibri" w:hAnsi="Arial" w:cs="Arial"/>
          <w:sz w:val="24"/>
          <w:szCs w:val="24"/>
        </w:rPr>
        <w:t>whether</w:t>
      </w:r>
      <w:r w:rsidR="00D26987" w:rsidRPr="000F65B1">
        <w:rPr>
          <w:rFonts w:ascii="Arial" w:eastAsia="Calibri" w:hAnsi="Arial" w:cs="Arial"/>
          <w:sz w:val="24"/>
          <w:szCs w:val="24"/>
        </w:rPr>
        <w:t xml:space="preserve"> at a meeting</w:t>
      </w:r>
      <w:r w:rsidR="009459A8" w:rsidRPr="000F65B1">
        <w:rPr>
          <w:rFonts w:ascii="Arial" w:eastAsia="Calibri" w:hAnsi="Arial" w:cs="Arial"/>
          <w:sz w:val="24"/>
          <w:szCs w:val="24"/>
        </w:rPr>
        <w:t>,</w:t>
      </w:r>
      <w:r w:rsidR="00D26987" w:rsidRPr="000F65B1">
        <w:rPr>
          <w:rFonts w:ascii="Arial" w:eastAsia="Calibri" w:hAnsi="Arial" w:cs="Arial"/>
          <w:sz w:val="24"/>
          <w:szCs w:val="24"/>
        </w:rPr>
        <w:t xml:space="preserve"> a representative of Big Concerts handed M</w:t>
      </w:r>
      <w:r w:rsidR="009459A8" w:rsidRPr="000F65B1">
        <w:rPr>
          <w:rFonts w:ascii="Arial" w:eastAsia="Calibri" w:hAnsi="Arial" w:cs="Arial"/>
          <w:sz w:val="24"/>
          <w:szCs w:val="24"/>
        </w:rPr>
        <w:t>r</w:t>
      </w:r>
      <w:r w:rsidR="0008406D" w:rsidRPr="000F65B1">
        <w:rPr>
          <w:rFonts w:ascii="Arial" w:eastAsia="Calibri" w:hAnsi="Arial" w:cs="Arial"/>
          <w:sz w:val="24"/>
          <w:szCs w:val="24"/>
        </w:rPr>
        <w:t>s Pretorius</w:t>
      </w:r>
      <w:r w:rsidR="00D26987" w:rsidRPr="000F65B1">
        <w:rPr>
          <w:rFonts w:ascii="Arial" w:eastAsia="Calibri" w:hAnsi="Arial" w:cs="Arial"/>
          <w:sz w:val="24"/>
          <w:szCs w:val="24"/>
        </w:rPr>
        <w:t xml:space="preserve"> indemnity forms. Although he</w:t>
      </w:r>
      <w:r w:rsidR="00D26987" w:rsidRPr="00D26987">
        <w:rPr>
          <w:rFonts w:ascii="Arial" w:eastAsia="Calibri" w:hAnsi="Arial" w:cs="Arial"/>
          <w:sz w:val="24"/>
          <w:szCs w:val="24"/>
        </w:rPr>
        <w:t xml:space="preserve"> </w:t>
      </w:r>
      <w:r w:rsidR="00D26987" w:rsidRPr="000F65B1">
        <w:rPr>
          <w:rFonts w:ascii="Arial" w:eastAsia="Calibri" w:hAnsi="Arial" w:cs="Arial"/>
          <w:sz w:val="24"/>
          <w:szCs w:val="24"/>
        </w:rPr>
        <w:t>initially denied that M</w:t>
      </w:r>
      <w:r w:rsidR="009459A8" w:rsidRPr="000F65B1">
        <w:rPr>
          <w:rFonts w:ascii="Arial" w:eastAsia="Calibri" w:hAnsi="Arial" w:cs="Arial"/>
          <w:sz w:val="24"/>
          <w:szCs w:val="24"/>
        </w:rPr>
        <w:t>r</w:t>
      </w:r>
      <w:r w:rsidR="00D26987" w:rsidRPr="000F65B1">
        <w:rPr>
          <w:rFonts w:ascii="Arial" w:eastAsia="Calibri" w:hAnsi="Arial" w:cs="Arial"/>
          <w:sz w:val="24"/>
          <w:szCs w:val="24"/>
        </w:rPr>
        <w:t xml:space="preserve">s Pretorius informed him that somebody </w:t>
      </w:r>
      <w:r w:rsidR="00C051C1" w:rsidRPr="000F65B1">
        <w:rPr>
          <w:rFonts w:ascii="Arial" w:eastAsia="Calibri" w:hAnsi="Arial" w:cs="Arial"/>
          <w:sz w:val="24"/>
          <w:szCs w:val="24"/>
        </w:rPr>
        <w:t>should remain</w:t>
      </w:r>
      <w:r w:rsidR="00D26987" w:rsidRPr="000F65B1">
        <w:rPr>
          <w:rFonts w:ascii="Arial" w:eastAsia="Calibri" w:hAnsi="Arial" w:cs="Arial"/>
          <w:sz w:val="24"/>
          <w:szCs w:val="24"/>
        </w:rPr>
        <w:t xml:space="preserve"> on site 24/7,</w:t>
      </w:r>
      <w:r w:rsidR="00A33F83" w:rsidRPr="000F65B1">
        <w:rPr>
          <w:rFonts w:ascii="Arial" w:eastAsia="Calibri" w:hAnsi="Arial" w:cs="Arial"/>
          <w:sz w:val="24"/>
          <w:szCs w:val="24"/>
        </w:rPr>
        <w:t xml:space="preserve"> he later conceded</w:t>
      </w:r>
      <w:r w:rsidR="00D26987" w:rsidRPr="000F65B1">
        <w:rPr>
          <w:rFonts w:ascii="Arial" w:eastAsia="Calibri" w:hAnsi="Arial" w:cs="Arial"/>
          <w:sz w:val="24"/>
          <w:szCs w:val="24"/>
        </w:rPr>
        <w:t xml:space="preserve"> it had slipped his mind and he did in fact recall being told that. He contacted Bothma Signs who contacted Vertex</w:t>
      </w:r>
      <w:r w:rsidR="009459A8" w:rsidRPr="000F65B1">
        <w:rPr>
          <w:rFonts w:ascii="Arial" w:eastAsia="Calibri" w:hAnsi="Arial" w:cs="Arial"/>
          <w:sz w:val="24"/>
          <w:szCs w:val="24"/>
        </w:rPr>
        <w:t>, who in turn deployed</w:t>
      </w:r>
      <w:r w:rsidR="00D83719" w:rsidRPr="000F65B1">
        <w:rPr>
          <w:rFonts w:ascii="Arial" w:eastAsia="Calibri" w:hAnsi="Arial" w:cs="Arial"/>
          <w:sz w:val="24"/>
          <w:szCs w:val="24"/>
        </w:rPr>
        <w:t xml:space="preserve"> </w:t>
      </w:r>
      <w:r w:rsidR="00D83719" w:rsidRPr="00912E81">
        <w:rPr>
          <w:rFonts w:ascii="Arial" w:eastAsia="Calibri" w:hAnsi="Arial" w:cs="Arial"/>
          <w:sz w:val="24"/>
          <w:szCs w:val="24"/>
        </w:rPr>
        <w:t>Mr</w:t>
      </w:r>
      <w:r w:rsidR="00B014A8" w:rsidRPr="00912E81">
        <w:rPr>
          <w:rFonts w:ascii="Arial" w:eastAsia="Calibri" w:hAnsi="Arial" w:cs="Arial"/>
          <w:sz w:val="24"/>
          <w:szCs w:val="24"/>
        </w:rPr>
        <w:t> </w:t>
      </w:r>
      <w:r w:rsidR="00D26987" w:rsidRPr="00912E81">
        <w:rPr>
          <w:rFonts w:ascii="Arial" w:eastAsia="Calibri" w:hAnsi="Arial" w:cs="Arial"/>
          <w:sz w:val="24"/>
          <w:szCs w:val="24"/>
        </w:rPr>
        <w:t>Freedom</w:t>
      </w:r>
      <w:r w:rsidR="00B014A8" w:rsidRPr="00912E81">
        <w:rPr>
          <w:rFonts w:ascii="Arial" w:eastAsia="Calibri" w:hAnsi="Arial" w:cs="Arial"/>
          <w:sz w:val="24"/>
          <w:szCs w:val="24"/>
        </w:rPr>
        <w:t> </w:t>
      </w:r>
      <w:r w:rsidR="00D26987" w:rsidRPr="00912E81">
        <w:rPr>
          <w:rFonts w:ascii="Arial" w:eastAsia="Calibri" w:hAnsi="Arial" w:cs="Arial"/>
          <w:sz w:val="24"/>
          <w:szCs w:val="24"/>
        </w:rPr>
        <w:t>Mdah</w:t>
      </w:r>
      <w:r w:rsidR="00D26987" w:rsidRPr="000F65B1">
        <w:rPr>
          <w:rFonts w:ascii="Arial" w:eastAsia="Calibri" w:hAnsi="Arial" w:cs="Arial"/>
          <w:sz w:val="24"/>
          <w:szCs w:val="24"/>
        </w:rPr>
        <w:t xml:space="preserve"> to stay on site during the concert</w:t>
      </w:r>
      <w:r w:rsidR="009459A8" w:rsidRPr="000F65B1">
        <w:rPr>
          <w:rFonts w:ascii="Arial" w:eastAsia="Calibri" w:hAnsi="Arial" w:cs="Arial"/>
          <w:sz w:val="24"/>
          <w:szCs w:val="24"/>
        </w:rPr>
        <w:t>.</w:t>
      </w:r>
      <w:r w:rsidR="009459A8">
        <w:rPr>
          <w:rFonts w:ascii="Arial" w:eastAsia="Calibri" w:hAnsi="Arial" w:cs="Arial"/>
          <w:sz w:val="24"/>
          <w:szCs w:val="24"/>
        </w:rPr>
        <w:t xml:space="preserve"> </w:t>
      </w:r>
    </w:p>
    <w:p w14:paraId="4F319B0C" w14:textId="77777777" w:rsidR="003A3B48" w:rsidRDefault="003A3B48" w:rsidP="003E314C">
      <w:pPr>
        <w:spacing w:before="240" w:line="360" w:lineRule="auto"/>
        <w:contextualSpacing/>
        <w:jc w:val="both"/>
        <w:rPr>
          <w:rFonts w:ascii="Arial" w:eastAsia="Calibri" w:hAnsi="Arial" w:cs="Arial"/>
          <w:sz w:val="24"/>
          <w:szCs w:val="24"/>
        </w:rPr>
      </w:pPr>
    </w:p>
    <w:p w14:paraId="77BC21EB" w14:textId="2B6CE766" w:rsidR="00D26987" w:rsidRPr="00D26987" w:rsidRDefault="009459A8" w:rsidP="003E314C">
      <w:pPr>
        <w:spacing w:line="360" w:lineRule="auto"/>
        <w:contextualSpacing/>
        <w:jc w:val="both"/>
        <w:rPr>
          <w:rFonts w:ascii="Arial" w:eastAsia="Calibri" w:hAnsi="Arial" w:cs="Arial"/>
          <w:sz w:val="24"/>
          <w:szCs w:val="24"/>
        </w:rPr>
      </w:pPr>
      <w:r>
        <w:rPr>
          <w:rFonts w:ascii="Arial" w:eastAsia="Calibri" w:hAnsi="Arial" w:cs="Arial"/>
          <w:sz w:val="24"/>
          <w:szCs w:val="24"/>
        </w:rPr>
        <w:t>[1</w:t>
      </w:r>
      <w:r w:rsidR="00D83719">
        <w:rPr>
          <w:rFonts w:ascii="Arial" w:eastAsia="Calibri" w:hAnsi="Arial" w:cs="Arial"/>
          <w:sz w:val="24"/>
          <w:szCs w:val="24"/>
        </w:rPr>
        <w:t>4</w:t>
      </w:r>
      <w:r>
        <w:rPr>
          <w:rFonts w:ascii="Arial" w:eastAsia="Calibri" w:hAnsi="Arial" w:cs="Arial"/>
          <w:sz w:val="24"/>
          <w:szCs w:val="24"/>
        </w:rPr>
        <w:t>]</w:t>
      </w:r>
      <w:r w:rsidR="00A33F83">
        <w:rPr>
          <w:rFonts w:ascii="Arial" w:eastAsia="Calibri" w:hAnsi="Arial" w:cs="Arial"/>
          <w:sz w:val="24"/>
          <w:szCs w:val="24"/>
        </w:rPr>
        <w:tab/>
      </w:r>
      <w:r w:rsidRPr="000F65B1">
        <w:rPr>
          <w:rFonts w:ascii="Arial" w:eastAsia="Calibri" w:hAnsi="Arial" w:cs="Arial"/>
          <w:sz w:val="24"/>
          <w:szCs w:val="24"/>
        </w:rPr>
        <w:t>Mr Olwage,</w:t>
      </w:r>
      <w:r w:rsidR="00D26987" w:rsidRPr="000F65B1">
        <w:rPr>
          <w:rFonts w:ascii="Arial" w:eastAsia="Calibri" w:hAnsi="Arial" w:cs="Arial"/>
          <w:sz w:val="24"/>
          <w:szCs w:val="24"/>
        </w:rPr>
        <w:t xml:space="preserve"> in an email from Mrs Pretorius</w:t>
      </w:r>
      <w:r w:rsidR="003A3B48">
        <w:rPr>
          <w:rFonts w:ascii="Arial" w:eastAsia="Calibri" w:hAnsi="Arial" w:cs="Arial"/>
          <w:sz w:val="24"/>
          <w:szCs w:val="24"/>
        </w:rPr>
        <w:t>,</w:t>
      </w:r>
      <w:r w:rsidR="00D26987" w:rsidRPr="000F65B1">
        <w:rPr>
          <w:rFonts w:ascii="Arial" w:eastAsia="Calibri" w:hAnsi="Arial" w:cs="Arial"/>
          <w:sz w:val="24"/>
          <w:szCs w:val="24"/>
        </w:rPr>
        <w:t xml:space="preserve"> </w:t>
      </w:r>
      <w:r w:rsidR="006C42DA" w:rsidRPr="000F65B1">
        <w:rPr>
          <w:rFonts w:ascii="Arial" w:eastAsia="Calibri" w:hAnsi="Arial" w:cs="Arial"/>
          <w:sz w:val="24"/>
          <w:szCs w:val="24"/>
        </w:rPr>
        <w:t xml:space="preserve">was </w:t>
      </w:r>
      <w:r w:rsidR="00D26987" w:rsidRPr="000F65B1">
        <w:rPr>
          <w:rFonts w:ascii="Arial" w:eastAsia="Calibri" w:hAnsi="Arial" w:cs="Arial"/>
          <w:sz w:val="24"/>
          <w:szCs w:val="24"/>
        </w:rPr>
        <w:t>made aware that</w:t>
      </w:r>
      <w:r w:rsidR="003A6540" w:rsidRPr="000F65B1">
        <w:rPr>
          <w:rFonts w:ascii="Arial" w:eastAsia="Calibri" w:hAnsi="Arial" w:cs="Arial"/>
          <w:sz w:val="24"/>
          <w:szCs w:val="24"/>
        </w:rPr>
        <w:t xml:space="preserve"> the</w:t>
      </w:r>
      <w:r w:rsidR="00D26987" w:rsidRPr="000F65B1">
        <w:rPr>
          <w:rFonts w:ascii="Arial" w:eastAsia="Calibri" w:hAnsi="Arial" w:cs="Arial"/>
          <w:sz w:val="24"/>
          <w:szCs w:val="24"/>
        </w:rPr>
        <w:t xml:space="preserve"> structures may</w:t>
      </w:r>
      <w:r w:rsidR="003A6540" w:rsidRPr="000F65B1">
        <w:rPr>
          <w:rFonts w:ascii="Arial" w:eastAsia="Calibri" w:hAnsi="Arial" w:cs="Arial"/>
          <w:sz w:val="24"/>
          <w:szCs w:val="24"/>
        </w:rPr>
        <w:t xml:space="preserve"> be</w:t>
      </w:r>
      <w:r w:rsidR="00D26987" w:rsidRPr="000F65B1">
        <w:rPr>
          <w:rFonts w:ascii="Arial" w:eastAsia="Calibri" w:hAnsi="Arial" w:cs="Arial"/>
          <w:sz w:val="24"/>
          <w:szCs w:val="24"/>
        </w:rPr>
        <w:t xml:space="preserve"> </w:t>
      </w:r>
      <w:r w:rsidR="008E5E14" w:rsidRPr="000F65B1">
        <w:rPr>
          <w:rFonts w:ascii="Arial" w:eastAsia="Calibri" w:hAnsi="Arial" w:cs="Arial"/>
          <w:sz w:val="24"/>
          <w:szCs w:val="24"/>
        </w:rPr>
        <w:t>affected</w:t>
      </w:r>
      <w:r w:rsidR="003A6540" w:rsidRPr="000F65B1">
        <w:rPr>
          <w:rFonts w:ascii="Arial" w:eastAsia="Calibri" w:hAnsi="Arial" w:cs="Arial"/>
          <w:sz w:val="24"/>
          <w:szCs w:val="24"/>
        </w:rPr>
        <w:t xml:space="preserve"> by the wind</w:t>
      </w:r>
      <w:r w:rsidR="00D26987" w:rsidRPr="000F65B1">
        <w:rPr>
          <w:rFonts w:ascii="Arial" w:eastAsia="Calibri" w:hAnsi="Arial" w:cs="Arial"/>
          <w:sz w:val="24"/>
          <w:szCs w:val="24"/>
        </w:rPr>
        <w:t>. On the morning of the event</w:t>
      </w:r>
      <w:r w:rsidR="00ED077B" w:rsidRPr="000F65B1">
        <w:rPr>
          <w:rFonts w:ascii="Arial" w:eastAsia="Calibri" w:hAnsi="Arial" w:cs="Arial"/>
          <w:sz w:val="24"/>
          <w:szCs w:val="24"/>
        </w:rPr>
        <w:t>, 7 November 2012</w:t>
      </w:r>
      <w:r w:rsidR="006C42DA" w:rsidRPr="000F65B1">
        <w:rPr>
          <w:rFonts w:ascii="Arial" w:eastAsia="Calibri" w:hAnsi="Arial" w:cs="Arial"/>
          <w:sz w:val="24"/>
          <w:szCs w:val="24"/>
        </w:rPr>
        <w:t>,</w:t>
      </w:r>
      <w:r w:rsidR="00D26987" w:rsidRPr="000F65B1">
        <w:rPr>
          <w:rFonts w:ascii="Arial" w:eastAsia="Calibri" w:hAnsi="Arial" w:cs="Arial"/>
          <w:sz w:val="24"/>
          <w:szCs w:val="24"/>
        </w:rPr>
        <w:t xml:space="preserve"> </w:t>
      </w:r>
      <w:r w:rsidR="006C42DA" w:rsidRPr="000F65B1">
        <w:rPr>
          <w:rFonts w:ascii="Arial" w:eastAsia="Calibri" w:hAnsi="Arial" w:cs="Arial"/>
          <w:sz w:val="24"/>
          <w:szCs w:val="24"/>
        </w:rPr>
        <w:t>Mr</w:t>
      </w:r>
      <w:r w:rsidR="00B014A8">
        <w:rPr>
          <w:rFonts w:ascii="Arial" w:eastAsia="Calibri" w:hAnsi="Arial" w:cs="Arial"/>
          <w:sz w:val="24"/>
          <w:szCs w:val="24"/>
        </w:rPr>
        <w:t> </w:t>
      </w:r>
      <w:r w:rsidR="006C42DA" w:rsidRPr="000F65B1">
        <w:rPr>
          <w:rFonts w:ascii="Arial" w:eastAsia="Calibri" w:hAnsi="Arial" w:cs="Arial"/>
          <w:sz w:val="24"/>
          <w:szCs w:val="24"/>
        </w:rPr>
        <w:t>Olwage</w:t>
      </w:r>
      <w:r w:rsidR="00D26987" w:rsidRPr="000F65B1">
        <w:rPr>
          <w:rFonts w:ascii="Arial" w:eastAsia="Calibri" w:hAnsi="Arial" w:cs="Arial"/>
          <w:sz w:val="24"/>
          <w:szCs w:val="24"/>
        </w:rPr>
        <w:t xml:space="preserve"> had a discussion with M</w:t>
      </w:r>
      <w:r w:rsidR="006C42DA" w:rsidRPr="000F65B1">
        <w:rPr>
          <w:rFonts w:ascii="Arial" w:eastAsia="Calibri" w:hAnsi="Arial" w:cs="Arial"/>
          <w:sz w:val="24"/>
          <w:szCs w:val="24"/>
        </w:rPr>
        <w:t>r</w:t>
      </w:r>
      <w:r w:rsidR="00D26987" w:rsidRPr="000F65B1">
        <w:rPr>
          <w:rFonts w:ascii="Arial" w:eastAsia="Calibri" w:hAnsi="Arial" w:cs="Arial"/>
          <w:sz w:val="24"/>
          <w:szCs w:val="24"/>
        </w:rPr>
        <w:t>s Pretorius about the wind that</w:t>
      </w:r>
      <w:r w:rsidR="008E5E14" w:rsidRPr="000F65B1">
        <w:rPr>
          <w:rFonts w:ascii="Arial" w:eastAsia="Calibri" w:hAnsi="Arial" w:cs="Arial"/>
          <w:sz w:val="24"/>
          <w:szCs w:val="24"/>
        </w:rPr>
        <w:t xml:space="preserve"> threatened the stability of</w:t>
      </w:r>
      <w:r w:rsidR="00C24E73" w:rsidRPr="000F65B1">
        <w:rPr>
          <w:rFonts w:ascii="Arial" w:eastAsia="Calibri" w:hAnsi="Arial" w:cs="Arial"/>
          <w:sz w:val="24"/>
          <w:szCs w:val="24"/>
        </w:rPr>
        <w:t xml:space="preserve"> promotional</w:t>
      </w:r>
      <w:r w:rsidR="008E5E14" w:rsidRPr="000F65B1">
        <w:rPr>
          <w:rFonts w:ascii="Arial" w:eastAsia="Calibri" w:hAnsi="Arial" w:cs="Arial"/>
          <w:sz w:val="24"/>
          <w:szCs w:val="24"/>
        </w:rPr>
        <w:t xml:space="preserve"> gazebos that had been erected</w:t>
      </w:r>
      <w:r w:rsidR="00D26987" w:rsidRPr="000F65B1">
        <w:rPr>
          <w:rFonts w:ascii="Arial" w:eastAsia="Calibri" w:hAnsi="Arial" w:cs="Arial"/>
          <w:sz w:val="24"/>
          <w:szCs w:val="24"/>
        </w:rPr>
        <w:t>. H</w:t>
      </w:r>
      <w:r w:rsidR="00A33F83" w:rsidRPr="000F65B1">
        <w:rPr>
          <w:rFonts w:ascii="Arial" w:eastAsia="Calibri" w:hAnsi="Arial" w:cs="Arial"/>
          <w:sz w:val="24"/>
          <w:szCs w:val="24"/>
        </w:rPr>
        <w:t>e testified</w:t>
      </w:r>
      <w:r w:rsidR="00D26987" w:rsidRPr="000F65B1">
        <w:rPr>
          <w:rFonts w:ascii="Arial" w:eastAsia="Calibri" w:hAnsi="Arial" w:cs="Arial"/>
          <w:sz w:val="24"/>
          <w:szCs w:val="24"/>
        </w:rPr>
        <w:t xml:space="preserve"> that he</w:t>
      </w:r>
      <w:r w:rsidR="00EA4516" w:rsidRPr="000F65B1">
        <w:rPr>
          <w:rFonts w:ascii="Arial" w:eastAsia="Calibri" w:hAnsi="Arial" w:cs="Arial"/>
          <w:sz w:val="24"/>
          <w:szCs w:val="24"/>
        </w:rPr>
        <w:t xml:space="preserve"> left</w:t>
      </w:r>
      <w:r w:rsidR="00D26987" w:rsidRPr="000F65B1">
        <w:rPr>
          <w:rFonts w:ascii="Arial" w:eastAsia="Calibri" w:hAnsi="Arial" w:cs="Arial"/>
          <w:sz w:val="24"/>
          <w:szCs w:val="24"/>
        </w:rPr>
        <w:t xml:space="preserve"> to purchase rods to secure the gazebos.</w:t>
      </w:r>
      <w:r w:rsidR="006C42DA" w:rsidRPr="000F65B1">
        <w:rPr>
          <w:rFonts w:ascii="Arial" w:eastAsia="Calibri" w:hAnsi="Arial" w:cs="Arial"/>
          <w:sz w:val="24"/>
          <w:szCs w:val="24"/>
        </w:rPr>
        <w:t xml:space="preserve"> </w:t>
      </w:r>
      <w:r w:rsidR="00D26987" w:rsidRPr="000F65B1">
        <w:rPr>
          <w:rFonts w:ascii="Arial" w:eastAsia="Calibri" w:hAnsi="Arial" w:cs="Arial"/>
          <w:sz w:val="24"/>
          <w:szCs w:val="24"/>
        </w:rPr>
        <w:t>His understanding was that a group of people woul</w:t>
      </w:r>
      <w:r w:rsidR="00D26987" w:rsidRPr="007A17C3">
        <w:rPr>
          <w:rFonts w:ascii="Arial" w:eastAsia="Calibri" w:hAnsi="Arial" w:cs="Arial"/>
          <w:sz w:val="24"/>
          <w:szCs w:val="24"/>
        </w:rPr>
        <w:t>d</w:t>
      </w:r>
      <w:r w:rsidR="007471CF" w:rsidRPr="007A17C3">
        <w:rPr>
          <w:rFonts w:ascii="Arial" w:eastAsia="Calibri" w:hAnsi="Arial" w:cs="Arial"/>
          <w:sz w:val="24"/>
          <w:szCs w:val="24"/>
        </w:rPr>
        <w:t>,</w:t>
      </w:r>
      <w:r w:rsidR="00D26987" w:rsidRPr="000F65B1">
        <w:rPr>
          <w:rFonts w:ascii="Arial" w:eastAsia="Calibri" w:hAnsi="Arial" w:cs="Arial"/>
          <w:sz w:val="24"/>
          <w:szCs w:val="24"/>
        </w:rPr>
        <w:t xml:space="preserve"> on the day of the </w:t>
      </w:r>
      <w:r w:rsidR="00D26987" w:rsidRPr="007A17C3">
        <w:rPr>
          <w:rFonts w:ascii="Arial" w:eastAsia="Calibri" w:hAnsi="Arial" w:cs="Arial"/>
          <w:sz w:val="24"/>
          <w:szCs w:val="24"/>
        </w:rPr>
        <w:t>concert</w:t>
      </w:r>
      <w:r w:rsidR="007471CF" w:rsidRPr="007A17C3">
        <w:rPr>
          <w:rFonts w:ascii="Arial" w:eastAsia="Calibri" w:hAnsi="Arial" w:cs="Arial"/>
          <w:sz w:val="24"/>
          <w:szCs w:val="24"/>
        </w:rPr>
        <w:t>,</w:t>
      </w:r>
      <w:r w:rsidR="00D26987" w:rsidRPr="007A17C3">
        <w:rPr>
          <w:rFonts w:ascii="Arial" w:eastAsia="Calibri" w:hAnsi="Arial" w:cs="Arial"/>
          <w:sz w:val="24"/>
          <w:szCs w:val="24"/>
        </w:rPr>
        <w:t xml:space="preserve"> walk</w:t>
      </w:r>
      <w:r w:rsidR="00D26987" w:rsidRPr="000F65B1">
        <w:rPr>
          <w:rFonts w:ascii="Arial" w:eastAsia="Calibri" w:hAnsi="Arial" w:cs="Arial"/>
          <w:sz w:val="24"/>
          <w:szCs w:val="24"/>
        </w:rPr>
        <w:t xml:space="preserve"> around the stadium, sign off the site</w:t>
      </w:r>
      <w:r w:rsidR="00C62C43" w:rsidRPr="000F65B1">
        <w:rPr>
          <w:rFonts w:ascii="Arial" w:eastAsia="Calibri" w:hAnsi="Arial" w:cs="Arial"/>
          <w:sz w:val="24"/>
          <w:szCs w:val="24"/>
        </w:rPr>
        <w:t>,</w:t>
      </w:r>
      <w:r w:rsidR="00D26987" w:rsidRPr="000F65B1">
        <w:rPr>
          <w:rFonts w:ascii="Arial" w:eastAsia="Calibri" w:hAnsi="Arial" w:cs="Arial"/>
          <w:sz w:val="24"/>
          <w:szCs w:val="24"/>
        </w:rPr>
        <w:t xml:space="preserve"> and</w:t>
      </w:r>
      <w:r w:rsidR="00D26987" w:rsidRPr="00D26987">
        <w:rPr>
          <w:rFonts w:ascii="Arial" w:eastAsia="Calibri" w:hAnsi="Arial" w:cs="Arial"/>
          <w:sz w:val="24"/>
          <w:szCs w:val="24"/>
        </w:rPr>
        <w:t xml:space="preserve"> take the file where it needed to go. After he left the site the morning of the concert</w:t>
      </w:r>
      <w:r w:rsidR="00ED077B">
        <w:rPr>
          <w:rFonts w:ascii="Arial" w:eastAsia="Calibri" w:hAnsi="Arial" w:cs="Arial"/>
          <w:sz w:val="24"/>
          <w:szCs w:val="24"/>
        </w:rPr>
        <w:t>,</w:t>
      </w:r>
      <w:r w:rsidR="00D26987" w:rsidRPr="00D26987">
        <w:rPr>
          <w:rFonts w:ascii="Arial" w:eastAsia="Calibri" w:hAnsi="Arial" w:cs="Arial"/>
          <w:sz w:val="24"/>
          <w:szCs w:val="24"/>
        </w:rPr>
        <w:t xml:space="preserve"> he received a call from Mrs Pretorius asking for the safety file. </w:t>
      </w:r>
      <w:r w:rsidR="006C42DA">
        <w:rPr>
          <w:rFonts w:ascii="Arial" w:eastAsia="Calibri" w:hAnsi="Arial" w:cs="Arial"/>
          <w:sz w:val="24"/>
          <w:szCs w:val="24"/>
        </w:rPr>
        <w:t>Mr Olwage then</w:t>
      </w:r>
      <w:r w:rsidR="00D26987" w:rsidRPr="00D26987">
        <w:rPr>
          <w:rFonts w:ascii="Arial" w:eastAsia="Calibri" w:hAnsi="Arial" w:cs="Arial"/>
          <w:sz w:val="24"/>
          <w:szCs w:val="24"/>
        </w:rPr>
        <w:t xml:space="preserve"> contacted Mr Swan of Bothma Signs </w:t>
      </w:r>
      <w:r w:rsidR="00490833" w:rsidRPr="007A17C3">
        <w:rPr>
          <w:rFonts w:ascii="Arial" w:eastAsia="Calibri" w:hAnsi="Arial" w:cs="Arial"/>
          <w:sz w:val="24"/>
          <w:szCs w:val="24"/>
        </w:rPr>
        <w:t>who</w:t>
      </w:r>
      <w:r w:rsidR="00D26987" w:rsidRPr="00D26987">
        <w:rPr>
          <w:rFonts w:ascii="Arial" w:eastAsia="Calibri" w:hAnsi="Arial" w:cs="Arial"/>
          <w:sz w:val="24"/>
          <w:szCs w:val="24"/>
        </w:rPr>
        <w:t xml:space="preserve"> assured him</w:t>
      </w:r>
      <w:r w:rsidR="0002619E">
        <w:rPr>
          <w:rFonts w:ascii="Arial" w:eastAsia="Calibri" w:hAnsi="Arial" w:cs="Arial"/>
          <w:sz w:val="24"/>
          <w:szCs w:val="24"/>
        </w:rPr>
        <w:t xml:space="preserve"> that</w:t>
      </w:r>
      <w:r w:rsidR="00D26987" w:rsidRPr="00D26987">
        <w:rPr>
          <w:rFonts w:ascii="Arial" w:eastAsia="Calibri" w:hAnsi="Arial" w:cs="Arial"/>
          <w:sz w:val="24"/>
          <w:szCs w:val="24"/>
        </w:rPr>
        <w:t xml:space="preserve"> the documents were on site. In an SMS </w:t>
      </w:r>
      <w:r w:rsidR="002E33CC">
        <w:rPr>
          <w:rFonts w:ascii="Arial" w:eastAsia="Calibri" w:hAnsi="Arial" w:cs="Arial"/>
          <w:sz w:val="24"/>
          <w:szCs w:val="24"/>
        </w:rPr>
        <w:t xml:space="preserve">sent </w:t>
      </w:r>
      <w:r w:rsidR="00D26987" w:rsidRPr="00D26987">
        <w:rPr>
          <w:rFonts w:ascii="Arial" w:eastAsia="Calibri" w:hAnsi="Arial" w:cs="Arial"/>
          <w:sz w:val="24"/>
          <w:szCs w:val="24"/>
        </w:rPr>
        <w:t>at 15</w:t>
      </w:r>
      <w:r w:rsidR="00ED077B">
        <w:rPr>
          <w:rFonts w:ascii="Arial" w:eastAsia="Calibri" w:hAnsi="Arial" w:cs="Arial"/>
          <w:sz w:val="24"/>
          <w:szCs w:val="24"/>
        </w:rPr>
        <w:t>h</w:t>
      </w:r>
      <w:r w:rsidR="00D26987" w:rsidRPr="00D26987">
        <w:rPr>
          <w:rFonts w:ascii="Arial" w:eastAsia="Calibri" w:hAnsi="Arial" w:cs="Arial"/>
          <w:sz w:val="24"/>
          <w:szCs w:val="24"/>
        </w:rPr>
        <w:t>50</w:t>
      </w:r>
      <w:r w:rsidR="002E33CC">
        <w:rPr>
          <w:rFonts w:ascii="Arial" w:eastAsia="Calibri" w:hAnsi="Arial" w:cs="Arial"/>
          <w:sz w:val="24"/>
          <w:szCs w:val="24"/>
        </w:rPr>
        <w:t>, Mr Olwage</w:t>
      </w:r>
      <w:r w:rsidR="00D26987" w:rsidRPr="00D26987">
        <w:rPr>
          <w:rFonts w:ascii="Arial" w:eastAsia="Calibri" w:hAnsi="Arial" w:cs="Arial"/>
          <w:sz w:val="24"/>
          <w:szCs w:val="24"/>
        </w:rPr>
        <w:t xml:space="preserve"> told Mrs Pretorius that he</w:t>
      </w:r>
      <w:r w:rsidR="00EA4516">
        <w:rPr>
          <w:rFonts w:ascii="Arial" w:eastAsia="Calibri" w:hAnsi="Arial" w:cs="Arial"/>
          <w:sz w:val="24"/>
          <w:szCs w:val="24"/>
        </w:rPr>
        <w:t xml:space="preserve"> had</w:t>
      </w:r>
      <w:r w:rsidR="00D26987" w:rsidRPr="00D26987">
        <w:rPr>
          <w:rFonts w:ascii="Arial" w:eastAsia="Calibri" w:hAnsi="Arial" w:cs="Arial"/>
          <w:sz w:val="24"/>
          <w:szCs w:val="24"/>
        </w:rPr>
        <w:t xml:space="preserve"> spoke</w:t>
      </w:r>
      <w:r w:rsidR="00EA4516">
        <w:rPr>
          <w:rFonts w:ascii="Arial" w:eastAsia="Calibri" w:hAnsi="Arial" w:cs="Arial"/>
          <w:sz w:val="24"/>
          <w:szCs w:val="24"/>
        </w:rPr>
        <w:t>n</w:t>
      </w:r>
      <w:r w:rsidR="00D26987" w:rsidRPr="00D26987">
        <w:rPr>
          <w:rFonts w:ascii="Arial" w:eastAsia="Calibri" w:hAnsi="Arial" w:cs="Arial"/>
          <w:sz w:val="24"/>
          <w:szCs w:val="24"/>
        </w:rPr>
        <w:t xml:space="preserve"> to Mr Swan of Bothma Signs and that </w:t>
      </w:r>
      <w:r w:rsidR="00EA4516">
        <w:rPr>
          <w:rFonts w:ascii="Arial" w:eastAsia="Calibri" w:hAnsi="Arial" w:cs="Arial"/>
          <w:sz w:val="24"/>
          <w:szCs w:val="24"/>
        </w:rPr>
        <w:t>‘</w:t>
      </w:r>
      <w:r w:rsidR="00D26987" w:rsidRPr="00D26987">
        <w:rPr>
          <w:rFonts w:ascii="Arial" w:eastAsia="Calibri" w:hAnsi="Arial" w:cs="Arial"/>
          <w:sz w:val="24"/>
          <w:szCs w:val="24"/>
        </w:rPr>
        <w:t>the guys</w:t>
      </w:r>
      <w:r w:rsidR="00EA4516">
        <w:rPr>
          <w:rFonts w:ascii="Arial" w:eastAsia="Calibri" w:hAnsi="Arial" w:cs="Arial"/>
          <w:sz w:val="24"/>
          <w:szCs w:val="24"/>
        </w:rPr>
        <w:t>’</w:t>
      </w:r>
      <w:r w:rsidR="00D26987" w:rsidRPr="00D26987">
        <w:rPr>
          <w:rFonts w:ascii="Arial" w:eastAsia="Calibri" w:hAnsi="Arial" w:cs="Arial"/>
          <w:sz w:val="24"/>
          <w:szCs w:val="24"/>
        </w:rPr>
        <w:t xml:space="preserve"> had dropped the file. He had not read the email that asked for the safety file earlier th</w:t>
      </w:r>
      <w:r w:rsidR="00ED077B">
        <w:rPr>
          <w:rFonts w:ascii="Arial" w:eastAsia="Calibri" w:hAnsi="Arial" w:cs="Arial"/>
          <w:sz w:val="24"/>
          <w:szCs w:val="24"/>
        </w:rPr>
        <w:t>at</w:t>
      </w:r>
      <w:r w:rsidR="00D26987" w:rsidRPr="00D26987">
        <w:rPr>
          <w:rFonts w:ascii="Arial" w:eastAsia="Calibri" w:hAnsi="Arial" w:cs="Arial"/>
          <w:sz w:val="24"/>
          <w:szCs w:val="24"/>
        </w:rPr>
        <w:t xml:space="preserve"> day as he was with clients and did not check his emails. Whenever Mrs Pretorius asked about the </w:t>
      </w:r>
      <w:r w:rsidR="0008406D" w:rsidRPr="00D26987">
        <w:rPr>
          <w:rFonts w:ascii="Arial" w:eastAsia="Calibri" w:hAnsi="Arial" w:cs="Arial"/>
          <w:sz w:val="24"/>
          <w:szCs w:val="24"/>
        </w:rPr>
        <w:t>file,</w:t>
      </w:r>
      <w:r w:rsidR="00D26987" w:rsidRPr="00D26987">
        <w:rPr>
          <w:rFonts w:ascii="Arial" w:eastAsia="Calibri" w:hAnsi="Arial" w:cs="Arial"/>
          <w:sz w:val="24"/>
          <w:szCs w:val="24"/>
        </w:rPr>
        <w:t xml:space="preserve"> he took it upon himself to phone </w:t>
      </w:r>
      <w:r w:rsidR="00D26987" w:rsidRPr="00D26987">
        <w:rPr>
          <w:rFonts w:ascii="Arial" w:eastAsia="Calibri" w:hAnsi="Arial" w:cs="Arial"/>
          <w:sz w:val="24"/>
          <w:szCs w:val="24"/>
        </w:rPr>
        <w:lastRenderedPageBreak/>
        <w:t>around to find out where the file was; he never sa</w:t>
      </w:r>
      <w:r w:rsidR="00ED077B">
        <w:rPr>
          <w:rFonts w:ascii="Arial" w:eastAsia="Calibri" w:hAnsi="Arial" w:cs="Arial"/>
          <w:sz w:val="24"/>
          <w:szCs w:val="24"/>
        </w:rPr>
        <w:t>id that</w:t>
      </w:r>
      <w:r w:rsidR="00D26987" w:rsidRPr="00D26987">
        <w:rPr>
          <w:rFonts w:ascii="Arial" w:eastAsia="Calibri" w:hAnsi="Arial" w:cs="Arial"/>
          <w:sz w:val="24"/>
          <w:szCs w:val="24"/>
        </w:rPr>
        <w:t xml:space="preserve"> she </w:t>
      </w:r>
      <w:r w:rsidR="00ED077B">
        <w:rPr>
          <w:rFonts w:ascii="Arial" w:eastAsia="Calibri" w:hAnsi="Arial" w:cs="Arial"/>
          <w:sz w:val="24"/>
          <w:szCs w:val="24"/>
        </w:rPr>
        <w:t>should</w:t>
      </w:r>
      <w:r w:rsidR="00D26987" w:rsidRPr="00D26987">
        <w:rPr>
          <w:rFonts w:ascii="Arial" w:eastAsia="Calibri" w:hAnsi="Arial" w:cs="Arial"/>
          <w:sz w:val="24"/>
          <w:szCs w:val="24"/>
        </w:rPr>
        <w:t xml:space="preserve"> look elsewhere for the file. He himself </w:t>
      </w:r>
      <w:r w:rsidR="00ED077B">
        <w:rPr>
          <w:rFonts w:ascii="Arial" w:eastAsia="Calibri" w:hAnsi="Arial" w:cs="Arial"/>
          <w:sz w:val="24"/>
          <w:szCs w:val="24"/>
        </w:rPr>
        <w:t xml:space="preserve">never </w:t>
      </w:r>
      <w:r w:rsidR="00D26987" w:rsidRPr="00D26987">
        <w:rPr>
          <w:rFonts w:ascii="Arial" w:eastAsia="Calibri" w:hAnsi="Arial" w:cs="Arial"/>
          <w:sz w:val="24"/>
          <w:szCs w:val="24"/>
        </w:rPr>
        <w:t>saw the file prior to the incident.</w:t>
      </w:r>
      <w:r w:rsidR="00BB422A">
        <w:rPr>
          <w:rFonts w:ascii="Arial" w:eastAsia="Calibri" w:hAnsi="Arial" w:cs="Arial"/>
          <w:sz w:val="24"/>
          <w:szCs w:val="24"/>
        </w:rPr>
        <w:t xml:space="preserve"> He knew that a structural engineer sign-off was require</w:t>
      </w:r>
      <w:r w:rsidR="00F76357">
        <w:rPr>
          <w:rFonts w:ascii="Arial" w:eastAsia="Calibri" w:hAnsi="Arial" w:cs="Arial"/>
          <w:sz w:val="24"/>
          <w:szCs w:val="24"/>
        </w:rPr>
        <w:t>d.</w:t>
      </w:r>
    </w:p>
    <w:p w14:paraId="076E2810" w14:textId="77777777" w:rsidR="00D26987" w:rsidRPr="00D26987" w:rsidRDefault="00D26987" w:rsidP="00D26987">
      <w:pPr>
        <w:spacing w:line="360" w:lineRule="auto"/>
        <w:ind w:left="720"/>
        <w:contextualSpacing/>
        <w:rPr>
          <w:rFonts w:ascii="Arial" w:eastAsia="Calibri" w:hAnsi="Arial" w:cs="Arial"/>
          <w:sz w:val="24"/>
          <w:szCs w:val="24"/>
        </w:rPr>
      </w:pPr>
    </w:p>
    <w:p w14:paraId="2803B2AC" w14:textId="746111BB" w:rsidR="00D26987" w:rsidRPr="00D26987" w:rsidRDefault="002E33CC" w:rsidP="003E314C">
      <w:pPr>
        <w:spacing w:line="360" w:lineRule="auto"/>
        <w:contextualSpacing/>
        <w:jc w:val="both"/>
        <w:rPr>
          <w:rFonts w:ascii="Arial" w:eastAsia="Calibri" w:hAnsi="Arial" w:cs="Arial"/>
          <w:sz w:val="24"/>
          <w:szCs w:val="24"/>
        </w:rPr>
      </w:pPr>
      <w:r>
        <w:rPr>
          <w:rFonts w:ascii="Arial" w:eastAsia="Calibri" w:hAnsi="Arial" w:cs="Arial"/>
          <w:sz w:val="24"/>
          <w:szCs w:val="24"/>
        </w:rPr>
        <w:t>[1</w:t>
      </w:r>
      <w:r w:rsidR="00694F86">
        <w:rPr>
          <w:rFonts w:ascii="Arial" w:eastAsia="Calibri" w:hAnsi="Arial" w:cs="Arial"/>
          <w:sz w:val="24"/>
          <w:szCs w:val="24"/>
        </w:rPr>
        <w:t>5</w:t>
      </w:r>
      <w:r>
        <w:rPr>
          <w:rFonts w:ascii="Arial" w:eastAsia="Calibri" w:hAnsi="Arial" w:cs="Arial"/>
          <w:sz w:val="24"/>
          <w:szCs w:val="24"/>
        </w:rPr>
        <w:t>]</w:t>
      </w:r>
      <w:r w:rsidR="005E2C18">
        <w:rPr>
          <w:rFonts w:ascii="Arial" w:eastAsia="Calibri" w:hAnsi="Arial" w:cs="Arial"/>
          <w:sz w:val="24"/>
          <w:szCs w:val="24"/>
        </w:rPr>
        <w:tab/>
      </w:r>
      <w:r>
        <w:rPr>
          <w:rFonts w:ascii="Arial" w:eastAsia="Calibri" w:hAnsi="Arial" w:cs="Arial"/>
          <w:sz w:val="24"/>
          <w:szCs w:val="24"/>
        </w:rPr>
        <w:t>Mr Olwage</w:t>
      </w:r>
      <w:r w:rsidR="00D26987" w:rsidRPr="00D26987">
        <w:rPr>
          <w:rFonts w:ascii="Arial" w:eastAsia="Calibri" w:hAnsi="Arial" w:cs="Arial"/>
          <w:sz w:val="24"/>
          <w:szCs w:val="24"/>
        </w:rPr>
        <w:t xml:space="preserve"> acknowledged that all safety issues were to be taken seriously, but </w:t>
      </w:r>
      <w:r w:rsidR="006944E6">
        <w:rPr>
          <w:rFonts w:ascii="Arial" w:eastAsia="Calibri" w:hAnsi="Arial" w:cs="Arial"/>
          <w:sz w:val="24"/>
          <w:szCs w:val="24"/>
        </w:rPr>
        <w:t xml:space="preserve">said that </w:t>
      </w:r>
      <w:r w:rsidR="00D26987" w:rsidRPr="00D26987">
        <w:rPr>
          <w:rFonts w:ascii="Arial" w:eastAsia="Calibri" w:hAnsi="Arial" w:cs="Arial"/>
          <w:sz w:val="24"/>
          <w:szCs w:val="24"/>
        </w:rPr>
        <w:t xml:space="preserve">he relied on the sub-contractor, Bothma Signs, to supply the correct documentation and expertise. He did not know if Mr Grant from Bothma Signs knew what a safety file </w:t>
      </w:r>
      <w:r w:rsidRPr="00D26987">
        <w:rPr>
          <w:rFonts w:ascii="Arial" w:eastAsia="Calibri" w:hAnsi="Arial" w:cs="Arial"/>
          <w:sz w:val="24"/>
          <w:szCs w:val="24"/>
        </w:rPr>
        <w:t>was but</w:t>
      </w:r>
      <w:r w:rsidR="00D26987" w:rsidRPr="00D26987">
        <w:rPr>
          <w:rFonts w:ascii="Arial" w:eastAsia="Calibri" w:hAnsi="Arial" w:cs="Arial"/>
          <w:sz w:val="24"/>
          <w:szCs w:val="24"/>
        </w:rPr>
        <w:t xml:space="preserve"> hazarded a guess that he did not know. He </w:t>
      </w:r>
      <w:r w:rsidR="001C57A1">
        <w:rPr>
          <w:rFonts w:ascii="Arial" w:eastAsia="Calibri" w:hAnsi="Arial" w:cs="Arial"/>
          <w:sz w:val="24"/>
          <w:szCs w:val="24"/>
        </w:rPr>
        <w:t xml:space="preserve">knew </w:t>
      </w:r>
      <w:r w:rsidR="00D26987" w:rsidRPr="00D26987">
        <w:rPr>
          <w:rFonts w:ascii="Arial" w:eastAsia="Calibri" w:hAnsi="Arial" w:cs="Arial"/>
          <w:sz w:val="24"/>
          <w:szCs w:val="24"/>
        </w:rPr>
        <w:t>that Bothma Signs were not experts in scaffolding but accepted th</w:t>
      </w:r>
      <w:r w:rsidR="006944E6">
        <w:rPr>
          <w:rFonts w:ascii="Arial" w:eastAsia="Calibri" w:hAnsi="Arial" w:cs="Arial"/>
          <w:sz w:val="24"/>
          <w:szCs w:val="24"/>
        </w:rPr>
        <w:t>at the</w:t>
      </w:r>
      <w:r w:rsidR="00D26987" w:rsidRPr="00D26987">
        <w:rPr>
          <w:rFonts w:ascii="Arial" w:eastAsia="Calibri" w:hAnsi="Arial" w:cs="Arial"/>
          <w:sz w:val="24"/>
          <w:szCs w:val="24"/>
        </w:rPr>
        <w:t xml:space="preserve"> third party that Bothma Signs contracted with</w:t>
      </w:r>
      <w:r>
        <w:rPr>
          <w:rFonts w:ascii="Arial" w:eastAsia="Calibri" w:hAnsi="Arial" w:cs="Arial"/>
          <w:sz w:val="24"/>
          <w:szCs w:val="24"/>
        </w:rPr>
        <w:t>,</w:t>
      </w:r>
      <w:r w:rsidR="006944E6">
        <w:rPr>
          <w:rFonts w:ascii="Arial" w:eastAsia="Calibri" w:hAnsi="Arial" w:cs="Arial"/>
          <w:sz w:val="24"/>
          <w:szCs w:val="24"/>
        </w:rPr>
        <w:t xml:space="preserve"> Vertex,</w:t>
      </w:r>
      <w:r w:rsidR="00D26987" w:rsidRPr="00D26987">
        <w:rPr>
          <w:rFonts w:ascii="Arial" w:eastAsia="Calibri" w:hAnsi="Arial" w:cs="Arial"/>
          <w:sz w:val="24"/>
          <w:szCs w:val="24"/>
        </w:rPr>
        <w:t xml:space="preserve"> were experts in the field of scaffolding.</w:t>
      </w:r>
    </w:p>
    <w:p w14:paraId="4F2D43AC" w14:textId="77777777" w:rsidR="002E33CC" w:rsidRPr="00D26987" w:rsidRDefault="002E33CC" w:rsidP="00D26987">
      <w:pPr>
        <w:spacing w:line="360" w:lineRule="auto"/>
        <w:jc w:val="both"/>
        <w:rPr>
          <w:rFonts w:ascii="Arial" w:eastAsia="Calibri" w:hAnsi="Arial" w:cs="Arial"/>
          <w:sz w:val="24"/>
          <w:szCs w:val="24"/>
        </w:rPr>
      </w:pPr>
    </w:p>
    <w:p w14:paraId="1872DA79" w14:textId="10C0EFEA" w:rsidR="00AE0C32" w:rsidRDefault="00696832" w:rsidP="003E314C">
      <w:pPr>
        <w:spacing w:line="360"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t>[</w:t>
      </w:r>
      <w:r w:rsidR="001541ED">
        <w:rPr>
          <w:rFonts w:ascii="Arial" w:eastAsia="Times New Roman" w:hAnsi="Arial" w:cs="Arial"/>
          <w:sz w:val="24"/>
          <w:szCs w:val="24"/>
          <w:lang w:eastAsia="en-ZA"/>
        </w:rPr>
        <w:t>1</w:t>
      </w:r>
      <w:r w:rsidR="00694F86">
        <w:rPr>
          <w:rFonts w:ascii="Arial" w:eastAsia="Times New Roman" w:hAnsi="Arial" w:cs="Arial"/>
          <w:sz w:val="24"/>
          <w:szCs w:val="24"/>
          <w:lang w:eastAsia="en-ZA"/>
        </w:rPr>
        <w:t>6</w:t>
      </w:r>
      <w:r>
        <w:rPr>
          <w:rFonts w:ascii="Arial" w:eastAsia="Times New Roman" w:hAnsi="Arial" w:cs="Arial"/>
          <w:sz w:val="24"/>
          <w:szCs w:val="24"/>
          <w:lang w:eastAsia="en-ZA"/>
        </w:rPr>
        <w:t>]</w:t>
      </w:r>
      <w:r w:rsidR="00032E32">
        <w:rPr>
          <w:rFonts w:ascii="Arial" w:eastAsia="Times New Roman" w:hAnsi="Arial" w:cs="Arial"/>
          <w:sz w:val="24"/>
          <w:szCs w:val="24"/>
          <w:lang w:eastAsia="en-ZA"/>
        </w:rPr>
        <w:tab/>
      </w:r>
      <w:r w:rsidR="00590CED">
        <w:rPr>
          <w:rFonts w:ascii="Arial" w:eastAsia="Times New Roman" w:hAnsi="Arial" w:cs="Arial"/>
          <w:sz w:val="24"/>
          <w:szCs w:val="24"/>
          <w:lang w:eastAsia="en-ZA"/>
        </w:rPr>
        <w:t>It is necessary to re</w:t>
      </w:r>
      <w:r w:rsidR="00614840">
        <w:rPr>
          <w:rFonts w:ascii="Arial" w:eastAsia="Times New Roman" w:hAnsi="Arial" w:cs="Arial"/>
          <w:sz w:val="24"/>
          <w:szCs w:val="24"/>
          <w:lang w:eastAsia="en-ZA"/>
        </w:rPr>
        <w:t>iterate</w:t>
      </w:r>
      <w:r w:rsidR="00A41A93">
        <w:rPr>
          <w:rFonts w:ascii="Arial" w:eastAsia="Times New Roman" w:hAnsi="Arial" w:cs="Arial"/>
          <w:sz w:val="24"/>
          <w:szCs w:val="24"/>
          <w:lang w:eastAsia="en-ZA"/>
        </w:rPr>
        <w:t xml:space="preserve"> that </w:t>
      </w:r>
      <w:r w:rsidR="00D26987" w:rsidRPr="00D26987">
        <w:rPr>
          <w:rFonts w:ascii="Arial" w:eastAsia="Times New Roman" w:hAnsi="Arial" w:cs="Arial"/>
          <w:sz w:val="24"/>
          <w:szCs w:val="24"/>
          <w:lang w:eastAsia="en-ZA"/>
        </w:rPr>
        <w:t xml:space="preserve">Mr Olwage </w:t>
      </w:r>
      <w:r w:rsidR="00A41A93">
        <w:rPr>
          <w:rFonts w:ascii="Arial" w:eastAsia="Times New Roman" w:hAnsi="Arial" w:cs="Arial"/>
          <w:sz w:val="24"/>
          <w:szCs w:val="24"/>
          <w:lang w:eastAsia="en-ZA"/>
        </w:rPr>
        <w:t>had repeatedly</w:t>
      </w:r>
      <w:r w:rsidR="00D26987" w:rsidRPr="00D26987">
        <w:rPr>
          <w:rFonts w:ascii="Arial" w:eastAsia="Times New Roman" w:hAnsi="Arial" w:cs="Arial"/>
          <w:sz w:val="24"/>
          <w:szCs w:val="24"/>
          <w:lang w:eastAsia="en-ZA"/>
        </w:rPr>
        <w:t xml:space="preserve"> </w:t>
      </w:r>
      <w:r w:rsidR="00F76357">
        <w:rPr>
          <w:rFonts w:ascii="Arial" w:eastAsia="Times New Roman" w:hAnsi="Arial" w:cs="Arial"/>
          <w:sz w:val="24"/>
          <w:szCs w:val="24"/>
          <w:lang w:eastAsia="en-ZA"/>
        </w:rPr>
        <w:t xml:space="preserve">been </w:t>
      </w:r>
      <w:r w:rsidR="00D26987" w:rsidRPr="00D26987">
        <w:rPr>
          <w:rFonts w:ascii="Arial" w:eastAsia="Times New Roman" w:hAnsi="Arial" w:cs="Arial"/>
          <w:sz w:val="24"/>
          <w:szCs w:val="24"/>
          <w:lang w:eastAsia="en-ZA"/>
        </w:rPr>
        <w:t>informed that safety was important. He was in three</w:t>
      </w:r>
      <w:r>
        <w:rPr>
          <w:rFonts w:ascii="Arial" w:eastAsia="Times New Roman" w:hAnsi="Arial" w:cs="Arial"/>
          <w:sz w:val="24"/>
          <w:szCs w:val="24"/>
          <w:lang w:eastAsia="en-ZA"/>
        </w:rPr>
        <w:t xml:space="preserve"> separate</w:t>
      </w:r>
      <w:r w:rsidR="00D26987" w:rsidRPr="00D26987">
        <w:rPr>
          <w:rFonts w:ascii="Arial" w:eastAsia="Times New Roman" w:hAnsi="Arial" w:cs="Arial"/>
          <w:sz w:val="24"/>
          <w:szCs w:val="24"/>
          <w:lang w:eastAsia="en-ZA"/>
        </w:rPr>
        <w:t xml:space="preserve"> meetings w</w:t>
      </w:r>
      <w:r>
        <w:rPr>
          <w:rFonts w:ascii="Arial" w:eastAsia="Times New Roman" w:hAnsi="Arial" w:cs="Arial"/>
          <w:sz w:val="24"/>
          <w:szCs w:val="24"/>
          <w:lang w:eastAsia="en-ZA"/>
        </w:rPr>
        <w:t>h</w:t>
      </w:r>
      <w:r w:rsidR="00D26987" w:rsidRPr="00D26987">
        <w:rPr>
          <w:rFonts w:ascii="Arial" w:eastAsia="Times New Roman" w:hAnsi="Arial" w:cs="Arial"/>
          <w:sz w:val="24"/>
          <w:szCs w:val="24"/>
          <w:lang w:eastAsia="en-ZA"/>
        </w:rPr>
        <w:t>ere safety was discussed. He was</w:t>
      </w:r>
      <w:r>
        <w:rPr>
          <w:rFonts w:ascii="Arial" w:eastAsia="Times New Roman" w:hAnsi="Arial" w:cs="Arial"/>
          <w:sz w:val="24"/>
          <w:szCs w:val="24"/>
          <w:lang w:eastAsia="en-ZA"/>
        </w:rPr>
        <w:t>,</w:t>
      </w:r>
      <w:r w:rsidR="00D26987" w:rsidRPr="00D26987">
        <w:rPr>
          <w:rFonts w:ascii="Arial" w:eastAsia="Times New Roman" w:hAnsi="Arial" w:cs="Arial"/>
          <w:sz w:val="24"/>
          <w:szCs w:val="24"/>
          <w:lang w:eastAsia="en-ZA"/>
        </w:rPr>
        <w:t xml:space="preserve"> on two occasions asked w</w:t>
      </w:r>
      <w:r>
        <w:rPr>
          <w:rFonts w:ascii="Arial" w:eastAsia="Times New Roman" w:hAnsi="Arial" w:cs="Arial"/>
          <w:sz w:val="24"/>
          <w:szCs w:val="24"/>
          <w:lang w:eastAsia="en-ZA"/>
        </w:rPr>
        <w:t>h</w:t>
      </w:r>
      <w:r w:rsidR="00D26987" w:rsidRPr="00D26987">
        <w:rPr>
          <w:rFonts w:ascii="Arial" w:eastAsia="Times New Roman" w:hAnsi="Arial" w:cs="Arial"/>
          <w:sz w:val="24"/>
          <w:szCs w:val="24"/>
          <w:lang w:eastAsia="en-ZA"/>
        </w:rPr>
        <w:t xml:space="preserve">ere the safety file was. </w:t>
      </w:r>
      <w:r>
        <w:rPr>
          <w:rFonts w:ascii="Arial" w:eastAsia="Times New Roman" w:hAnsi="Arial" w:cs="Arial"/>
          <w:sz w:val="24"/>
          <w:szCs w:val="24"/>
          <w:lang w:eastAsia="en-ZA"/>
        </w:rPr>
        <w:t>Mr Olwage</w:t>
      </w:r>
      <w:r w:rsidR="00D26987" w:rsidRPr="00D26987">
        <w:rPr>
          <w:rFonts w:ascii="Arial" w:eastAsia="Times New Roman" w:hAnsi="Arial" w:cs="Arial"/>
          <w:sz w:val="24"/>
          <w:szCs w:val="24"/>
          <w:lang w:eastAsia="en-ZA"/>
        </w:rPr>
        <w:t xml:space="preserve"> knew there was a requirement that the scaffolding had to be signed off by a structural engineer.</w:t>
      </w:r>
      <w:r>
        <w:rPr>
          <w:rFonts w:ascii="Arial" w:eastAsia="Times New Roman" w:hAnsi="Arial" w:cs="Arial"/>
          <w:sz w:val="24"/>
          <w:szCs w:val="24"/>
          <w:lang w:eastAsia="en-ZA"/>
        </w:rPr>
        <w:t xml:space="preserve"> </w:t>
      </w:r>
      <w:r w:rsidRPr="00D236E6">
        <w:rPr>
          <w:rFonts w:ascii="Arial" w:eastAsia="Times New Roman" w:hAnsi="Arial" w:cs="Arial"/>
          <w:sz w:val="24"/>
          <w:szCs w:val="24"/>
          <w:lang w:eastAsia="en-ZA"/>
        </w:rPr>
        <w:t>Furthermore, Mr Olwage was well aware</w:t>
      </w:r>
      <w:r w:rsidR="00D26987" w:rsidRPr="00D236E6">
        <w:rPr>
          <w:rFonts w:ascii="Arial" w:eastAsia="Times New Roman" w:hAnsi="Arial" w:cs="Arial"/>
          <w:sz w:val="24"/>
          <w:szCs w:val="24"/>
          <w:lang w:eastAsia="en-ZA"/>
        </w:rPr>
        <w:t xml:space="preserve"> that the wind was blowing</w:t>
      </w:r>
      <w:r w:rsidRPr="00D236E6">
        <w:rPr>
          <w:rFonts w:ascii="Arial" w:eastAsia="Times New Roman" w:hAnsi="Arial" w:cs="Arial"/>
          <w:sz w:val="24"/>
          <w:szCs w:val="24"/>
          <w:lang w:eastAsia="en-ZA"/>
        </w:rPr>
        <w:t xml:space="preserve"> on the day of the event</w:t>
      </w:r>
      <w:r w:rsidR="001E5590" w:rsidRPr="00D236E6">
        <w:rPr>
          <w:rFonts w:ascii="Arial" w:eastAsia="Times New Roman" w:hAnsi="Arial" w:cs="Arial"/>
          <w:sz w:val="24"/>
          <w:szCs w:val="24"/>
          <w:lang w:eastAsia="en-ZA"/>
        </w:rPr>
        <w:t xml:space="preserve"> to the extent that </w:t>
      </w:r>
      <w:r w:rsidR="001E5590" w:rsidRPr="007A17C3">
        <w:rPr>
          <w:rFonts w:ascii="Arial" w:eastAsia="Times New Roman" w:hAnsi="Arial" w:cs="Arial"/>
          <w:sz w:val="24"/>
          <w:szCs w:val="24"/>
          <w:lang w:eastAsia="en-ZA"/>
        </w:rPr>
        <w:t>he</w:t>
      </w:r>
      <w:r w:rsidR="00166E80" w:rsidRPr="007A17C3">
        <w:rPr>
          <w:rFonts w:ascii="Arial" w:eastAsia="Times New Roman" w:hAnsi="Arial" w:cs="Arial"/>
          <w:sz w:val="24"/>
          <w:szCs w:val="24"/>
          <w:lang w:eastAsia="en-ZA"/>
        </w:rPr>
        <w:t xml:space="preserve"> had</w:t>
      </w:r>
      <w:r w:rsidR="001E5590" w:rsidRPr="00D236E6">
        <w:rPr>
          <w:rFonts w:ascii="Arial" w:eastAsia="Times New Roman" w:hAnsi="Arial" w:cs="Arial"/>
          <w:sz w:val="24"/>
          <w:szCs w:val="24"/>
          <w:lang w:eastAsia="en-ZA"/>
        </w:rPr>
        <w:t xml:space="preserve"> even</w:t>
      </w:r>
      <w:r w:rsidR="001E5590" w:rsidRPr="00D236E6">
        <w:rPr>
          <w:rFonts w:ascii="Arial" w:eastAsia="Calibri" w:hAnsi="Arial" w:cs="Arial"/>
          <w:sz w:val="24"/>
          <w:szCs w:val="24"/>
        </w:rPr>
        <w:t xml:space="preserve"> </w:t>
      </w:r>
      <w:r w:rsidR="001E5590" w:rsidRPr="00D236E6">
        <w:rPr>
          <w:rFonts w:ascii="Arial" w:eastAsia="Times New Roman" w:hAnsi="Arial" w:cs="Arial"/>
          <w:sz w:val="24"/>
          <w:szCs w:val="24"/>
          <w:lang w:eastAsia="en-ZA"/>
        </w:rPr>
        <w:t xml:space="preserve">purchased rods to secure the gazebos from being </w:t>
      </w:r>
      <w:r w:rsidR="001E5590" w:rsidRPr="007A17C3">
        <w:rPr>
          <w:rFonts w:ascii="Arial" w:eastAsia="Times New Roman" w:hAnsi="Arial" w:cs="Arial"/>
          <w:sz w:val="24"/>
          <w:szCs w:val="24"/>
          <w:lang w:eastAsia="en-ZA"/>
        </w:rPr>
        <w:t xml:space="preserve">blown </w:t>
      </w:r>
      <w:r w:rsidR="00D236E6" w:rsidRPr="007A17C3">
        <w:rPr>
          <w:rFonts w:ascii="Arial" w:eastAsia="Times New Roman" w:hAnsi="Arial" w:cs="Arial"/>
          <w:sz w:val="24"/>
          <w:szCs w:val="24"/>
          <w:lang w:eastAsia="en-ZA"/>
        </w:rPr>
        <w:t>over</w:t>
      </w:r>
      <w:r w:rsidR="00D26987" w:rsidRPr="007A17C3">
        <w:rPr>
          <w:rFonts w:ascii="Arial" w:eastAsia="Times New Roman" w:hAnsi="Arial" w:cs="Arial"/>
          <w:sz w:val="24"/>
          <w:szCs w:val="24"/>
          <w:lang w:eastAsia="en-ZA"/>
        </w:rPr>
        <w:t>.</w:t>
      </w:r>
      <w:r w:rsidR="00D26987" w:rsidRPr="00D26987">
        <w:rPr>
          <w:rFonts w:ascii="Arial" w:eastAsia="Times New Roman" w:hAnsi="Arial" w:cs="Arial"/>
          <w:sz w:val="24"/>
          <w:szCs w:val="24"/>
          <w:lang w:eastAsia="en-ZA"/>
        </w:rPr>
        <w:t xml:space="preserve"> Mr Olwage received queries about the safety file from Mrs Pretorius and forwarded </w:t>
      </w:r>
      <w:r>
        <w:rPr>
          <w:rFonts w:ascii="Arial" w:eastAsia="Times New Roman" w:hAnsi="Arial" w:cs="Arial"/>
          <w:sz w:val="24"/>
          <w:szCs w:val="24"/>
          <w:lang w:eastAsia="en-ZA"/>
        </w:rPr>
        <w:t>these</w:t>
      </w:r>
      <w:r w:rsidR="00D26987" w:rsidRPr="00D26987">
        <w:rPr>
          <w:rFonts w:ascii="Arial" w:eastAsia="Times New Roman" w:hAnsi="Arial" w:cs="Arial"/>
          <w:sz w:val="24"/>
          <w:szCs w:val="24"/>
          <w:lang w:eastAsia="en-ZA"/>
        </w:rPr>
        <w:t xml:space="preserve"> to his sub-contractor. He relayed the answers he received from his sub-contractor to Mrs Pretorius</w:t>
      </w:r>
      <w:r>
        <w:rPr>
          <w:rFonts w:ascii="Arial" w:eastAsia="Times New Roman" w:hAnsi="Arial" w:cs="Arial"/>
          <w:sz w:val="24"/>
          <w:szCs w:val="24"/>
          <w:lang w:eastAsia="en-ZA"/>
        </w:rPr>
        <w:t xml:space="preserve"> and t</w:t>
      </w:r>
      <w:r w:rsidR="00D26987" w:rsidRPr="00D26987">
        <w:rPr>
          <w:rFonts w:ascii="Arial" w:eastAsia="Times New Roman" w:hAnsi="Arial" w:cs="Arial"/>
          <w:sz w:val="24"/>
          <w:szCs w:val="24"/>
          <w:lang w:eastAsia="en-ZA"/>
        </w:rPr>
        <w:t>he</w:t>
      </w:r>
      <w:r w:rsidR="00F76357">
        <w:rPr>
          <w:rFonts w:ascii="Arial" w:eastAsia="Times New Roman" w:hAnsi="Arial" w:cs="Arial"/>
          <w:sz w:val="24"/>
          <w:szCs w:val="24"/>
          <w:lang w:eastAsia="en-ZA"/>
        </w:rPr>
        <w:t>se</w:t>
      </w:r>
      <w:r w:rsidR="00D26987" w:rsidRPr="00D26987">
        <w:rPr>
          <w:rFonts w:ascii="Arial" w:eastAsia="Times New Roman" w:hAnsi="Arial" w:cs="Arial"/>
          <w:sz w:val="24"/>
          <w:szCs w:val="24"/>
          <w:lang w:eastAsia="en-ZA"/>
        </w:rPr>
        <w:t xml:space="preserve"> answers constantly</w:t>
      </w:r>
      <w:r w:rsidR="00035A63">
        <w:rPr>
          <w:rFonts w:ascii="Arial" w:eastAsia="Times New Roman" w:hAnsi="Arial" w:cs="Arial"/>
          <w:sz w:val="24"/>
          <w:szCs w:val="24"/>
          <w:lang w:eastAsia="en-ZA"/>
        </w:rPr>
        <w:t xml:space="preserve"> came in the form of</w:t>
      </w:r>
      <w:r w:rsidR="00D26987" w:rsidRPr="00D26987">
        <w:rPr>
          <w:rFonts w:ascii="Arial" w:eastAsia="Times New Roman" w:hAnsi="Arial" w:cs="Arial"/>
          <w:sz w:val="24"/>
          <w:szCs w:val="24"/>
          <w:lang w:eastAsia="en-ZA"/>
        </w:rPr>
        <w:t xml:space="preserve"> an assurance from Bothma Signs, with whom he had a long</w:t>
      </w:r>
      <w:r w:rsidR="006D7887">
        <w:rPr>
          <w:rFonts w:ascii="Arial" w:eastAsia="Times New Roman" w:hAnsi="Arial" w:cs="Arial"/>
          <w:sz w:val="24"/>
          <w:szCs w:val="24"/>
          <w:lang w:eastAsia="en-ZA"/>
        </w:rPr>
        <w:t>-</w:t>
      </w:r>
      <w:r w:rsidR="00035A63">
        <w:rPr>
          <w:rFonts w:ascii="Arial" w:eastAsia="Times New Roman" w:hAnsi="Arial" w:cs="Arial"/>
          <w:sz w:val="24"/>
          <w:szCs w:val="24"/>
          <w:lang w:eastAsia="en-ZA"/>
        </w:rPr>
        <w:t xml:space="preserve">standing </w:t>
      </w:r>
      <w:r w:rsidR="00D26987" w:rsidRPr="00D26987">
        <w:rPr>
          <w:rFonts w:ascii="Arial" w:eastAsia="Times New Roman" w:hAnsi="Arial" w:cs="Arial"/>
          <w:sz w:val="24"/>
          <w:szCs w:val="24"/>
          <w:lang w:eastAsia="en-ZA"/>
        </w:rPr>
        <w:t xml:space="preserve">relationship, that the file was on the site and the file was a </w:t>
      </w:r>
      <w:r w:rsidR="00035A63">
        <w:rPr>
          <w:rFonts w:ascii="Arial" w:eastAsia="Times New Roman" w:hAnsi="Arial" w:cs="Arial"/>
          <w:sz w:val="24"/>
          <w:szCs w:val="24"/>
          <w:lang w:eastAsia="en-ZA"/>
        </w:rPr>
        <w:t>‘</w:t>
      </w:r>
      <w:r w:rsidR="00D26987" w:rsidRPr="00D26987">
        <w:rPr>
          <w:rFonts w:ascii="Arial" w:eastAsia="Times New Roman" w:hAnsi="Arial" w:cs="Arial"/>
          <w:sz w:val="24"/>
          <w:szCs w:val="24"/>
          <w:lang w:eastAsia="en-ZA"/>
        </w:rPr>
        <w:t>heavy back-up document</w:t>
      </w:r>
      <w:r w:rsidR="00035A63">
        <w:rPr>
          <w:rFonts w:ascii="Arial" w:eastAsia="Times New Roman" w:hAnsi="Arial" w:cs="Arial"/>
          <w:sz w:val="24"/>
          <w:szCs w:val="24"/>
          <w:lang w:eastAsia="en-ZA"/>
        </w:rPr>
        <w:t>’</w:t>
      </w:r>
      <w:r w:rsidR="00D26987" w:rsidRPr="00D26987">
        <w:rPr>
          <w:rFonts w:ascii="Arial" w:eastAsia="Times New Roman" w:hAnsi="Arial" w:cs="Arial"/>
          <w:sz w:val="24"/>
          <w:szCs w:val="24"/>
          <w:lang w:eastAsia="en-ZA"/>
        </w:rPr>
        <w:t>. Mr Olwage was to provide an end</w:t>
      </w:r>
      <w:r w:rsidR="00746FD9">
        <w:rPr>
          <w:rFonts w:ascii="Arial" w:eastAsia="Times New Roman" w:hAnsi="Arial" w:cs="Arial"/>
          <w:sz w:val="24"/>
          <w:szCs w:val="24"/>
          <w:lang w:eastAsia="en-ZA"/>
        </w:rPr>
        <w:t>-</w:t>
      </w:r>
      <w:r w:rsidR="00D26987" w:rsidRPr="00D26987">
        <w:rPr>
          <w:rFonts w:ascii="Arial" w:eastAsia="Times New Roman" w:hAnsi="Arial" w:cs="Arial"/>
          <w:sz w:val="24"/>
          <w:szCs w:val="24"/>
          <w:lang w:eastAsia="en-ZA"/>
        </w:rPr>
        <w:t>to</w:t>
      </w:r>
      <w:r w:rsidR="00746FD9">
        <w:rPr>
          <w:rFonts w:ascii="Arial" w:eastAsia="Times New Roman" w:hAnsi="Arial" w:cs="Arial"/>
          <w:sz w:val="24"/>
          <w:szCs w:val="24"/>
          <w:lang w:eastAsia="en-ZA"/>
        </w:rPr>
        <w:t>-</w:t>
      </w:r>
      <w:r w:rsidR="00D26987" w:rsidRPr="00D26987">
        <w:rPr>
          <w:rFonts w:ascii="Arial" w:eastAsia="Times New Roman" w:hAnsi="Arial" w:cs="Arial"/>
          <w:sz w:val="24"/>
          <w:szCs w:val="24"/>
          <w:lang w:eastAsia="en-ZA"/>
        </w:rPr>
        <w:t xml:space="preserve">end service to GSK. GSK required a structural engineer’s certificate. He knew safety </w:t>
      </w:r>
      <w:r w:rsidR="00D26987" w:rsidRPr="000F65B1">
        <w:rPr>
          <w:rFonts w:ascii="Arial" w:eastAsia="Times New Roman" w:hAnsi="Arial" w:cs="Arial"/>
          <w:sz w:val="24"/>
          <w:szCs w:val="24"/>
          <w:lang w:eastAsia="en-ZA"/>
        </w:rPr>
        <w:t>was key and knew that a safety file, with the structural engineers sign off, was required. He</w:t>
      </w:r>
      <w:r w:rsidR="00BD1075" w:rsidRPr="000F65B1">
        <w:rPr>
          <w:rFonts w:ascii="Arial" w:eastAsia="Times New Roman" w:hAnsi="Arial" w:cs="Arial"/>
          <w:sz w:val="24"/>
          <w:szCs w:val="24"/>
          <w:lang w:eastAsia="en-ZA"/>
        </w:rPr>
        <w:t xml:space="preserve"> did not take the time to look at</w:t>
      </w:r>
      <w:r w:rsidR="00C66551" w:rsidRPr="000F65B1">
        <w:rPr>
          <w:rFonts w:ascii="Arial" w:eastAsia="Times New Roman" w:hAnsi="Arial" w:cs="Arial"/>
          <w:sz w:val="24"/>
          <w:szCs w:val="24"/>
          <w:lang w:eastAsia="en-ZA"/>
        </w:rPr>
        <w:t xml:space="preserve"> it</w:t>
      </w:r>
      <w:r w:rsidR="007A05B7" w:rsidRPr="000F65B1">
        <w:rPr>
          <w:rFonts w:ascii="Arial" w:eastAsia="Times New Roman" w:hAnsi="Arial" w:cs="Arial"/>
          <w:sz w:val="24"/>
          <w:szCs w:val="24"/>
          <w:lang w:eastAsia="en-ZA"/>
        </w:rPr>
        <w:t>, m</w:t>
      </w:r>
      <w:r w:rsidR="00BD1075" w:rsidRPr="000F65B1">
        <w:rPr>
          <w:rFonts w:ascii="Arial" w:eastAsia="Times New Roman" w:hAnsi="Arial" w:cs="Arial"/>
          <w:sz w:val="24"/>
          <w:szCs w:val="24"/>
          <w:lang w:eastAsia="en-ZA"/>
        </w:rPr>
        <w:t>ore particularly</w:t>
      </w:r>
      <w:r w:rsidR="00C66551" w:rsidRPr="000F65B1">
        <w:rPr>
          <w:rFonts w:ascii="Arial" w:eastAsia="Times New Roman" w:hAnsi="Arial" w:cs="Arial"/>
          <w:sz w:val="24"/>
          <w:szCs w:val="24"/>
          <w:lang w:eastAsia="en-ZA"/>
        </w:rPr>
        <w:t>,</w:t>
      </w:r>
      <w:r w:rsidR="00BD1075" w:rsidRPr="000F65B1">
        <w:rPr>
          <w:rFonts w:ascii="Arial" w:eastAsia="Times New Roman" w:hAnsi="Arial" w:cs="Arial"/>
          <w:sz w:val="24"/>
          <w:szCs w:val="24"/>
          <w:lang w:eastAsia="en-ZA"/>
        </w:rPr>
        <w:t xml:space="preserve"> to </w:t>
      </w:r>
      <w:r w:rsidR="00AE0C32" w:rsidRPr="000F65B1">
        <w:rPr>
          <w:rFonts w:ascii="Arial" w:eastAsia="Times New Roman" w:hAnsi="Arial" w:cs="Arial"/>
          <w:sz w:val="24"/>
          <w:szCs w:val="24"/>
          <w:lang w:eastAsia="en-ZA"/>
        </w:rPr>
        <w:t>look for a structural engineer sign-off</w:t>
      </w:r>
      <w:r w:rsidR="00DC69A9" w:rsidRPr="000F65B1">
        <w:rPr>
          <w:rFonts w:ascii="Arial" w:eastAsia="Times New Roman" w:hAnsi="Arial" w:cs="Arial"/>
          <w:sz w:val="24"/>
          <w:szCs w:val="24"/>
          <w:lang w:eastAsia="en-ZA"/>
        </w:rPr>
        <w:t>, the importance of which had been stressed</w:t>
      </w:r>
      <w:r w:rsidR="00AE0C32" w:rsidRPr="000F65B1">
        <w:rPr>
          <w:rFonts w:ascii="Arial" w:eastAsia="Times New Roman" w:hAnsi="Arial" w:cs="Arial"/>
          <w:sz w:val="24"/>
          <w:szCs w:val="24"/>
          <w:lang w:eastAsia="en-ZA"/>
        </w:rPr>
        <w:t>. Importantly</w:t>
      </w:r>
      <w:r w:rsidR="00DC69A9" w:rsidRPr="000F65B1">
        <w:rPr>
          <w:rFonts w:ascii="Arial" w:eastAsia="Times New Roman" w:hAnsi="Arial" w:cs="Arial"/>
          <w:sz w:val="24"/>
          <w:szCs w:val="24"/>
          <w:lang w:eastAsia="en-ZA"/>
        </w:rPr>
        <w:t>,</w:t>
      </w:r>
      <w:r w:rsidR="00AE0C32" w:rsidRPr="000F65B1">
        <w:rPr>
          <w:rFonts w:ascii="Arial" w:eastAsia="Times New Roman" w:hAnsi="Arial" w:cs="Arial"/>
          <w:sz w:val="24"/>
          <w:szCs w:val="24"/>
          <w:lang w:eastAsia="en-ZA"/>
        </w:rPr>
        <w:t xml:space="preserve"> he admitted when cross-examined that Hirt </w:t>
      </w:r>
      <w:r w:rsidR="00F76357" w:rsidRPr="000F65B1">
        <w:rPr>
          <w:rFonts w:ascii="Arial" w:eastAsia="Times New Roman" w:hAnsi="Arial" w:cs="Arial"/>
          <w:sz w:val="24"/>
          <w:szCs w:val="24"/>
          <w:lang w:eastAsia="en-ZA"/>
        </w:rPr>
        <w:t>&amp;</w:t>
      </w:r>
      <w:r w:rsidR="00AE0C32" w:rsidRPr="000F65B1">
        <w:rPr>
          <w:rFonts w:ascii="Arial" w:eastAsia="Times New Roman" w:hAnsi="Arial" w:cs="Arial"/>
          <w:sz w:val="24"/>
          <w:szCs w:val="24"/>
          <w:lang w:eastAsia="en-ZA"/>
        </w:rPr>
        <w:t xml:space="preserve"> Carter unde</w:t>
      </w:r>
      <w:r w:rsidR="001541ED" w:rsidRPr="000F65B1">
        <w:rPr>
          <w:rFonts w:ascii="Arial" w:eastAsia="Times New Roman" w:hAnsi="Arial" w:cs="Arial"/>
          <w:sz w:val="24"/>
          <w:szCs w:val="24"/>
          <w:lang w:eastAsia="en-ZA"/>
        </w:rPr>
        <w:t>r</w:t>
      </w:r>
      <w:r w:rsidR="00AE0C32" w:rsidRPr="000F65B1">
        <w:rPr>
          <w:rFonts w:ascii="Arial" w:eastAsia="Times New Roman" w:hAnsi="Arial" w:cs="Arial"/>
          <w:sz w:val="24"/>
          <w:szCs w:val="24"/>
          <w:lang w:eastAsia="en-ZA"/>
        </w:rPr>
        <w:t xml:space="preserve">took </w:t>
      </w:r>
      <w:r w:rsidR="001541ED" w:rsidRPr="000F65B1">
        <w:rPr>
          <w:rFonts w:ascii="Arial" w:eastAsia="Times New Roman" w:hAnsi="Arial" w:cs="Arial"/>
          <w:sz w:val="24"/>
          <w:szCs w:val="24"/>
          <w:lang w:eastAsia="en-ZA"/>
        </w:rPr>
        <w:t xml:space="preserve">to GSK </w:t>
      </w:r>
      <w:r w:rsidR="00AE0C32" w:rsidRPr="000F65B1">
        <w:rPr>
          <w:rFonts w:ascii="Arial" w:eastAsia="Times New Roman" w:hAnsi="Arial" w:cs="Arial"/>
          <w:sz w:val="24"/>
          <w:szCs w:val="24"/>
          <w:lang w:eastAsia="en-ZA"/>
        </w:rPr>
        <w:t>to see to the safety aspect</w:t>
      </w:r>
      <w:r w:rsidR="00614840" w:rsidRPr="000F65B1">
        <w:rPr>
          <w:rFonts w:ascii="Arial" w:eastAsia="Times New Roman" w:hAnsi="Arial" w:cs="Arial"/>
          <w:sz w:val="24"/>
          <w:szCs w:val="24"/>
          <w:lang w:eastAsia="en-ZA"/>
        </w:rPr>
        <w:t>.</w:t>
      </w:r>
    </w:p>
    <w:p w14:paraId="061EE8AF" w14:textId="6AD13FD6" w:rsidR="00614840" w:rsidRDefault="00614840" w:rsidP="003E314C">
      <w:pPr>
        <w:spacing w:line="360" w:lineRule="auto"/>
        <w:contextualSpacing/>
        <w:jc w:val="both"/>
        <w:rPr>
          <w:rFonts w:ascii="Arial" w:eastAsia="Times New Roman" w:hAnsi="Arial" w:cs="Arial"/>
          <w:sz w:val="24"/>
          <w:szCs w:val="24"/>
          <w:lang w:eastAsia="en-ZA"/>
        </w:rPr>
      </w:pPr>
    </w:p>
    <w:p w14:paraId="788AF2C5" w14:textId="2893F88A" w:rsidR="00614840" w:rsidRDefault="00614840" w:rsidP="003E314C">
      <w:pPr>
        <w:spacing w:line="360" w:lineRule="auto"/>
        <w:contextualSpacing/>
        <w:jc w:val="both"/>
        <w:rPr>
          <w:rFonts w:ascii="Arial" w:eastAsia="Times New Roman" w:hAnsi="Arial" w:cs="Arial"/>
          <w:sz w:val="24"/>
          <w:szCs w:val="24"/>
          <w:lang w:eastAsia="en-ZA"/>
        </w:rPr>
      </w:pPr>
      <w:r w:rsidRPr="00BA4E9F">
        <w:rPr>
          <w:rFonts w:ascii="Arial" w:eastAsia="Times New Roman" w:hAnsi="Arial" w:cs="Arial"/>
          <w:sz w:val="24"/>
          <w:szCs w:val="24"/>
          <w:lang w:eastAsia="en-ZA"/>
        </w:rPr>
        <w:t>[17]</w:t>
      </w:r>
      <w:r w:rsidRPr="00BA4E9F">
        <w:rPr>
          <w:rFonts w:ascii="Arial" w:eastAsia="Times New Roman" w:hAnsi="Arial" w:cs="Arial"/>
          <w:sz w:val="24"/>
          <w:szCs w:val="24"/>
          <w:lang w:eastAsia="en-ZA"/>
        </w:rPr>
        <w:tab/>
        <w:t xml:space="preserve">It was common cause that </w:t>
      </w:r>
      <w:r w:rsidR="00A71ABD" w:rsidRPr="00BA4E9F">
        <w:rPr>
          <w:rFonts w:ascii="Arial" w:eastAsia="Times New Roman" w:hAnsi="Arial" w:cs="Arial"/>
          <w:sz w:val="24"/>
          <w:szCs w:val="24"/>
          <w:lang w:eastAsia="en-ZA"/>
        </w:rPr>
        <w:t xml:space="preserve">there had been no structural engineer sign-off and that the towers </w:t>
      </w:r>
      <w:r w:rsidR="00C41AFA" w:rsidRPr="00BA4E9F">
        <w:rPr>
          <w:rFonts w:ascii="Arial" w:eastAsia="Times New Roman" w:hAnsi="Arial" w:cs="Arial"/>
          <w:sz w:val="24"/>
          <w:szCs w:val="24"/>
          <w:lang w:eastAsia="en-ZA"/>
        </w:rPr>
        <w:t>had</w:t>
      </w:r>
      <w:r w:rsidR="00A71ABD" w:rsidRPr="00BA4E9F">
        <w:rPr>
          <w:rFonts w:ascii="Arial" w:eastAsia="Times New Roman" w:hAnsi="Arial" w:cs="Arial"/>
          <w:sz w:val="24"/>
          <w:szCs w:val="24"/>
          <w:lang w:eastAsia="en-ZA"/>
        </w:rPr>
        <w:t xml:space="preserve"> not</w:t>
      </w:r>
      <w:r w:rsidR="00C41AFA" w:rsidRPr="00BA4E9F">
        <w:rPr>
          <w:rFonts w:ascii="Arial" w:eastAsia="Times New Roman" w:hAnsi="Arial" w:cs="Arial"/>
          <w:sz w:val="24"/>
          <w:szCs w:val="24"/>
          <w:lang w:eastAsia="en-ZA"/>
        </w:rPr>
        <w:t xml:space="preserve"> been</w:t>
      </w:r>
      <w:r w:rsidR="00A71ABD" w:rsidRPr="00BA4E9F">
        <w:rPr>
          <w:rFonts w:ascii="Arial" w:eastAsia="Times New Roman" w:hAnsi="Arial" w:cs="Arial"/>
          <w:sz w:val="24"/>
          <w:szCs w:val="24"/>
          <w:lang w:eastAsia="en-ZA"/>
        </w:rPr>
        <w:t xml:space="preserve"> properly secured</w:t>
      </w:r>
      <w:r w:rsidR="00C63D0C" w:rsidRPr="00BA4E9F">
        <w:rPr>
          <w:rFonts w:ascii="Arial" w:eastAsia="Times New Roman" w:hAnsi="Arial" w:cs="Arial"/>
          <w:sz w:val="24"/>
          <w:szCs w:val="24"/>
          <w:lang w:eastAsia="en-ZA"/>
        </w:rPr>
        <w:t>,</w:t>
      </w:r>
      <w:r w:rsidR="00A71ABD" w:rsidRPr="00BA4E9F">
        <w:rPr>
          <w:rFonts w:ascii="Arial" w:eastAsia="Times New Roman" w:hAnsi="Arial" w:cs="Arial"/>
          <w:sz w:val="24"/>
          <w:szCs w:val="24"/>
          <w:lang w:eastAsia="en-ZA"/>
        </w:rPr>
        <w:t xml:space="preserve"> causing them to </w:t>
      </w:r>
      <w:r w:rsidR="00C13FCA" w:rsidRPr="00BA4E9F">
        <w:rPr>
          <w:rFonts w:ascii="Arial" w:eastAsia="Times New Roman" w:hAnsi="Arial" w:cs="Arial"/>
          <w:sz w:val="24"/>
          <w:szCs w:val="24"/>
          <w:lang w:eastAsia="en-ZA"/>
        </w:rPr>
        <w:t>dislodge and fall on concertgoers. The ina</w:t>
      </w:r>
      <w:r w:rsidR="00D72040" w:rsidRPr="00BA4E9F">
        <w:rPr>
          <w:rFonts w:ascii="Arial" w:eastAsia="Times New Roman" w:hAnsi="Arial" w:cs="Arial"/>
          <w:sz w:val="24"/>
          <w:szCs w:val="24"/>
          <w:lang w:eastAsia="en-ZA"/>
        </w:rPr>
        <w:t>dequacy of the safety measures will become clearer from the finding</w:t>
      </w:r>
      <w:r w:rsidR="00495DE8" w:rsidRPr="00BA4E9F">
        <w:rPr>
          <w:rFonts w:ascii="Arial" w:eastAsia="Times New Roman" w:hAnsi="Arial" w:cs="Arial"/>
          <w:sz w:val="24"/>
          <w:szCs w:val="24"/>
          <w:lang w:eastAsia="en-ZA"/>
        </w:rPr>
        <w:t>s</w:t>
      </w:r>
      <w:r w:rsidR="00D72040" w:rsidRPr="00BA4E9F">
        <w:rPr>
          <w:rFonts w:ascii="Arial" w:eastAsia="Times New Roman" w:hAnsi="Arial" w:cs="Arial"/>
          <w:sz w:val="24"/>
          <w:szCs w:val="24"/>
          <w:lang w:eastAsia="en-ZA"/>
        </w:rPr>
        <w:t xml:space="preserve"> of the Magistrate set out below.</w:t>
      </w:r>
    </w:p>
    <w:p w14:paraId="54EFADB1" w14:textId="77777777" w:rsidR="00D26987" w:rsidRPr="00D26987" w:rsidRDefault="00D26987" w:rsidP="000D047D">
      <w:pPr>
        <w:spacing w:line="360" w:lineRule="auto"/>
        <w:contextualSpacing/>
        <w:jc w:val="both"/>
        <w:rPr>
          <w:rFonts w:ascii="Arial" w:eastAsia="Times New Roman" w:hAnsi="Arial" w:cs="Arial"/>
          <w:sz w:val="24"/>
          <w:szCs w:val="24"/>
          <w:lang w:eastAsia="en-ZA"/>
        </w:rPr>
      </w:pPr>
    </w:p>
    <w:p w14:paraId="17B7E0B5" w14:textId="125C661B" w:rsidR="003A66B1" w:rsidRDefault="00032E32" w:rsidP="00FE1093">
      <w:pPr>
        <w:spacing w:line="360"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t>[</w:t>
      </w:r>
      <w:r w:rsidR="001541ED">
        <w:rPr>
          <w:rFonts w:ascii="Arial" w:eastAsia="Times New Roman" w:hAnsi="Arial" w:cs="Arial"/>
          <w:sz w:val="24"/>
          <w:szCs w:val="24"/>
          <w:lang w:eastAsia="en-ZA"/>
        </w:rPr>
        <w:t>1</w:t>
      </w:r>
      <w:r w:rsidR="00D72040">
        <w:rPr>
          <w:rFonts w:ascii="Arial" w:eastAsia="Times New Roman" w:hAnsi="Arial" w:cs="Arial"/>
          <w:sz w:val="24"/>
          <w:szCs w:val="24"/>
          <w:lang w:eastAsia="en-ZA"/>
        </w:rPr>
        <w:t>8</w:t>
      </w:r>
      <w:r>
        <w:rPr>
          <w:rFonts w:ascii="Arial" w:eastAsia="Times New Roman" w:hAnsi="Arial" w:cs="Arial"/>
          <w:sz w:val="24"/>
          <w:szCs w:val="24"/>
          <w:lang w:eastAsia="en-ZA"/>
        </w:rPr>
        <w:t>]</w:t>
      </w:r>
      <w:r>
        <w:rPr>
          <w:rFonts w:ascii="Arial" w:eastAsia="Times New Roman" w:hAnsi="Arial" w:cs="Arial"/>
          <w:sz w:val="24"/>
          <w:szCs w:val="24"/>
          <w:lang w:eastAsia="en-ZA"/>
        </w:rPr>
        <w:tab/>
      </w:r>
      <w:r w:rsidR="00CE5033">
        <w:rPr>
          <w:rFonts w:ascii="Arial" w:eastAsia="Times New Roman" w:hAnsi="Arial" w:cs="Arial"/>
          <w:sz w:val="24"/>
          <w:szCs w:val="24"/>
          <w:lang w:eastAsia="en-ZA"/>
        </w:rPr>
        <w:t>The Magistrate in reaching her</w:t>
      </w:r>
      <w:r w:rsidR="00C71376" w:rsidRPr="00BA4E9F">
        <w:rPr>
          <w:rFonts w:ascii="Arial" w:eastAsia="Times New Roman" w:hAnsi="Arial" w:cs="Arial"/>
          <w:sz w:val="24"/>
          <w:szCs w:val="24"/>
          <w:lang w:eastAsia="en-ZA"/>
        </w:rPr>
        <w:t xml:space="preserve"> </w:t>
      </w:r>
      <w:r w:rsidR="00DB7BFB" w:rsidRPr="00BA4E9F">
        <w:rPr>
          <w:rFonts w:ascii="Arial" w:eastAsia="Times New Roman" w:hAnsi="Arial" w:cs="Arial"/>
          <w:sz w:val="24"/>
          <w:szCs w:val="24"/>
          <w:lang w:eastAsia="en-ZA"/>
        </w:rPr>
        <w:t>conclusion</w:t>
      </w:r>
      <w:r w:rsidR="00C71376" w:rsidRPr="00BA4E9F">
        <w:rPr>
          <w:rFonts w:ascii="Arial" w:eastAsia="Times New Roman" w:hAnsi="Arial" w:cs="Arial"/>
          <w:sz w:val="24"/>
          <w:szCs w:val="24"/>
          <w:lang w:eastAsia="en-ZA"/>
        </w:rPr>
        <w:t xml:space="preserve"> </w:t>
      </w:r>
      <w:r w:rsidR="00A5156C" w:rsidRPr="00BA4E9F">
        <w:rPr>
          <w:rFonts w:ascii="Arial" w:eastAsia="Times New Roman" w:hAnsi="Arial" w:cs="Arial"/>
          <w:sz w:val="24"/>
          <w:szCs w:val="24"/>
          <w:lang w:eastAsia="en-ZA"/>
        </w:rPr>
        <w:t>referred to</w:t>
      </w:r>
      <w:r w:rsidR="00BE2E9A" w:rsidRPr="00BA4E9F">
        <w:rPr>
          <w:rFonts w:ascii="Arial" w:eastAsia="Times New Roman" w:hAnsi="Arial" w:cs="Arial"/>
          <w:sz w:val="24"/>
          <w:szCs w:val="24"/>
          <w:lang w:eastAsia="en-ZA"/>
        </w:rPr>
        <w:t xml:space="preserve"> the criterion in s 16 (2)(</w:t>
      </w:r>
      <w:r w:rsidR="00BE2E9A" w:rsidRPr="00DE285C">
        <w:rPr>
          <w:rFonts w:ascii="Arial" w:eastAsia="Times New Roman" w:hAnsi="Arial" w:cs="Arial"/>
          <w:i/>
          <w:iCs/>
          <w:sz w:val="24"/>
          <w:szCs w:val="24"/>
          <w:lang w:eastAsia="en-ZA"/>
        </w:rPr>
        <w:t>c</w:t>
      </w:r>
      <w:r w:rsidR="00BE2E9A" w:rsidRPr="00BA4E9F">
        <w:rPr>
          <w:rFonts w:ascii="Arial" w:eastAsia="Times New Roman" w:hAnsi="Arial" w:cs="Arial"/>
          <w:sz w:val="24"/>
          <w:szCs w:val="24"/>
          <w:lang w:eastAsia="en-ZA"/>
        </w:rPr>
        <w:t>)</w:t>
      </w:r>
      <w:r w:rsidR="00C66551" w:rsidRPr="00BA4E9F">
        <w:rPr>
          <w:rFonts w:ascii="Arial" w:eastAsia="Times New Roman" w:hAnsi="Arial" w:cs="Arial"/>
          <w:sz w:val="24"/>
          <w:szCs w:val="24"/>
          <w:lang w:eastAsia="en-ZA"/>
        </w:rPr>
        <w:t xml:space="preserve"> </w:t>
      </w:r>
      <w:r w:rsidR="00BE2E9A" w:rsidRPr="00BA4E9F">
        <w:rPr>
          <w:rFonts w:ascii="Arial" w:eastAsia="Times New Roman" w:hAnsi="Arial" w:cs="Arial"/>
          <w:sz w:val="24"/>
          <w:szCs w:val="24"/>
          <w:lang w:eastAsia="en-ZA"/>
        </w:rPr>
        <w:t>of the</w:t>
      </w:r>
      <w:r w:rsidR="000D6509" w:rsidRPr="00BA4E9F">
        <w:rPr>
          <w:rFonts w:ascii="Arial" w:eastAsia="Times New Roman" w:hAnsi="Arial" w:cs="Arial"/>
          <w:sz w:val="24"/>
          <w:szCs w:val="24"/>
          <w:lang w:eastAsia="en-ZA"/>
        </w:rPr>
        <w:t xml:space="preserve"> Act,</w:t>
      </w:r>
      <w:r w:rsidR="002B135F" w:rsidRPr="00BA4E9F">
        <w:rPr>
          <w:rFonts w:ascii="Arial" w:eastAsia="Times New Roman" w:hAnsi="Arial" w:cs="Arial"/>
          <w:sz w:val="24"/>
          <w:szCs w:val="24"/>
          <w:lang w:eastAsia="en-ZA"/>
        </w:rPr>
        <w:t xml:space="preserve"> </w:t>
      </w:r>
      <w:r w:rsidR="00BE2E9A" w:rsidRPr="00BA4E9F">
        <w:rPr>
          <w:rFonts w:ascii="Arial" w:eastAsia="Times New Roman" w:hAnsi="Arial" w:cs="Arial"/>
          <w:sz w:val="24"/>
          <w:szCs w:val="24"/>
          <w:lang w:eastAsia="en-ZA"/>
        </w:rPr>
        <w:t>namely</w:t>
      </w:r>
      <w:r w:rsidR="000D6509" w:rsidRPr="00BA4E9F">
        <w:rPr>
          <w:rFonts w:ascii="Arial" w:eastAsia="Times New Roman" w:hAnsi="Arial" w:cs="Arial"/>
          <w:sz w:val="24"/>
          <w:szCs w:val="24"/>
          <w:lang w:eastAsia="en-ZA"/>
        </w:rPr>
        <w:t xml:space="preserve">, whether the death of the deceased was brought about </w:t>
      </w:r>
      <w:r w:rsidR="00CF130D" w:rsidRPr="00BA4E9F">
        <w:rPr>
          <w:rFonts w:ascii="Arial" w:eastAsia="Times New Roman" w:hAnsi="Arial" w:cs="Arial"/>
          <w:sz w:val="24"/>
          <w:szCs w:val="24"/>
          <w:lang w:eastAsia="en-ZA"/>
        </w:rPr>
        <w:t xml:space="preserve">by an act or omission which </w:t>
      </w:r>
      <w:r w:rsidR="00CF130D" w:rsidRPr="00BA4E9F">
        <w:rPr>
          <w:rFonts w:ascii="Arial" w:eastAsia="Times New Roman" w:hAnsi="Arial" w:cs="Arial"/>
          <w:iCs/>
          <w:sz w:val="24"/>
          <w:szCs w:val="24"/>
          <w:lang w:eastAsia="en-ZA"/>
        </w:rPr>
        <w:t>prima facie</w:t>
      </w:r>
      <w:r w:rsidR="00632E77" w:rsidRPr="00BA4E9F">
        <w:rPr>
          <w:rFonts w:ascii="Arial" w:eastAsia="Times New Roman" w:hAnsi="Arial" w:cs="Arial"/>
          <w:i/>
          <w:iCs/>
          <w:sz w:val="24"/>
          <w:szCs w:val="24"/>
          <w:lang w:eastAsia="en-ZA"/>
        </w:rPr>
        <w:t xml:space="preserve"> </w:t>
      </w:r>
      <w:r w:rsidR="00632E77" w:rsidRPr="00BA4E9F">
        <w:rPr>
          <w:rFonts w:ascii="Arial" w:eastAsia="Times New Roman" w:hAnsi="Arial" w:cs="Arial"/>
          <w:sz w:val="24"/>
          <w:szCs w:val="24"/>
          <w:lang w:eastAsia="en-ZA"/>
        </w:rPr>
        <w:t>involved or</w:t>
      </w:r>
      <w:r w:rsidR="00BE2E9A" w:rsidRPr="00BA4E9F">
        <w:rPr>
          <w:rFonts w:ascii="Arial" w:eastAsia="Times New Roman" w:hAnsi="Arial" w:cs="Arial"/>
          <w:sz w:val="24"/>
          <w:szCs w:val="24"/>
          <w:lang w:eastAsia="en-ZA"/>
        </w:rPr>
        <w:t xml:space="preserve"> </w:t>
      </w:r>
      <w:r w:rsidR="00FE123F" w:rsidRPr="00BA4E9F">
        <w:rPr>
          <w:rFonts w:ascii="Arial" w:eastAsia="Times New Roman" w:hAnsi="Arial" w:cs="Arial"/>
          <w:sz w:val="24"/>
          <w:szCs w:val="24"/>
          <w:lang w:eastAsia="en-ZA"/>
        </w:rPr>
        <w:t>amount</w:t>
      </w:r>
      <w:r w:rsidR="00632E77" w:rsidRPr="00BA4E9F">
        <w:rPr>
          <w:rFonts w:ascii="Arial" w:eastAsia="Times New Roman" w:hAnsi="Arial" w:cs="Arial"/>
          <w:sz w:val="24"/>
          <w:szCs w:val="24"/>
          <w:lang w:eastAsia="en-ZA"/>
        </w:rPr>
        <w:t>ed</w:t>
      </w:r>
      <w:r w:rsidR="00FE123F" w:rsidRPr="00BA4E9F">
        <w:rPr>
          <w:rFonts w:ascii="Arial" w:eastAsia="Times New Roman" w:hAnsi="Arial" w:cs="Arial"/>
          <w:sz w:val="24"/>
          <w:szCs w:val="24"/>
          <w:lang w:eastAsia="en-ZA"/>
        </w:rPr>
        <w:t xml:space="preserve"> to an offence. </w:t>
      </w:r>
      <w:r w:rsidR="006B6095" w:rsidRPr="00BA4E9F">
        <w:rPr>
          <w:rFonts w:ascii="Arial" w:eastAsia="Times New Roman" w:hAnsi="Arial" w:cs="Arial"/>
          <w:sz w:val="24"/>
          <w:szCs w:val="24"/>
          <w:lang w:eastAsia="en-ZA"/>
        </w:rPr>
        <w:t>The Magistrate had regard to</w:t>
      </w:r>
      <w:r w:rsidR="004B2DBC" w:rsidRPr="00BA4E9F">
        <w:rPr>
          <w:rFonts w:ascii="Arial" w:eastAsia="Times New Roman" w:hAnsi="Arial" w:cs="Arial"/>
          <w:sz w:val="24"/>
          <w:szCs w:val="24"/>
          <w:lang w:eastAsia="en-ZA"/>
        </w:rPr>
        <w:t xml:space="preserve"> </w:t>
      </w:r>
      <w:r w:rsidR="004B2DBC" w:rsidRPr="00BA4E9F">
        <w:rPr>
          <w:rFonts w:ascii="Arial" w:eastAsia="Times New Roman" w:hAnsi="Arial" w:cs="Arial"/>
          <w:i/>
          <w:sz w:val="24"/>
          <w:szCs w:val="24"/>
          <w:lang w:eastAsia="en-ZA"/>
        </w:rPr>
        <w:t xml:space="preserve">Padi and Another v Botha </w:t>
      </w:r>
      <w:r w:rsidR="00B33A07" w:rsidRPr="00BA4E9F">
        <w:rPr>
          <w:rFonts w:ascii="Arial" w:eastAsia="Times New Roman" w:hAnsi="Arial" w:cs="Arial"/>
          <w:i/>
          <w:sz w:val="24"/>
          <w:szCs w:val="24"/>
          <w:lang w:eastAsia="en-ZA"/>
        </w:rPr>
        <w:t>N</w:t>
      </w:r>
      <w:r w:rsidR="006F404B">
        <w:rPr>
          <w:rFonts w:ascii="Arial" w:eastAsia="Times New Roman" w:hAnsi="Arial" w:cs="Arial"/>
          <w:i/>
          <w:sz w:val="24"/>
          <w:szCs w:val="24"/>
          <w:lang w:eastAsia="en-ZA"/>
        </w:rPr>
        <w:t xml:space="preserve"> </w:t>
      </w:r>
      <w:r w:rsidR="00B33A07" w:rsidRPr="00BA4E9F">
        <w:rPr>
          <w:rFonts w:ascii="Arial" w:eastAsia="Times New Roman" w:hAnsi="Arial" w:cs="Arial"/>
          <w:i/>
          <w:sz w:val="24"/>
          <w:szCs w:val="24"/>
          <w:lang w:eastAsia="en-ZA"/>
        </w:rPr>
        <w:t>O and Others</w:t>
      </w:r>
      <w:r w:rsidR="00B33A07" w:rsidRPr="00BA4E9F">
        <w:rPr>
          <w:rFonts w:ascii="Arial" w:eastAsia="Times New Roman" w:hAnsi="Arial" w:cs="Arial"/>
          <w:sz w:val="24"/>
          <w:szCs w:val="24"/>
          <w:lang w:eastAsia="en-ZA"/>
        </w:rPr>
        <w:t xml:space="preserve"> </w:t>
      </w:r>
      <w:r w:rsidR="007E63F8" w:rsidRPr="00BA4E9F">
        <w:rPr>
          <w:rFonts w:ascii="Arial" w:eastAsia="Times New Roman" w:hAnsi="Arial" w:cs="Arial"/>
          <w:sz w:val="24"/>
          <w:szCs w:val="24"/>
          <w:lang w:eastAsia="en-ZA"/>
        </w:rPr>
        <w:t>1996 (3)</w:t>
      </w:r>
      <w:r w:rsidR="002B135F" w:rsidRPr="00BA4E9F">
        <w:rPr>
          <w:rFonts w:ascii="Arial" w:eastAsia="Times New Roman" w:hAnsi="Arial" w:cs="Arial"/>
          <w:sz w:val="24"/>
          <w:szCs w:val="24"/>
          <w:lang w:eastAsia="en-ZA"/>
        </w:rPr>
        <w:t xml:space="preserve"> </w:t>
      </w:r>
      <w:r w:rsidR="007E63F8" w:rsidRPr="00BA4E9F">
        <w:rPr>
          <w:rFonts w:ascii="Arial" w:eastAsia="Times New Roman" w:hAnsi="Arial" w:cs="Arial"/>
          <w:sz w:val="24"/>
          <w:szCs w:val="24"/>
          <w:lang w:eastAsia="en-ZA"/>
        </w:rPr>
        <w:t>SA 732 (W)</w:t>
      </w:r>
      <w:r w:rsidR="00B33A07" w:rsidRPr="00BA4E9F">
        <w:rPr>
          <w:rFonts w:ascii="Arial" w:eastAsia="Times New Roman" w:hAnsi="Arial" w:cs="Arial"/>
          <w:sz w:val="24"/>
          <w:szCs w:val="24"/>
          <w:lang w:eastAsia="en-ZA"/>
        </w:rPr>
        <w:t xml:space="preserve"> </w:t>
      </w:r>
      <w:r w:rsidR="00374BB5" w:rsidRPr="00BA4E9F">
        <w:rPr>
          <w:rFonts w:ascii="Arial" w:eastAsia="Times New Roman" w:hAnsi="Arial" w:cs="Arial"/>
          <w:sz w:val="24"/>
          <w:szCs w:val="24"/>
          <w:lang w:eastAsia="en-ZA"/>
        </w:rPr>
        <w:t xml:space="preserve">where it was </w:t>
      </w:r>
      <w:r w:rsidR="003A392C" w:rsidRPr="00BA4E9F">
        <w:rPr>
          <w:rFonts w:ascii="Arial" w:eastAsia="Times New Roman" w:hAnsi="Arial" w:cs="Arial"/>
          <w:sz w:val="24"/>
          <w:szCs w:val="24"/>
          <w:lang w:eastAsia="en-ZA"/>
        </w:rPr>
        <w:t xml:space="preserve">held that </w:t>
      </w:r>
      <w:r w:rsidR="004E5A8B" w:rsidRPr="00BA4E9F">
        <w:rPr>
          <w:rFonts w:ascii="Arial" w:eastAsia="Times New Roman" w:hAnsi="Arial" w:cs="Arial"/>
          <w:sz w:val="24"/>
          <w:szCs w:val="24"/>
          <w:lang w:eastAsia="en-ZA"/>
        </w:rPr>
        <w:t xml:space="preserve">the Act did not require proof beyond a reasonable doubt </w:t>
      </w:r>
      <w:r w:rsidR="003A51B2" w:rsidRPr="00BA4E9F">
        <w:rPr>
          <w:rFonts w:ascii="Arial" w:eastAsia="Times New Roman" w:hAnsi="Arial" w:cs="Arial"/>
          <w:sz w:val="24"/>
          <w:szCs w:val="24"/>
          <w:lang w:eastAsia="en-ZA"/>
        </w:rPr>
        <w:t xml:space="preserve">and that a judicial officer was not required to </w:t>
      </w:r>
      <w:r w:rsidR="00357008" w:rsidRPr="00BA4E9F">
        <w:rPr>
          <w:rFonts w:ascii="Arial" w:eastAsia="Times New Roman" w:hAnsi="Arial" w:cs="Arial"/>
          <w:sz w:val="24"/>
          <w:szCs w:val="24"/>
          <w:lang w:eastAsia="en-ZA"/>
        </w:rPr>
        <w:t>make findings as to credibility and acceptability of evidence as in a criminal trial.</w:t>
      </w:r>
      <w:r w:rsidR="00113BD9" w:rsidRPr="00BA4E9F">
        <w:rPr>
          <w:rStyle w:val="FootnoteReference"/>
          <w:rFonts w:ascii="Arial" w:eastAsia="Times New Roman" w:hAnsi="Arial" w:cs="Arial"/>
          <w:sz w:val="24"/>
          <w:szCs w:val="24"/>
          <w:lang w:eastAsia="en-ZA"/>
        </w:rPr>
        <w:footnoteReference w:id="1"/>
      </w:r>
      <w:r w:rsidR="007032A7" w:rsidRPr="00BA4E9F">
        <w:rPr>
          <w:rFonts w:ascii="Arial" w:eastAsia="Times New Roman" w:hAnsi="Arial" w:cs="Arial"/>
          <w:sz w:val="24"/>
          <w:szCs w:val="24"/>
          <w:lang w:eastAsia="en-ZA"/>
        </w:rPr>
        <w:t xml:space="preserve"> The </w:t>
      </w:r>
      <w:r w:rsidR="001F2EC0">
        <w:rPr>
          <w:rFonts w:ascii="Arial" w:eastAsia="Times New Roman" w:hAnsi="Arial" w:cs="Arial"/>
          <w:sz w:val="24"/>
          <w:szCs w:val="24"/>
          <w:lang w:eastAsia="en-ZA"/>
        </w:rPr>
        <w:t>M</w:t>
      </w:r>
      <w:r w:rsidR="007032A7" w:rsidRPr="00BA4E9F">
        <w:rPr>
          <w:rFonts w:ascii="Arial" w:eastAsia="Times New Roman" w:hAnsi="Arial" w:cs="Arial"/>
          <w:sz w:val="24"/>
          <w:szCs w:val="24"/>
          <w:lang w:eastAsia="en-ZA"/>
        </w:rPr>
        <w:t>agistrate</w:t>
      </w:r>
      <w:r w:rsidR="00C66551" w:rsidRPr="00BA4E9F">
        <w:rPr>
          <w:rFonts w:ascii="Arial" w:eastAsia="Times New Roman" w:hAnsi="Arial" w:cs="Arial"/>
          <w:sz w:val="24"/>
          <w:szCs w:val="24"/>
          <w:lang w:eastAsia="en-ZA"/>
        </w:rPr>
        <w:t>,</w:t>
      </w:r>
      <w:r w:rsidR="007032A7" w:rsidRPr="00BA4E9F">
        <w:rPr>
          <w:rFonts w:ascii="Arial" w:eastAsia="Times New Roman" w:hAnsi="Arial" w:cs="Arial"/>
          <w:sz w:val="24"/>
          <w:szCs w:val="24"/>
          <w:lang w:eastAsia="en-ZA"/>
        </w:rPr>
        <w:t xml:space="preserve"> </w:t>
      </w:r>
      <w:r w:rsidR="0077165E" w:rsidRPr="00BA4E9F">
        <w:rPr>
          <w:rFonts w:ascii="Arial" w:eastAsia="Times New Roman" w:hAnsi="Arial" w:cs="Arial"/>
          <w:sz w:val="24"/>
          <w:szCs w:val="24"/>
          <w:lang w:eastAsia="en-ZA"/>
        </w:rPr>
        <w:t>somewhat inelegantl</w:t>
      </w:r>
      <w:r w:rsidR="00A204DF" w:rsidRPr="00BA4E9F">
        <w:rPr>
          <w:rFonts w:ascii="Arial" w:eastAsia="Times New Roman" w:hAnsi="Arial" w:cs="Arial"/>
          <w:sz w:val="24"/>
          <w:szCs w:val="24"/>
          <w:lang w:eastAsia="en-ZA"/>
        </w:rPr>
        <w:t xml:space="preserve">y, </w:t>
      </w:r>
      <w:r w:rsidR="007032A7" w:rsidRPr="00BA4E9F">
        <w:rPr>
          <w:rFonts w:ascii="Arial" w:eastAsia="Times New Roman" w:hAnsi="Arial" w:cs="Arial"/>
          <w:sz w:val="24"/>
          <w:szCs w:val="24"/>
          <w:lang w:eastAsia="en-ZA"/>
        </w:rPr>
        <w:t>stated that findin</w:t>
      </w:r>
      <w:r w:rsidR="0077165E" w:rsidRPr="00BA4E9F">
        <w:rPr>
          <w:rFonts w:ascii="Arial" w:eastAsia="Times New Roman" w:hAnsi="Arial" w:cs="Arial"/>
          <w:sz w:val="24"/>
          <w:szCs w:val="24"/>
          <w:lang w:eastAsia="en-ZA"/>
        </w:rPr>
        <w:t>g</w:t>
      </w:r>
      <w:r w:rsidR="007032A7" w:rsidRPr="00BA4E9F">
        <w:rPr>
          <w:rFonts w:ascii="Arial" w:eastAsia="Times New Roman" w:hAnsi="Arial" w:cs="Arial"/>
          <w:sz w:val="24"/>
          <w:szCs w:val="24"/>
          <w:lang w:eastAsia="en-ZA"/>
        </w:rPr>
        <w:t xml:space="preserve">s are to be made on </w:t>
      </w:r>
      <w:r w:rsidR="0077165E" w:rsidRPr="00BA4E9F">
        <w:rPr>
          <w:rFonts w:ascii="Arial" w:eastAsia="Times New Roman" w:hAnsi="Arial" w:cs="Arial"/>
          <w:sz w:val="24"/>
          <w:szCs w:val="24"/>
          <w:lang w:eastAsia="en-ZA"/>
        </w:rPr>
        <w:t>a prima facie basis.</w:t>
      </w:r>
      <w:r w:rsidR="00DE285C">
        <w:rPr>
          <w:rFonts w:ascii="Arial" w:eastAsia="Times New Roman" w:hAnsi="Arial" w:cs="Arial"/>
          <w:sz w:val="24"/>
          <w:szCs w:val="24"/>
          <w:lang w:eastAsia="en-ZA"/>
        </w:rPr>
        <w:t xml:space="preserve"> </w:t>
      </w:r>
      <w:r w:rsidR="00D73176">
        <w:rPr>
          <w:rFonts w:ascii="Arial" w:eastAsia="Times New Roman" w:hAnsi="Arial" w:cs="Arial"/>
          <w:sz w:val="24"/>
          <w:szCs w:val="24"/>
          <w:lang w:eastAsia="en-ZA"/>
        </w:rPr>
        <w:t>In giving</w:t>
      </w:r>
      <w:r w:rsidR="00DE285C">
        <w:rPr>
          <w:rFonts w:ascii="Arial" w:eastAsia="Times New Roman" w:hAnsi="Arial" w:cs="Arial"/>
          <w:sz w:val="24"/>
          <w:szCs w:val="24"/>
          <w:lang w:eastAsia="en-ZA"/>
        </w:rPr>
        <w:t xml:space="preserve"> reasons for her</w:t>
      </w:r>
      <w:r w:rsidR="00A204DF" w:rsidRPr="00BA4E9F">
        <w:rPr>
          <w:rFonts w:ascii="Arial" w:eastAsia="Times New Roman" w:hAnsi="Arial" w:cs="Arial"/>
          <w:sz w:val="24"/>
          <w:szCs w:val="24"/>
          <w:lang w:eastAsia="en-ZA"/>
        </w:rPr>
        <w:t xml:space="preserve"> finding</w:t>
      </w:r>
      <w:r w:rsidR="00632E77" w:rsidRPr="00BA4E9F">
        <w:rPr>
          <w:rFonts w:ascii="Arial" w:eastAsia="Times New Roman" w:hAnsi="Arial" w:cs="Arial"/>
          <w:sz w:val="24"/>
          <w:szCs w:val="24"/>
          <w:lang w:eastAsia="en-ZA"/>
        </w:rPr>
        <w:t>s</w:t>
      </w:r>
      <w:r w:rsidR="00A204DF" w:rsidRPr="00BA4E9F">
        <w:rPr>
          <w:rFonts w:ascii="Arial" w:eastAsia="Times New Roman" w:hAnsi="Arial" w:cs="Arial"/>
          <w:sz w:val="24"/>
          <w:szCs w:val="24"/>
          <w:lang w:eastAsia="en-ZA"/>
        </w:rPr>
        <w:t xml:space="preserve"> </w:t>
      </w:r>
      <w:r w:rsidR="00DE285C">
        <w:rPr>
          <w:rFonts w:ascii="Arial" w:eastAsia="Times New Roman" w:hAnsi="Arial" w:cs="Arial"/>
          <w:sz w:val="24"/>
          <w:szCs w:val="24"/>
          <w:lang w:eastAsia="en-ZA"/>
        </w:rPr>
        <w:t>s</w:t>
      </w:r>
      <w:r w:rsidR="00A204DF" w:rsidRPr="00BA4E9F">
        <w:rPr>
          <w:rFonts w:ascii="Arial" w:eastAsia="Times New Roman" w:hAnsi="Arial" w:cs="Arial"/>
          <w:sz w:val="24"/>
          <w:szCs w:val="24"/>
          <w:lang w:eastAsia="en-ZA"/>
        </w:rPr>
        <w:t xml:space="preserve">he stated that </w:t>
      </w:r>
      <w:r w:rsidR="00593492" w:rsidRPr="00BA4E9F">
        <w:rPr>
          <w:rFonts w:ascii="Arial" w:eastAsia="Times New Roman" w:hAnsi="Arial" w:cs="Arial"/>
          <w:sz w:val="24"/>
          <w:szCs w:val="24"/>
          <w:lang w:eastAsia="en-ZA"/>
        </w:rPr>
        <w:t>the ‘common law offence of culpable homicide, namely the negligent killing of a human being</w:t>
      </w:r>
      <w:r w:rsidR="003A66B1" w:rsidRPr="00BA4E9F">
        <w:rPr>
          <w:rFonts w:ascii="Arial" w:eastAsia="Times New Roman" w:hAnsi="Arial" w:cs="Arial"/>
          <w:sz w:val="24"/>
          <w:szCs w:val="24"/>
          <w:lang w:eastAsia="en-ZA"/>
        </w:rPr>
        <w:t>, is also in issue</w:t>
      </w:r>
      <w:r w:rsidR="00D73176" w:rsidRPr="00BA4E9F">
        <w:rPr>
          <w:rFonts w:ascii="Arial" w:eastAsia="Times New Roman" w:hAnsi="Arial" w:cs="Arial"/>
          <w:sz w:val="24"/>
          <w:szCs w:val="24"/>
          <w:lang w:eastAsia="en-ZA"/>
        </w:rPr>
        <w:t>’</w:t>
      </w:r>
      <w:r w:rsidR="00C66551" w:rsidRPr="00BA4E9F">
        <w:rPr>
          <w:rFonts w:ascii="Arial" w:eastAsia="Times New Roman" w:hAnsi="Arial" w:cs="Arial"/>
          <w:sz w:val="24"/>
          <w:szCs w:val="24"/>
          <w:lang w:eastAsia="en-ZA"/>
        </w:rPr>
        <w:t>.</w:t>
      </w:r>
      <w:r w:rsidR="003A51B2">
        <w:rPr>
          <w:rFonts w:ascii="Arial" w:eastAsia="Times New Roman" w:hAnsi="Arial" w:cs="Arial"/>
          <w:sz w:val="24"/>
          <w:szCs w:val="24"/>
          <w:lang w:eastAsia="en-ZA"/>
        </w:rPr>
        <w:t xml:space="preserve"> </w:t>
      </w:r>
    </w:p>
    <w:p w14:paraId="641C5365" w14:textId="77777777" w:rsidR="003A66B1" w:rsidRDefault="003A66B1" w:rsidP="00FE1093">
      <w:pPr>
        <w:spacing w:line="360" w:lineRule="auto"/>
        <w:contextualSpacing/>
        <w:jc w:val="both"/>
        <w:rPr>
          <w:rFonts w:ascii="Arial" w:eastAsia="Times New Roman" w:hAnsi="Arial" w:cs="Arial"/>
          <w:sz w:val="24"/>
          <w:szCs w:val="24"/>
          <w:lang w:eastAsia="en-ZA"/>
        </w:rPr>
      </w:pPr>
    </w:p>
    <w:p w14:paraId="4FB1EFB6" w14:textId="69C0B4A3" w:rsidR="00617EC3" w:rsidRDefault="003A66B1" w:rsidP="00FE1093">
      <w:pPr>
        <w:spacing w:line="360"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t>[</w:t>
      </w:r>
      <w:r w:rsidR="001541ED">
        <w:rPr>
          <w:rFonts w:ascii="Arial" w:eastAsia="Times New Roman" w:hAnsi="Arial" w:cs="Arial"/>
          <w:sz w:val="24"/>
          <w:szCs w:val="24"/>
          <w:lang w:eastAsia="en-ZA"/>
        </w:rPr>
        <w:t>1</w:t>
      </w:r>
      <w:r w:rsidR="00C601D2">
        <w:rPr>
          <w:rFonts w:ascii="Arial" w:eastAsia="Times New Roman" w:hAnsi="Arial" w:cs="Arial"/>
          <w:sz w:val="24"/>
          <w:szCs w:val="24"/>
          <w:lang w:eastAsia="en-ZA"/>
        </w:rPr>
        <w:t>9</w:t>
      </w:r>
      <w:r>
        <w:rPr>
          <w:rFonts w:ascii="Arial" w:eastAsia="Times New Roman" w:hAnsi="Arial" w:cs="Arial"/>
          <w:sz w:val="24"/>
          <w:szCs w:val="24"/>
          <w:lang w:eastAsia="en-ZA"/>
        </w:rPr>
        <w:t>]</w:t>
      </w:r>
      <w:r>
        <w:rPr>
          <w:rFonts w:ascii="Arial" w:eastAsia="Times New Roman" w:hAnsi="Arial" w:cs="Arial"/>
          <w:sz w:val="24"/>
          <w:szCs w:val="24"/>
          <w:lang w:eastAsia="en-ZA"/>
        </w:rPr>
        <w:tab/>
      </w:r>
      <w:r w:rsidR="00F608AE" w:rsidRPr="00BA4E9F">
        <w:rPr>
          <w:rFonts w:ascii="Arial" w:eastAsia="Times New Roman" w:hAnsi="Arial" w:cs="Arial"/>
          <w:sz w:val="24"/>
          <w:szCs w:val="24"/>
          <w:lang w:eastAsia="en-ZA"/>
        </w:rPr>
        <w:t>The Magistrate recounted the evidence in relation to Vertex</w:t>
      </w:r>
      <w:r w:rsidR="00554BF5" w:rsidRPr="00BA4E9F">
        <w:rPr>
          <w:rFonts w:ascii="Arial" w:eastAsia="Times New Roman" w:hAnsi="Arial" w:cs="Arial"/>
          <w:sz w:val="24"/>
          <w:szCs w:val="24"/>
          <w:lang w:eastAsia="en-ZA"/>
        </w:rPr>
        <w:t>.</w:t>
      </w:r>
      <w:r w:rsidR="00F608AE" w:rsidRPr="00BA4E9F">
        <w:rPr>
          <w:rFonts w:ascii="Arial" w:eastAsia="Times New Roman" w:hAnsi="Arial" w:cs="Arial"/>
          <w:sz w:val="24"/>
          <w:szCs w:val="24"/>
          <w:lang w:eastAsia="en-ZA"/>
        </w:rPr>
        <w:t xml:space="preserve"> </w:t>
      </w:r>
      <w:r w:rsidR="00554BF5" w:rsidRPr="00BA4E9F">
        <w:rPr>
          <w:rFonts w:ascii="Arial" w:eastAsia="Times New Roman" w:hAnsi="Arial" w:cs="Arial"/>
          <w:sz w:val="24"/>
          <w:szCs w:val="24"/>
          <w:lang w:eastAsia="en-ZA"/>
        </w:rPr>
        <w:t>She took into account</w:t>
      </w:r>
      <w:r w:rsidR="00C94627" w:rsidRPr="00BA4E9F">
        <w:rPr>
          <w:rFonts w:ascii="Arial" w:eastAsia="Times New Roman" w:hAnsi="Arial" w:cs="Arial"/>
          <w:sz w:val="24"/>
          <w:szCs w:val="24"/>
          <w:lang w:eastAsia="en-ZA"/>
        </w:rPr>
        <w:t xml:space="preserve"> </w:t>
      </w:r>
      <w:r w:rsidR="00C66551" w:rsidRPr="00BA4E9F">
        <w:rPr>
          <w:rFonts w:ascii="Arial" w:eastAsia="Times New Roman" w:hAnsi="Arial" w:cs="Arial"/>
          <w:sz w:val="24"/>
          <w:szCs w:val="24"/>
          <w:lang w:eastAsia="en-ZA"/>
        </w:rPr>
        <w:t>their disregard for essential</w:t>
      </w:r>
      <w:r w:rsidR="00C02CEC" w:rsidRPr="00BA4E9F">
        <w:rPr>
          <w:rFonts w:ascii="Arial" w:eastAsia="Times New Roman" w:hAnsi="Arial" w:cs="Arial"/>
          <w:sz w:val="24"/>
          <w:szCs w:val="24"/>
          <w:lang w:eastAsia="en-ZA"/>
        </w:rPr>
        <w:t xml:space="preserve"> measures</w:t>
      </w:r>
      <w:r w:rsidR="00C66551" w:rsidRPr="00BA4E9F">
        <w:rPr>
          <w:rFonts w:ascii="Arial" w:eastAsia="Times New Roman" w:hAnsi="Arial" w:cs="Arial"/>
          <w:sz w:val="24"/>
          <w:szCs w:val="24"/>
          <w:lang w:eastAsia="en-ZA"/>
        </w:rPr>
        <w:t>,</w:t>
      </w:r>
      <w:r w:rsidR="00C02CEC" w:rsidRPr="00BA4E9F">
        <w:rPr>
          <w:rFonts w:ascii="Arial" w:eastAsia="Times New Roman" w:hAnsi="Arial" w:cs="Arial"/>
          <w:sz w:val="24"/>
          <w:szCs w:val="24"/>
          <w:lang w:eastAsia="en-ZA"/>
        </w:rPr>
        <w:t xml:space="preserve"> such as securing the towers to a concrete platform and not</w:t>
      </w:r>
      <w:r w:rsidR="000100E5" w:rsidRPr="00BA4E9F">
        <w:rPr>
          <w:rFonts w:ascii="Arial" w:eastAsia="Times New Roman" w:hAnsi="Arial" w:cs="Arial"/>
          <w:sz w:val="24"/>
          <w:szCs w:val="24"/>
          <w:lang w:eastAsia="en-ZA"/>
        </w:rPr>
        <w:t xml:space="preserve"> </w:t>
      </w:r>
      <w:r w:rsidR="0078113E" w:rsidRPr="00BA4E9F">
        <w:rPr>
          <w:rFonts w:ascii="Arial" w:eastAsia="Times New Roman" w:hAnsi="Arial" w:cs="Arial"/>
          <w:sz w:val="24"/>
          <w:szCs w:val="24"/>
          <w:lang w:eastAsia="en-ZA"/>
        </w:rPr>
        <w:t>employing</w:t>
      </w:r>
      <w:r w:rsidR="00C66551" w:rsidRPr="00BA4E9F">
        <w:rPr>
          <w:rFonts w:ascii="Arial" w:eastAsia="Times New Roman" w:hAnsi="Arial" w:cs="Arial"/>
          <w:sz w:val="24"/>
          <w:szCs w:val="24"/>
          <w:lang w:eastAsia="en-ZA"/>
        </w:rPr>
        <w:t xml:space="preserve">, </w:t>
      </w:r>
      <w:r w:rsidR="00C02CEC" w:rsidRPr="00BA4E9F">
        <w:rPr>
          <w:rFonts w:ascii="Arial" w:eastAsia="Times New Roman" w:hAnsi="Arial" w:cs="Arial"/>
          <w:sz w:val="24"/>
          <w:szCs w:val="24"/>
          <w:lang w:eastAsia="en-ZA"/>
        </w:rPr>
        <w:t>as an alternative</w:t>
      </w:r>
      <w:r w:rsidR="00C66551" w:rsidRPr="00BA4E9F">
        <w:rPr>
          <w:rFonts w:ascii="Arial" w:eastAsia="Times New Roman" w:hAnsi="Arial" w:cs="Arial"/>
          <w:sz w:val="24"/>
          <w:szCs w:val="24"/>
          <w:lang w:eastAsia="en-ZA"/>
        </w:rPr>
        <w:t>,</w:t>
      </w:r>
      <w:r w:rsidR="0078113E" w:rsidRPr="00BA4E9F">
        <w:rPr>
          <w:rFonts w:ascii="Arial" w:eastAsia="Times New Roman" w:hAnsi="Arial" w:cs="Arial"/>
          <w:sz w:val="24"/>
          <w:szCs w:val="24"/>
          <w:lang w:eastAsia="en-ZA"/>
        </w:rPr>
        <w:t xml:space="preserve"> the</w:t>
      </w:r>
      <w:r w:rsidR="00C02CEC" w:rsidRPr="00BA4E9F">
        <w:rPr>
          <w:rFonts w:ascii="Arial" w:eastAsia="Times New Roman" w:hAnsi="Arial" w:cs="Arial"/>
          <w:sz w:val="24"/>
          <w:szCs w:val="24"/>
          <w:lang w:eastAsia="en-ZA"/>
        </w:rPr>
        <w:t xml:space="preserve"> us</w:t>
      </w:r>
      <w:r w:rsidR="0078113E" w:rsidRPr="00BA4E9F">
        <w:rPr>
          <w:rFonts w:ascii="Arial" w:eastAsia="Times New Roman" w:hAnsi="Arial" w:cs="Arial"/>
          <w:sz w:val="24"/>
          <w:szCs w:val="24"/>
          <w:lang w:eastAsia="en-ZA"/>
        </w:rPr>
        <w:t xml:space="preserve">e of </w:t>
      </w:r>
      <w:r w:rsidR="00C02CEC" w:rsidRPr="00BA4E9F">
        <w:rPr>
          <w:rFonts w:ascii="Arial" w:eastAsia="Times New Roman" w:hAnsi="Arial" w:cs="Arial"/>
          <w:sz w:val="24"/>
          <w:szCs w:val="24"/>
          <w:lang w:eastAsia="en-ZA"/>
        </w:rPr>
        <w:t xml:space="preserve">weights and steel wires to </w:t>
      </w:r>
      <w:r w:rsidR="000100E5" w:rsidRPr="00BA4E9F">
        <w:rPr>
          <w:rFonts w:ascii="Arial" w:eastAsia="Times New Roman" w:hAnsi="Arial" w:cs="Arial"/>
          <w:sz w:val="24"/>
          <w:szCs w:val="24"/>
          <w:lang w:eastAsia="en-ZA"/>
        </w:rPr>
        <w:t>keep them secure and stable</w:t>
      </w:r>
      <w:r w:rsidR="0078113E" w:rsidRPr="00BA4E9F">
        <w:rPr>
          <w:rFonts w:ascii="Arial" w:eastAsia="Times New Roman" w:hAnsi="Arial" w:cs="Arial"/>
          <w:sz w:val="24"/>
          <w:szCs w:val="24"/>
          <w:lang w:eastAsia="en-ZA"/>
        </w:rPr>
        <w:t xml:space="preserve"> because those items were not in stoc</w:t>
      </w:r>
      <w:r w:rsidR="00C601D2" w:rsidRPr="00BA4E9F">
        <w:rPr>
          <w:rFonts w:ascii="Arial" w:eastAsia="Times New Roman" w:hAnsi="Arial" w:cs="Arial"/>
          <w:sz w:val="24"/>
          <w:szCs w:val="24"/>
          <w:lang w:eastAsia="en-ZA"/>
        </w:rPr>
        <w:t>k</w:t>
      </w:r>
      <w:r w:rsidR="00BC0E80" w:rsidRPr="00BA4E9F">
        <w:rPr>
          <w:rFonts w:ascii="Arial" w:eastAsia="Times New Roman" w:hAnsi="Arial" w:cs="Arial"/>
          <w:sz w:val="24"/>
          <w:szCs w:val="24"/>
          <w:lang w:eastAsia="en-ZA"/>
        </w:rPr>
        <w:t xml:space="preserve">. </w:t>
      </w:r>
      <w:r w:rsidR="000C4755" w:rsidRPr="00BA4E9F">
        <w:rPr>
          <w:rFonts w:ascii="Arial" w:eastAsia="Times New Roman" w:hAnsi="Arial" w:cs="Arial"/>
          <w:sz w:val="24"/>
          <w:szCs w:val="24"/>
          <w:lang w:eastAsia="en-ZA"/>
        </w:rPr>
        <w:t xml:space="preserve">She held </w:t>
      </w:r>
      <w:r w:rsidR="004738F1" w:rsidRPr="00BA4E9F">
        <w:rPr>
          <w:rFonts w:ascii="Arial" w:eastAsia="Times New Roman" w:hAnsi="Arial" w:cs="Arial"/>
          <w:sz w:val="24"/>
          <w:szCs w:val="24"/>
          <w:lang w:eastAsia="en-ZA"/>
        </w:rPr>
        <w:t>that Vertex w</w:t>
      </w:r>
      <w:r w:rsidR="00C601D2" w:rsidRPr="00BA4E9F">
        <w:rPr>
          <w:rFonts w:ascii="Arial" w:eastAsia="Times New Roman" w:hAnsi="Arial" w:cs="Arial"/>
          <w:sz w:val="24"/>
          <w:szCs w:val="24"/>
          <w:lang w:eastAsia="en-ZA"/>
        </w:rPr>
        <w:t>as</w:t>
      </w:r>
      <w:r w:rsidR="004738F1" w:rsidRPr="00BA4E9F">
        <w:rPr>
          <w:rFonts w:ascii="Arial" w:eastAsia="Times New Roman" w:hAnsi="Arial" w:cs="Arial"/>
          <w:sz w:val="24"/>
          <w:szCs w:val="24"/>
          <w:lang w:eastAsia="en-ZA"/>
        </w:rPr>
        <w:t xml:space="preserve"> clearly negligent. Hirt </w:t>
      </w:r>
      <w:r w:rsidR="00F76357" w:rsidRPr="00BA4E9F">
        <w:rPr>
          <w:rFonts w:ascii="Arial" w:eastAsia="Times New Roman" w:hAnsi="Arial" w:cs="Arial"/>
          <w:sz w:val="24"/>
          <w:szCs w:val="24"/>
          <w:lang w:eastAsia="en-ZA"/>
        </w:rPr>
        <w:t>&amp;</w:t>
      </w:r>
      <w:r w:rsidR="004738F1" w:rsidRPr="00BA4E9F">
        <w:rPr>
          <w:rFonts w:ascii="Arial" w:eastAsia="Times New Roman" w:hAnsi="Arial" w:cs="Arial"/>
          <w:sz w:val="24"/>
          <w:szCs w:val="24"/>
          <w:lang w:eastAsia="en-ZA"/>
        </w:rPr>
        <w:t xml:space="preserve"> Carter</w:t>
      </w:r>
      <w:r w:rsidR="00855A87" w:rsidRPr="00BA4E9F">
        <w:rPr>
          <w:rFonts w:ascii="Arial" w:eastAsia="Times New Roman" w:hAnsi="Arial" w:cs="Arial"/>
          <w:sz w:val="24"/>
          <w:szCs w:val="24"/>
          <w:lang w:eastAsia="en-ZA"/>
        </w:rPr>
        <w:t xml:space="preserve"> did not</w:t>
      </w:r>
      <w:r w:rsidR="004738F1" w:rsidRPr="00BA4E9F">
        <w:rPr>
          <w:rFonts w:ascii="Arial" w:eastAsia="Times New Roman" w:hAnsi="Arial" w:cs="Arial"/>
          <w:sz w:val="24"/>
          <w:szCs w:val="24"/>
          <w:lang w:eastAsia="en-ZA"/>
        </w:rPr>
        <w:t xml:space="preserve"> t</w:t>
      </w:r>
      <w:r w:rsidR="00855A87" w:rsidRPr="00BA4E9F">
        <w:rPr>
          <w:rFonts w:ascii="Arial" w:eastAsia="Times New Roman" w:hAnsi="Arial" w:cs="Arial"/>
          <w:sz w:val="24"/>
          <w:szCs w:val="24"/>
          <w:lang w:eastAsia="en-ZA"/>
        </w:rPr>
        <w:t>ake</w:t>
      </w:r>
      <w:r w:rsidR="004738F1" w:rsidRPr="00BA4E9F">
        <w:rPr>
          <w:rFonts w:ascii="Arial" w:eastAsia="Times New Roman" w:hAnsi="Arial" w:cs="Arial"/>
          <w:sz w:val="24"/>
          <w:szCs w:val="24"/>
          <w:lang w:eastAsia="en-ZA"/>
        </w:rPr>
        <w:t xml:space="preserve"> issue with that conclusion</w:t>
      </w:r>
      <w:r w:rsidR="00F76357" w:rsidRPr="00BA4E9F">
        <w:rPr>
          <w:rFonts w:ascii="Arial" w:eastAsia="Times New Roman" w:hAnsi="Arial" w:cs="Arial"/>
          <w:sz w:val="24"/>
          <w:szCs w:val="24"/>
          <w:lang w:eastAsia="en-ZA"/>
        </w:rPr>
        <w:t>.</w:t>
      </w:r>
    </w:p>
    <w:p w14:paraId="2E8F124A" w14:textId="77777777" w:rsidR="00617EC3" w:rsidRDefault="00617EC3" w:rsidP="00FE1093">
      <w:pPr>
        <w:spacing w:line="360" w:lineRule="auto"/>
        <w:contextualSpacing/>
        <w:jc w:val="both"/>
        <w:rPr>
          <w:rFonts w:ascii="Arial" w:eastAsia="Times New Roman" w:hAnsi="Arial" w:cs="Arial"/>
          <w:sz w:val="24"/>
          <w:szCs w:val="24"/>
          <w:lang w:eastAsia="en-ZA"/>
        </w:rPr>
      </w:pPr>
    </w:p>
    <w:p w14:paraId="130A05A9" w14:textId="611D831E" w:rsidR="004738F1" w:rsidRPr="00BA4E9F" w:rsidRDefault="00617EC3" w:rsidP="00FE1093">
      <w:pPr>
        <w:spacing w:line="360"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t>[</w:t>
      </w:r>
      <w:r w:rsidR="00540CA0">
        <w:rPr>
          <w:rFonts w:ascii="Arial" w:eastAsia="Times New Roman" w:hAnsi="Arial" w:cs="Arial"/>
          <w:sz w:val="24"/>
          <w:szCs w:val="24"/>
          <w:lang w:eastAsia="en-ZA"/>
        </w:rPr>
        <w:t>20</w:t>
      </w:r>
      <w:r>
        <w:rPr>
          <w:rFonts w:ascii="Arial" w:eastAsia="Times New Roman" w:hAnsi="Arial" w:cs="Arial"/>
          <w:sz w:val="24"/>
          <w:szCs w:val="24"/>
          <w:lang w:eastAsia="en-ZA"/>
        </w:rPr>
        <w:t>]</w:t>
      </w:r>
      <w:r>
        <w:rPr>
          <w:rFonts w:ascii="Arial" w:eastAsia="Times New Roman" w:hAnsi="Arial" w:cs="Arial"/>
          <w:sz w:val="24"/>
          <w:szCs w:val="24"/>
          <w:lang w:eastAsia="en-ZA"/>
        </w:rPr>
        <w:tab/>
      </w:r>
      <w:r w:rsidRPr="00BA4E9F">
        <w:rPr>
          <w:rFonts w:ascii="Arial" w:eastAsia="Times New Roman" w:hAnsi="Arial" w:cs="Arial"/>
          <w:sz w:val="24"/>
          <w:szCs w:val="24"/>
          <w:lang w:eastAsia="en-ZA"/>
        </w:rPr>
        <w:t xml:space="preserve">In respect of Bothma </w:t>
      </w:r>
      <w:r w:rsidR="00C601D2" w:rsidRPr="00BA4E9F">
        <w:rPr>
          <w:rFonts w:ascii="Arial" w:eastAsia="Times New Roman" w:hAnsi="Arial" w:cs="Arial"/>
          <w:sz w:val="24"/>
          <w:szCs w:val="24"/>
          <w:lang w:eastAsia="en-ZA"/>
        </w:rPr>
        <w:t>S</w:t>
      </w:r>
      <w:r w:rsidRPr="00BA4E9F">
        <w:rPr>
          <w:rFonts w:ascii="Arial" w:eastAsia="Times New Roman" w:hAnsi="Arial" w:cs="Arial"/>
          <w:sz w:val="24"/>
          <w:szCs w:val="24"/>
          <w:lang w:eastAsia="en-ZA"/>
        </w:rPr>
        <w:t>igns</w:t>
      </w:r>
      <w:r w:rsidR="00741BFF" w:rsidRPr="00BA4E9F">
        <w:rPr>
          <w:rFonts w:ascii="Arial" w:eastAsia="Times New Roman" w:hAnsi="Arial" w:cs="Arial"/>
          <w:sz w:val="24"/>
          <w:szCs w:val="24"/>
          <w:lang w:eastAsia="en-ZA"/>
        </w:rPr>
        <w:t>,</w:t>
      </w:r>
      <w:r w:rsidRPr="00BA4E9F">
        <w:rPr>
          <w:rFonts w:ascii="Arial" w:eastAsia="Times New Roman" w:hAnsi="Arial" w:cs="Arial"/>
          <w:sz w:val="24"/>
          <w:szCs w:val="24"/>
          <w:lang w:eastAsia="en-ZA"/>
        </w:rPr>
        <w:t xml:space="preserve"> </w:t>
      </w:r>
      <w:r w:rsidR="00C4568F" w:rsidRPr="00BA4E9F">
        <w:rPr>
          <w:rFonts w:ascii="Arial" w:eastAsia="Times New Roman" w:hAnsi="Arial" w:cs="Arial"/>
          <w:sz w:val="24"/>
          <w:szCs w:val="24"/>
          <w:lang w:eastAsia="en-ZA"/>
        </w:rPr>
        <w:t>the Magistrate considered that they were well aware of the threat posed by the wind in Cape Tow</w:t>
      </w:r>
      <w:r w:rsidR="002847C9" w:rsidRPr="00BA4E9F">
        <w:rPr>
          <w:rFonts w:ascii="Arial" w:eastAsia="Times New Roman" w:hAnsi="Arial" w:cs="Arial"/>
          <w:sz w:val="24"/>
          <w:szCs w:val="24"/>
          <w:lang w:eastAsia="en-ZA"/>
        </w:rPr>
        <w:t xml:space="preserve">n </w:t>
      </w:r>
      <w:r w:rsidR="002847C9" w:rsidRPr="00BA4E9F">
        <w:rPr>
          <w:rFonts w:ascii="Arial" w:eastAsia="Times New Roman" w:hAnsi="Arial" w:cs="Arial"/>
          <w:iCs/>
          <w:sz w:val="24"/>
          <w:szCs w:val="24"/>
          <w:lang w:eastAsia="en-ZA"/>
        </w:rPr>
        <w:t>and</w:t>
      </w:r>
      <w:r w:rsidR="002847C9" w:rsidRPr="00BA4E9F">
        <w:rPr>
          <w:rFonts w:ascii="Arial" w:eastAsia="Times New Roman" w:hAnsi="Arial" w:cs="Arial"/>
          <w:sz w:val="24"/>
          <w:szCs w:val="24"/>
          <w:lang w:eastAsia="en-ZA"/>
        </w:rPr>
        <w:t xml:space="preserve"> that a safety file was required.</w:t>
      </w:r>
      <w:r w:rsidR="00DB1824" w:rsidRPr="00BA4E9F">
        <w:rPr>
          <w:rFonts w:ascii="Arial" w:eastAsia="Times New Roman" w:hAnsi="Arial" w:cs="Arial"/>
          <w:sz w:val="24"/>
          <w:szCs w:val="24"/>
          <w:lang w:eastAsia="en-ZA"/>
        </w:rPr>
        <w:t xml:space="preserve"> Bothma </w:t>
      </w:r>
      <w:r w:rsidR="00A84708" w:rsidRPr="00BA4E9F">
        <w:rPr>
          <w:rFonts w:ascii="Arial" w:eastAsia="Times New Roman" w:hAnsi="Arial" w:cs="Arial"/>
          <w:sz w:val="24"/>
          <w:szCs w:val="24"/>
          <w:lang w:eastAsia="en-ZA"/>
        </w:rPr>
        <w:t>S</w:t>
      </w:r>
      <w:r w:rsidR="00DB1824" w:rsidRPr="00BA4E9F">
        <w:rPr>
          <w:rFonts w:ascii="Arial" w:eastAsia="Times New Roman" w:hAnsi="Arial" w:cs="Arial"/>
          <w:sz w:val="24"/>
          <w:szCs w:val="24"/>
          <w:lang w:eastAsia="en-ZA"/>
        </w:rPr>
        <w:t>igns knew that there had to be a sign-off by a competent person</w:t>
      </w:r>
      <w:r w:rsidR="00E93A3A" w:rsidRPr="00BA4E9F">
        <w:rPr>
          <w:rFonts w:ascii="Arial" w:eastAsia="Times New Roman" w:hAnsi="Arial" w:cs="Arial"/>
          <w:sz w:val="24"/>
          <w:szCs w:val="24"/>
          <w:lang w:eastAsia="en-ZA"/>
        </w:rPr>
        <w:t>.</w:t>
      </w:r>
      <w:r w:rsidR="00741BFF" w:rsidRPr="00BA4E9F">
        <w:rPr>
          <w:rFonts w:ascii="Arial" w:eastAsia="Times New Roman" w:hAnsi="Arial" w:cs="Arial"/>
          <w:sz w:val="24"/>
          <w:szCs w:val="24"/>
          <w:lang w:eastAsia="en-ZA"/>
        </w:rPr>
        <w:t xml:space="preserve"> The Magistrate held it against</w:t>
      </w:r>
      <w:r w:rsidR="00E93A3A" w:rsidRPr="00BA4E9F">
        <w:rPr>
          <w:rFonts w:ascii="Arial" w:eastAsia="Times New Roman" w:hAnsi="Arial" w:cs="Arial"/>
          <w:sz w:val="24"/>
          <w:szCs w:val="24"/>
          <w:lang w:eastAsia="en-ZA"/>
        </w:rPr>
        <w:t xml:space="preserve"> </w:t>
      </w:r>
      <w:r w:rsidR="003664D8" w:rsidRPr="00BA4E9F">
        <w:rPr>
          <w:rFonts w:ascii="Arial" w:eastAsia="Times New Roman" w:hAnsi="Arial" w:cs="Arial"/>
          <w:sz w:val="24"/>
          <w:szCs w:val="24"/>
          <w:lang w:eastAsia="en-ZA"/>
        </w:rPr>
        <w:t>Bothma</w:t>
      </w:r>
      <w:r w:rsidR="005E7F10">
        <w:rPr>
          <w:rFonts w:ascii="Arial" w:eastAsia="Times New Roman" w:hAnsi="Arial" w:cs="Arial"/>
          <w:sz w:val="24"/>
          <w:szCs w:val="24"/>
          <w:lang w:eastAsia="en-ZA"/>
        </w:rPr>
        <w:t xml:space="preserve"> Signs</w:t>
      </w:r>
      <w:r w:rsidR="003664D8" w:rsidRPr="00BA4E9F">
        <w:rPr>
          <w:rFonts w:ascii="Arial" w:eastAsia="Times New Roman" w:hAnsi="Arial" w:cs="Arial"/>
          <w:sz w:val="24"/>
          <w:szCs w:val="24"/>
          <w:lang w:eastAsia="en-ZA"/>
        </w:rPr>
        <w:t xml:space="preserve"> that they did not even check the security file to confirm that fact. The sign-off was by workmen from Vertex</w:t>
      </w:r>
      <w:r w:rsidR="004738F1" w:rsidRPr="00BA4E9F">
        <w:rPr>
          <w:rFonts w:ascii="Arial" w:eastAsia="Times New Roman" w:hAnsi="Arial" w:cs="Arial"/>
          <w:sz w:val="24"/>
          <w:szCs w:val="24"/>
          <w:lang w:eastAsia="en-ZA"/>
        </w:rPr>
        <w:t xml:space="preserve"> </w:t>
      </w:r>
      <w:r w:rsidR="003664D8" w:rsidRPr="00BA4E9F">
        <w:rPr>
          <w:rFonts w:ascii="Arial" w:eastAsia="Times New Roman" w:hAnsi="Arial" w:cs="Arial"/>
          <w:sz w:val="24"/>
          <w:szCs w:val="24"/>
          <w:lang w:eastAsia="en-ZA"/>
        </w:rPr>
        <w:t>who did not hold a professional qualification</w:t>
      </w:r>
      <w:r w:rsidR="004332D5" w:rsidRPr="00BA4E9F">
        <w:rPr>
          <w:rFonts w:ascii="Arial" w:eastAsia="Times New Roman" w:hAnsi="Arial" w:cs="Arial"/>
          <w:sz w:val="24"/>
          <w:szCs w:val="24"/>
          <w:lang w:eastAsia="en-ZA"/>
        </w:rPr>
        <w:t>. They had</w:t>
      </w:r>
      <w:r w:rsidR="009127E8" w:rsidRPr="00BA4E9F">
        <w:rPr>
          <w:rFonts w:ascii="Arial" w:eastAsia="Times New Roman" w:hAnsi="Arial" w:cs="Arial"/>
          <w:sz w:val="24"/>
          <w:szCs w:val="24"/>
          <w:lang w:eastAsia="en-ZA"/>
        </w:rPr>
        <w:t xml:space="preserve"> only</w:t>
      </w:r>
      <w:r w:rsidR="004332D5" w:rsidRPr="00BA4E9F">
        <w:rPr>
          <w:rFonts w:ascii="Arial" w:eastAsia="Times New Roman" w:hAnsi="Arial" w:cs="Arial"/>
          <w:sz w:val="24"/>
          <w:szCs w:val="24"/>
          <w:lang w:eastAsia="en-ZA"/>
        </w:rPr>
        <w:t xml:space="preserve"> received</w:t>
      </w:r>
      <w:r w:rsidR="003664D8" w:rsidRPr="00BA4E9F">
        <w:rPr>
          <w:rFonts w:ascii="Arial" w:eastAsia="Times New Roman" w:hAnsi="Arial" w:cs="Arial"/>
          <w:sz w:val="24"/>
          <w:szCs w:val="24"/>
          <w:lang w:eastAsia="en-ZA"/>
        </w:rPr>
        <w:t xml:space="preserve"> train</w:t>
      </w:r>
      <w:r w:rsidR="004332D5" w:rsidRPr="00BA4E9F">
        <w:rPr>
          <w:rFonts w:ascii="Arial" w:eastAsia="Times New Roman" w:hAnsi="Arial" w:cs="Arial"/>
          <w:sz w:val="24"/>
          <w:szCs w:val="24"/>
          <w:lang w:eastAsia="en-ZA"/>
        </w:rPr>
        <w:t>ing</w:t>
      </w:r>
      <w:r w:rsidR="003664D8" w:rsidRPr="00BA4E9F">
        <w:rPr>
          <w:rFonts w:ascii="Arial" w:eastAsia="Times New Roman" w:hAnsi="Arial" w:cs="Arial"/>
          <w:sz w:val="24"/>
          <w:szCs w:val="24"/>
          <w:lang w:eastAsia="en-ZA"/>
        </w:rPr>
        <w:t xml:space="preserve"> by the owner</w:t>
      </w:r>
      <w:r w:rsidR="004332D5" w:rsidRPr="00BA4E9F">
        <w:rPr>
          <w:rFonts w:ascii="Arial" w:eastAsia="Times New Roman" w:hAnsi="Arial" w:cs="Arial"/>
          <w:sz w:val="24"/>
          <w:szCs w:val="24"/>
          <w:lang w:eastAsia="en-ZA"/>
        </w:rPr>
        <w:t xml:space="preserve"> of Vertex</w:t>
      </w:r>
      <w:r w:rsidR="003664D8" w:rsidRPr="00BA4E9F">
        <w:rPr>
          <w:rFonts w:ascii="Arial" w:eastAsia="Times New Roman" w:hAnsi="Arial" w:cs="Arial"/>
          <w:sz w:val="24"/>
          <w:szCs w:val="24"/>
          <w:lang w:eastAsia="en-ZA"/>
        </w:rPr>
        <w:t>. They were the persons who constructed the towers without safety features.</w:t>
      </w:r>
      <w:r w:rsidR="005E7F10">
        <w:rPr>
          <w:rFonts w:ascii="Arial" w:eastAsia="Times New Roman" w:hAnsi="Arial" w:cs="Arial"/>
          <w:sz w:val="24"/>
          <w:szCs w:val="24"/>
          <w:lang w:eastAsia="en-ZA"/>
        </w:rPr>
        <w:t xml:space="preserve"> Sh</w:t>
      </w:r>
      <w:r w:rsidR="004C0AFB" w:rsidRPr="00BA4E9F">
        <w:rPr>
          <w:rFonts w:ascii="Arial" w:eastAsia="Times New Roman" w:hAnsi="Arial" w:cs="Arial"/>
          <w:sz w:val="24"/>
          <w:szCs w:val="24"/>
          <w:lang w:eastAsia="en-ZA"/>
        </w:rPr>
        <w:t>e concluded that they had been negligent. This conclusion too</w:t>
      </w:r>
      <w:r w:rsidR="00EE08F2">
        <w:rPr>
          <w:rFonts w:ascii="Arial" w:eastAsia="Times New Roman" w:hAnsi="Arial" w:cs="Arial"/>
          <w:sz w:val="24"/>
          <w:szCs w:val="24"/>
          <w:lang w:eastAsia="en-ZA"/>
        </w:rPr>
        <w:t>,</w:t>
      </w:r>
      <w:r w:rsidR="004C0AFB" w:rsidRPr="00BA4E9F">
        <w:rPr>
          <w:rFonts w:ascii="Arial" w:eastAsia="Times New Roman" w:hAnsi="Arial" w:cs="Arial"/>
          <w:sz w:val="24"/>
          <w:szCs w:val="24"/>
          <w:lang w:eastAsia="en-ZA"/>
        </w:rPr>
        <w:t xml:space="preserve"> I did not understand </w:t>
      </w:r>
      <w:r w:rsidR="00482CC5" w:rsidRPr="00BA4E9F">
        <w:rPr>
          <w:rFonts w:ascii="Arial" w:eastAsia="Times New Roman" w:hAnsi="Arial" w:cs="Arial"/>
          <w:sz w:val="24"/>
          <w:szCs w:val="24"/>
          <w:lang w:eastAsia="en-ZA"/>
        </w:rPr>
        <w:t>Hirt</w:t>
      </w:r>
      <w:r w:rsidR="00EE08F2">
        <w:rPr>
          <w:rFonts w:ascii="Arial" w:eastAsia="Times New Roman" w:hAnsi="Arial" w:cs="Arial"/>
          <w:sz w:val="24"/>
          <w:szCs w:val="24"/>
          <w:lang w:eastAsia="en-ZA"/>
        </w:rPr>
        <w:t> </w:t>
      </w:r>
      <w:r w:rsidR="00F76357" w:rsidRPr="00BA4E9F">
        <w:rPr>
          <w:rFonts w:ascii="Arial" w:eastAsia="Times New Roman" w:hAnsi="Arial" w:cs="Arial"/>
          <w:sz w:val="24"/>
          <w:szCs w:val="24"/>
          <w:lang w:eastAsia="en-ZA"/>
        </w:rPr>
        <w:t>&amp;</w:t>
      </w:r>
      <w:r w:rsidR="00482CC5" w:rsidRPr="00BA4E9F">
        <w:rPr>
          <w:rFonts w:ascii="Arial" w:eastAsia="Times New Roman" w:hAnsi="Arial" w:cs="Arial"/>
          <w:sz w:val="24"/>
          <w:szCs w:val="24"/>
          <w:lang w:eastAsia="en-ZA"/>
        </w:rPr>
        <w:t xml:space="preserve"> Car</w:t>
      </w:r>
      <w:r w:rsidR="00540CA0" w:rsidRPr="00BA4E9F">
        <w:rPr>
          <w:rFonts w:ascii="Arial" w:eastAsia="Times New Roman" w:hAnsi="Arial" w:cs="Arial"/>
          <w:sz w:val="24"/>
          <w:szCs w:val="24"/>
          <w:lang w:eastAsia="en-ZA"/>
        </w:rPr>
        <w:t>t</w:t>
      </w:r>
      <w:r w:rsidR="00482CC5" w:rsidRPr="00BA4E9F">
        <w:rPr>
          <w:rFonts w:ascii="Arial" w:eastAsia="Times New Roman" w:hAnsi="Arial" w:cs="Arial"/>
          <w:sz w:val="24"/>
          <w:szCs w:val="24"/>
          <w:lang w:eastAsia="en-ZA"/>
        </w:rPr>
        <w:t>er to contest.</w:t>
      </w:r>
    </w:p>
    <w:p w14:paraId="7BA198B2" w14:textId="016BD24A" w:rsidR="00482CC5" w:rsidRPr="00BA4E9F" w:rsidRDefault="00482CC5" w:rsidP="00FE1093">
      <w:pPr>
        <w:spacing w:line="360" w:lineRule="auto"/>
        <w:contextualSpacing/>
        <w:jc w:val="both"/>
        <w:rPr>
          <w:rFonts w:ascii="Arial" w:eastAsia="Times New Roman" w:hAnsi="Arial" w:cs="Arial"/>
          <w:sz w:val="24"/>
          <w:szCs w:val="24"/>
          <w:lang w:eastAsia="en-ZA"/>
        </w:rPr>
      </w:pPr>
    </w:p>
    <w:p w14:paraId="206F0A78" w14:textId="76C8A452" w:rsidR="00482CC5" w:rsidRDefault="00482CC5" w:rsidP="00FE1093">
      <w:pPr>
        <w:spacing w:line="360" w:lineRule="auto"/>
        <w:contextualSpacing/>
        <w:jc w:val="both"/>
        <w:rPr>
          <w:rFonts w:ascii="Arial" w:eastAsia="Times New Roman" w:hAnsi="Arial" w:cs="Arial"/>
          <w:sz w:val="24"/>
          <w:szCs w:val="24"/>
          <w:lang w:eastAsia="en-ZA"/>
        </w:rPr>
      </w:pPr>
      <w:r w:rsidRPr="00E36A9F">
        <w:rPr>
          <w:rFonts w:ascii="Arial" w:eastAsia="Times New Roman" w:hAnsi="Arial" w:cs="Arial"/>
          <w:sz w:val="24"/>
          <w:szCs w:val="24"/>
          <w:lang w:eastAsia="en-ZA"/>
        </w:rPr>
        <w:t>[</w:t>
      </w:r>
      <w:r w:rsidR="00B06427" w:rsidRPr="00E36A9F">
        <w:rPr>
          <w:rFonts w:ascii="Arial" w:eastAsia="Times New Roman" w:hAnsi="Arial" w:cs="Arial"/>
          <w:sz w:val="24"/>
          <w:szCs w:val="24"/>
          <w:lang w:eastAsia="en-ZA"/>
        </w:rPr>
        <w:t>2</w:t>
      </w:r>
      <w:r w:rsidR="00540CA0" w:rsidRPr="00E36A9F">
        <w:rPr>
          <w:rFonts w:ascii="Arial" w:eastAsia="Times New Roman" w:hAnsi="Arial" w:cs="Arial"/>
          <w:sz w:val="24"/>
          <w:szCs w:val="24"/>
          <w:lang w:eastAsia="en-ZA"/>
        </w:rPr>
        <w:t>1</w:t>
      </w:r>
      <w:r w:rsidRPr="00E36A9F">
        <w:rPr>
          <w:rFonts w:ascii="Arial" w:eastAsia="Times New Roman" w:hAnsi="Arial" w:cs="Arial"/>
          <w:sz w:val="24"/>
          <w:szCs w:val="24"/>
          <w:lang w:eastAsia="en-ZA"/>
        </w:rPr>
        <w:t>]</w:t>
      </w:r>
      <w:r w:rsidRPr="00E36A9F">
        <w:rPr>
          <w:rFonts w:ascii="Arial" w:eastAsia="Times New Roman" w:hAnsi="Arial" w:cs="Arial"/>
          <w:sz w:val="24"/>
          <w:szCs w:val="24"/>
          <w:lang w:eastAsia="en-ZA"/>
        </w:rPr>
        <w:tab/>
        <w:t xml:space="preserve">In so far as </w:t>
      </w:r>
      <w:r w:rsidR="005E7F10" w:rsidRPr="00E36A9F">
        <w:rPr>
          <w:rFonts w:ascii="Arial" w:eastAsia="Times New Roman" w:hAnsi="Arial" w:cs="Arial"/>
          <w:sz w:val="24"/>
          <w:szCs w:val="24"/>
          <w:lang w:eastAsia="en-ZA"/>
        </w:rPr>
        <w:t xml:space="preserve">Mr </w:t>
      </w:r>
      <w:r w:rsidRPr="00E36A9F">
        <w:rPr>
          <w:rFonts w:ascii="Arial" w:eastAsia="Times New Roman" w:hAnsi="Arial" w:cs="Arial"/>
          <w:sz w:val="24"/>
          <w:szCs w:val="24"/>
          <w:lang w:eastAsia="en-ZA"/>
        </w:rPr>
        <w:t>Olwage was concerned</w:t>
      </w:r>
      <w:r w:rsidR="00F76357" w:rsidRPr="00E36A9F">
        <w:rPr>
          <w:rFonts w:ascii="Arial" w:eastAsia="Times New Roman" w:hAnsi="Arial" w:cs="Arial"/>
          <w:sz w:val="24"/>
          <w:szCs w:val="24"/>
          <w:lang w:eastAsia="en-ZA"/>
        </w:rPr>
        <w:t>,</w:t>
      </w:r>
      <w:r w:rsidRPr="00E36A9F">
        <w:rPr>
          <w:rFonts w:ascii="Arial" w:eastAsia="Times New Roman" w:hAnsi="Arial" w:cs="Arial"/>
          <w:sz w:val="24"/>
          <w:szCs w:val="24"/>
          <w:lang w:eastAsia="en-ZA"/>
        </w:rPr>
        <w:t xml:space="preserve"> the Magistra</w:t>
      </w:r>
      <w:r w:rsidR="00540CA0" w:rsidRPr="00E36A9F">
        <w:rPr>
          <w:rFonts w:ascii="Arial" w:eastAsia="Times New Roman" w:hAnsi="Arial" w:cs="Arial"/>
          <w:sz w:val="24"/>
          <w:szCs w:val="24"/>
          <w:lang w:eastAsia="en-ZA"/>
        </w:rPr>
        <w:t>t</w:t>
      </w:r>
      <w:r w:rsidRPr="00E36A9F">
        <w:rPr>
          <w:rFonts w:ascii="Arial" w:eastAsia="Times New Roman" w:hAnsi="Arial" w:cs="Arial"/>
          <w:sz w:val="24"/>
          <w:szCs w:val="24"/>
          <w:lang w:eastAsia="en-ZA"/>
        </w:rPr>
        <w:t>e took</w:t>
      </w:r>
      <w:r w:rsidR="007767DF" w:rsidRPr="00E36A9F">
        <w:rPr>
          <w:rFonts w:ascii="Arial" w:eastAsia="Times New Roman" w:hAnsi="Arial" w:cs="Arial"/>
          <w:sz w:val="24"/>
          <w:szCs w:val="24"/>
          <w:lang w:eastAsia="en-ZA"/>
        </w:rPr>
        <w:t xml:space="preserve"> into account what is set out</w:t>
      </w:r>
      <w:r w:rsidRPr="00E36A9F">
        <w:rPr>
          <w:rFonts w:ascii="Arial" w:eastAsia="Times New Roman" w:hAnsi="Arial" w:cs="Arial"/>
          <w:sz w:val="24"/>
          <w:szCs w:val="24"/>
          <w:lang w:eastAsia="en-ZA"/>
        </w:rPr>
        <w:t xml:space="preserve"> about him</w:t>
      </w:r>
      <w:r w:rsidR="00741BFF" w:rsidRPr="00E36A9F">
        <w:rPr>
          <w:rFonts w:ascii="Arial" w:eastAsia="Times New Roman" w:hAnsi="Arial" w:cs="Arial"/>
          <w:sz w:val="24"/>
          <w:szCs w:val="24"/>
          <w:lang w:eastAsia="en-ZA"/>
        </w:rPr>
        <w:t xml:space="preserve"> </w:t>
      </w:r>
      <w:r w:rsidRPr="00E36A9F">
        <w:rPr>
          <w:rFonts w:ascii="Arial" w:eastAsia="Times New Roman" w:hAnsi="Arial" w:cs="Arial"/>
          <w:sz w:val="24"/>
          <w:szCs w:val="24"/>
          <w:lang w:eastAsia="en-ZA"/>
        </w:rPr>
        <w:t>above</w:t>
      </w:r>
      <w:r w:rsidR="008A11F3" w:rsidRPr="00E36A9F">
        <w:rPr>
          <w:rFonts w:ascii="Arial" w:eastAsia="Times New Roman" w:hAnsi="Arial" w:cs="Arial"/>
          <w:sz w:val="24"/>
          <w:szCs w:val="24"/>
          <w:lang w:eastAsia="en-ZA"/>
        </w:rPr>
        <w:t>,</w:t>
      </w:r>
      <w:r w:rsidRPr="00E36A9F">
        <w:rPr>
          <w:rFonts w:ascii="Arial" w:eastAsia="Times New Roman" w:hAnsi="Arial" w:cs="Arial"/>
          <w:sz w:val="24"/>
          <w:szCs w:val="24"/>
          <w:lang w:eastAsia="en-ZA"/>
        </w:rPr>
        <w:t xml:space="preserve"> and held </w:t>
      </w:r>
      <w:r w:rsidR="009B7828" w:rsidRPr="00E36A9F">
        <w:rPr>
          <w:rFonts w:ascii="Arial" w:eastAsia="Times New Roman" w:hAnsi="Arial" w:cs="Arial"/>
          <w:sz w:val="24"/>
          <w:szCs w:val="24"/>
          <w:lang w:eastAsia="en-ZA"/>
        </w:rPr>
        <w:t xml:space="preserve">that Hirt </w:t>
      </w:r>
      <w:r w:rsidR="00F76357" w:rsidRPr="00E36A9F">
        <w:rPr>
          <w:rFonts w:ascii="Arial" w:eastAsia="Times New Roman" w:hAnsi="Arial" w:cs="Arial"/>
          <w:sz w:val="24"/>
          <w:szCs w:val="24"/>
          <w:lang w:eastAsia="en-ZA"/>
        </w:rPr>
        <w:t>&amp;</w:t>
      </w:r>
      <w:r w:rsidR="009B7828" w:rsidRPr="00E36A9F">
        <w:rPr>
          <w:rFonts w:ascii="Arial" w:eastAsia="Times New Roman" w:hAnsi="Arial" w:cs="Arial"/>
          <w:sz w:val="24"/>
          <w:szCs w:val="24"/>
          <w:lang w:eastAsia="en-ZA"/>
        </w:rPr>
        <w:t xml:space="preserve"> Carter was not</w:t>
      </w:r>
      <w:r w:rsidR="00875C4E" w:rsidRPr="00E36A9F">
        <w:rPr>
          <w:rFonts w:ascii="Arial" w:eastAsia="Times New Roman" w:hAnsi="Arial" w:cs="Arial"/>
          <w:sz w:val="24"/>
          <w:szCs w:val="24"/>
          <w:lang w:eastAsia="en-ZA"/>
        </w:rPr>
        <w:t>, in light thereof,</w:t>
      </w:r>
      <w:r w:rsidR="009B7828" w:rsidRPr="00E36A9F">
        <w:rPr>
          <w:rFonts w:ascii="Arial" w:eastAsia="Times New Roman" w:hAnsi="Arial" w:cs="Arial"/>
          <w:sz w:val="24"/>
          <w:szCs w:val="24"/>
          <w:lang w:eastAsia="en-ZA"/>
        </w:rPr>
        <w:t xml:space="preserve"> entitled to </w:t>
      </w:r>
      <w:r w:rsidR="005E7F10" w:rsidRPr="00E36A9F">
        <w:rPr>
          <w:rFonts w:ascii="Arial" w:eastAsia="Times New Roman" w:hAnsi="Arial" w:cs="Arial"/>
          <w:sz w:val="24"/>
          <w:szCs w:val="24"/>
          <w:lang w:eastAsia="en-ZA"/>
        </w:rPr>
        <w:t>rely on assurances from Bothma S</w:t>
      </w:r>
      <w:r w:rsidR="009B7828" w:rsidRPr="00E36A9F">
        <w:rPr>
          <w:rFonts w:ascii="Arial" w:eastAsia="Times New Roman" w:hAnsi="Arial" w:cs="Arial"/>
          <w:sz w:val="24"/>
          <w:szCs w:val="24"/>
          <w:lang w:eastAsia="en-ZA"/>
        </w:rPr>
        <w:t>igns</w:t>
      </w:r>
      <w:r w:rsidR="00875C4E" w:rsidRPr="00E36A9F">
        <w:rPr>
          <w:rFonts w:ascii="Arial" w:eastAsia="Times New Roman" w:hAnsi="Arial" w:cs="Arial"/>
          <w:sz w:val="24"/>
          <w:szCs w:val="24"/>
          <w:lang w:eastAsia="en-ZA"/>
        </w:rPr>
        <w:t>.</w:t>
      </w:r>
    </w:p>
    <w:p w14:paraId="0103F546" w14:textId="0FE5417E" w:rsidR="00D36195" w:rsidRDefault="00D36195" w:rsidP="00FE1093">
      <w:pPr>
        <w:spacing w:line="360" w:lineRule="auto"/>
        <w:contextualSpacing/>
        <w:jc w:val="both"/>
        <w:rPr>
          <w:rFonts w:ascii="Arial" w:eastAsia="Times New Roman" w:hAnsi="Arial" w:cs="Arial"/>
          <w:sz w:val="24"/>
          <w:szCs w:val="24"/>
          <w:lang w:eastAsia="en-ZA"/>
        </w:rPr>
      </w:pPr>
    </w:p>
    <w:p w14:paraId="2C05B197" w14:textId="3CAE6E2F" w:rsidR="00746711" w:rsidRPr="00BA4E9F" w:rsidRDefault="00D36195" w:rsidP="00FE1093">
      <w:pPr>
        <w:spacing w:line="360"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lastRenderedPageBreak/>
        <w:t>[2</w:t>
      </w:r>
      <w:r w:rsidR="00730AF0">
        <w:rPr>
          <w:rFonts w:ascii="Arial" w:eastAsia="Times New Roman" w:hAnsi="Arial" w:cs="Arial"/>
          <w:sz w:val="24"/>
          <w:szCs w:val="24"/>
          <w:lang w:eastAsia="en-ZA"/>
        </w:rPr>
        <w:t>2</w:t>
      </w:r>
      <w:r>
        <w:rPr>
          <w:rFonts w:ascii="Arial" w:eastAsia="Times New Roman" w:hAnsi="Arial" w:cs="Arial"/>
          <w:sz w:val="24"/>
          <w:szCs w:val="24"/>
          <w:lang w:eastAsia="en-ZA"/>
        </w:rPr>
        <w:t>]</w:t>
      </w:r>
      <w:r>
        <w:rPr>
          <w:rFonts w:ascii="Arial" w:eastAsia="Times New Roman" w:hAnsi="Arial" w:cs="Arial"/>
          <w:sz w:val="24"/>
          <w:szCs w:val="24"/>
          <w:lang w:eastAsia="en-ZA"/>
        </w:rPr>
        <w:tab/>
      </w:r>
      <w:r w:rsidRPr="00BA4E9F">
        <w:rPr>
          <w:rFonts w:ascii="Arial" w:eastAsia="Times New Roman" w:hAnsi="Arial" w:cs="Arial"/>
          <w:sz w:val="24"/>
          <w:szCs w:val="24"/>
          <w:lang w:eastAsia="en-ZA"/>
        </w:rPr>
        <w:t xml:space="preserve">The Magistrate exonerated </w:t>
      </w:r>
      <w:r w:rsidR="00891740" w:rsidRPr="00BA4E9F">
        <w:rPr>
          <w:rFonts w:ascii="Arial" w:eastAsia="Times New Roman" w:hAnsi="Arial" w:cs="Arial"/>
          <w:sz w:val="24"/>
          <w:szCs w:val="24"/>
          <w:lang w:eastAsia="en-ZA"/>
        </w:rPr>
        <w:t>th</w:t>
      </w:r>
      <w:r w:rsidR="00741BFF" w:rsidRPr="00BA4E9F">
        <w:rPr>
          <w:rFonts w:ascii="Arial" w:eastAsia="Times New Roman" w:hAnsi="Arial" w:cs="Arial"/>
          <w:sz w:val="24"/>
          <w:szCs w:val="24"/>
          <w:lang w:eastAsia="en-ZA"/>
        </w:rPr>
        <w:t>e South African Police Services</w:t>
      </w:r>
      <w:r w:rsidR="00891740" w:rsidRPr="00BA4E9F">
        <w:rPr>
          <w:rFonts w:ascii="Arial" w:eastAsia="Times New Roman" w:hAnsi="Arial" w:cs="Arial"/>
          <w:sz w:val="24"/>
          <w:szCs w:val="24"/>
          <w:lang w:eastAsia="en-ZA"/>
        </w:rPr>
        <w:t>, the City of Cape</w:t>
      </w:r>
      <w:r w:rsidR="00EE08F2">
        <w:rPr>
          <w:rFonts w:ascii="Arial" w:eastAsia="Times New Roman" w:hAnsi="Arial" w:cs="Arial"/>
          <w:sz w:val="24"/>
          <w:szCs w:val="24"/>
          <w:lang w:eastAsia="en-ZA"/>
        </w:rPr>
        <w:t> </w:t>
      </w:r>
      <w:r w:rsidR="00891740" w:rsidRPr="00BA4E9F">
        <w:rPr>
          <w:rFonts w:ascii="Arial" w:eastAsia="Times New Roman" w:hAnsi="Arial" w:cs="Arial"/>
          <w:sz w:val="24"/>
          <w:szCs w:val="24"/>
          <w:lang w:eastAsia="en-ZA"/>
        </w:rPr>
        <w:t>Town,</w:t>
      </w:r>
      <w:r w:rsidR="005265F6" w:rsidRPr="00BA4E9F">
        <w:rPr>
          <w:rFonts w:ascii="Arial" w:eastAsia="Times New Roman" w:hAnsi="Arial" w:cs="Arial"/>
          <w:sz w:val="24"/>
          <w:szCs w:val="24"/>
          <w:lang w:eastAsia="en-ZA"/>
        </w:rPr>
        <w:t xml:space="preserve"> Sound</w:t>
      </w:r>
      <w:r w:rsidR="00891740" w:rsidRPr="00BA4E9F">
        <w:rPr>
          <w:rFonts w:ascii="Arial" w:eastAsia="Times New Roman" w:hAnsi="Arial" w:cs="Arial"/>
          <w:sz w:val="24"/>
          <w:szCs w:val="24"/>
          <w:lang w:eastAsia="en-ZA"/>
        </w:rPr>
        <w:t xml:space="preserve"> </w:t>
      </w:r>
      <w:r w:rsidR="005265F6" w:rsidRPr="00BA4E9F">
        <w:rPr>
          <w:rFonts w:ascii="Arial" w:eastAsia="Times New Roman" w:hAnsi="Arial" w:cs="Arial"/>
          <w:sz w:val="24"/>
          <w:szCs w:val="24"/>
          <w:lang w:eastAsia="en-ZA"/>
        </w:rPr>
        <w:t>M</w:t>
      </w:r>
      <w:r w:rsidR="00891740" w:rsidRPr="00BA4E9F">
        <w:rPr>
          <w:rFonts w:ascii="Arial" w:eastAsia="Times New Roman" w:hAnsi="Arial" w:cs="Arial"/>
          <w:sz w:val="24"/>
          <w:szCs w:val="24"/>
          <w:lang w:eastAsia="en-ZA"/>
        </w:rPr>
        <w:t>edia</w:t>
      </w:r>
      <w:r w:rsidR="00E8204F" w:rsidRPr="00BA4E9F">
        <w:rPr>
          <w:rFonts w:ascii="Arial" w:eastAsia="Times New Roman" w:hAnsi="Arial" w:cs="Arial"/>
          <w:sz w:val="24"/>
          <w:szCs w:val="24"/>
          <w:lang w:eastAsia="en-ZA"/>
        </w:rPr>
        <w:t>,</w:t>
      </w:r>
      <w:r w:rsidR="00D974C5" w:rsidRPr="00BA4E9F">
        <w:rPr>
          <w:rFonts w:ascii="Arial" w:eastAsia="Times New Roman" w:hAnsi="Arial" w:cs="Arial"/>
          <w:sz w:val="24"/>
          <w:szCs w:val="24"/>
          <w:lang w:eastAsia="en-ZA"/>
        </w:rPr>
        <w:t xml:space="preserve"> Big </w:t>
      </w:r>
      <w:r w:rsidR="00AA4D78">
        <w:rPr>
          <w:rFonts w:ascii="Arial" w:eastAsia="Times New Roman" w:hAnsi="Arial" w:cs="Arial"/>
          <w:sz w:val="24"/>
          <w:szCs w:val="24"/>
          <w:lang w:eastAsia="en-ZA"/>
        </w:rPr>
        <w:t>C</w:t>
      </w:r>
      <w:r w:rsidR="00D974C5" w:rsidRPr="00BA4E9F">
        <w:rPr>
          <w:rFonts w:ascii="Arial" w:eastAsia="Times New Roman" w:hAnsi="Arial" w:cs="Arial"/>
          <w:sz w:val="24"/>
          <w:szCs w:val="24"/>
          <w:lang w:eastAsia="en-ZA"/>
        </w:rPr>
        <w:t>oncerts</w:t>
      </w:r>
      <w:r w:rsidR="001E07F1" w:rsidRPr="00BA4E9F">
        <w:rPr>
          <w:rFonts w:ascii="Arial" w:eastAsia="Times New Roman" w:hAnsi="Arial" w:cs="Arial"/>
          <w:sz w:val="24"/>
          <w:szCs w:val="24"/>
          <w:lang w:eastAsia="en-ZA"/>
        </w:rPr>
        <w:t>, and</w:t>
      </w:r>
      <w:r w:rsidR="00741BFF" w:rsidRPr="00BA4E9F">
        <w:rPr>
          <w:rFonts w:ascii="Arial" w:eastAsia="Times New Roman" w:hAnsi="Arial" w:cs="Arial"/>
          <w:sz w:val="24"/>
          <w:szCs w:val="24"/>
          <w:lang w:eastAsia="en-ZA"/>
        </w:rPr>
        <w:t xml:space="preserve"> </w:t>
      </w:r>
      <w:r w:rsidR="005265F6" w:rsidRPr="00BA4E9F">
        <w:rPr>
          <w:rFonts w:ascii="Arial" w:eastAsia="Times New Roman" w:hAnsi="Arial" w:cs="Arial"/>
          <w:sz w:val="24"/>
          <w:szCs w:val="24"/>
          <w:lang w:eastAsia="en-ZA"/>
        </w:rPr>
        <w:t>Alliance Safety</w:t>
      </w:r>
      <w:r w:rsidR="00741BFF" w:rsidRPr="00BA4E9F">
        <w:rPr>
          <w:rFonts w:ascii="Arial" w:eastAsia="Times New Roman" w:hAnsi="Arial" w:cs="Arial"/>
          <w:sz w:val="24"/>
          <w:szCs w:val="24"/>
          <w:lang w:eastAsia="en-ZA"/>
        </w:rPr>
        <w:t>,</w:t>
      </w:r>
      <w:r w:rsidR="005265F6" w:rsidRPr="00BA4E9F">
        <w:rPr>
          <w:rFonts w:ascii="Arial" w:eastAsia="Times New Roman" w:hAnsi="Arial" w:cs="Arial"/>
          <w:sz w:val="24"/>
          <w:szCs w:val="24"/>
          <w:lang w:eastAsia="en-ZA"/>
        </w:rPr>
        <w:t xml:space="preserve"> </w:t>
      </w:r>
      <w:r w:rsidR="00856E91" w:rsidRPr="00BA4E9F">
        <w:rPr>
          <w:rFonts w:ascii="Arial" w:eastAsia="Times New Roman" w:hAnsi="Arial" w:cs="Arial"/>
          <w:sz w:val="24"/>
          <w:szCs w:val="24"/>
          <w:lang w:eastAsia="en-ZA"/>
        </w:rPr>
        <w:t>wh</w:t>
      </w:r>
      <w:r w:rsidR="00122243">
        <w:rPr>
          <w:rFonts w:ascii="Arial" w:eastAsia="Times New Roman" w:hAnsi="Arial" w:cs="Arial"/>
          <w:sz w:val="24"/>
          <w:szCs w:val="24"/>
          <w:lang w:eastAsia="en-ZA"/>
        </w:rPr>
        <w:t>o</w:t>
      </w:r>
      <w:r w:rsidR="00856E91" w:rsidRPr="00BA4E9F">
        <w:rPr>
          <w:rFonts w:ascii="Arial" w:eastAsia="Times New Roman" w:hAnsi="Arial" w:cs="Arial"/>
          <w:sz w:val="24"/>
          <w:szCs w:val="24"/>
          <w:lang w:eastAsia="en-ZA"/>
        </w:rPr>
        <w:t xml:space="preserve"> admittedly saw </w:t>
      </w:r>
      <w:r w:rsidR="00122243">
        <w:rPr>
          <w:rFonts w:ascii="Arial" w:eastAsia="Times New Roman" w:hAnsi="Arial" w:cs="Arial"/>
          <w:sz w:val="24"/>
          <w:szCs w:val="24"/>
          <w:lang w:eastAsia="en-ZA"/>
        </w:rPr>
        <w:t xml:space="preserve">their </w:t>
      </w:r>
      <w:r w:rsidR="00856E91" w:rsidRPr="00BA4E9F">
        <w:rPr>
          <w:rFonts w:ascii="Arial" w:eastAsia="Times New Roman" w:hAnsi="Arial" w:cs="Arial"/>
          <w:sz w:val="24"/>
          <w:szCs w:val="24"/>
          <w:lang w:eastAsia="en-ZA"/>
        </w:rPr>
        <w:t>role as as</w:t>
      </w:r>
      <w:r w:rsidR="00E8204F" w:rsidRPr="00BA4E9F">
        <w:rPr>
          <w:rFonts w:ascii="Arial" w:eastAsia="Times New Roman" w:hAnsi="Arial" w:cs="Arial"/>
          <w:sz w:val="24"/>
          <w:szCs w:val="24"/>
          <w:lang w:eastAsia="en-ZA"/>
        </w:rPr>
        <w:t>s</w:t>
      </w:r>
      <w:r w:rsidR="00856E91" w:rsidRPr="00BA4E9F">
        <w:rPr>
          <w:rFonts w:ascii="Arial" w:eastAsia="Times New Roman" w:hAnsi="Arial" w:cs="Arial"/>
          <w:sz w:val="24"/>
          <w:szCs w:val="24"/>
          <w:lang w:eastAsia="en-ZA"/>
        </w:rPr>
        <w:t>isting with the planning and oversight</w:t>
      </w:r>
      <w:r w:rsidR="00613D24" w:rsidRPr="00BA4E9F">
        <w:rPr>
          <w:rFonts w:ascii="Arial" w:eastAsia="Times New Roman" w:hAnsi="Arial" w:cs="Arial"/>
          <w:sz w:val="24"/>
          <w:szCs w:val="24"/>
          <w:lang w:eastAsia="en-ZA"/>
        </w:rPr>
        <w:t xml:space="preserve"> of safety and security measures</w:t>
      </w:r>
      <w:r w:rsidR="00746711" w:rsidRPr="00BA4E9F">
        <w:rPr>
          <w:rFonts w:ascii="Arial" w:eastAsia="Times New Roman" w:hAnsi="Arial" w:cs="Arial"/>
          <w:sz w:val="24"/>
          <w:szCs w:val="24"/>
          <w:lang w:eastAsia="en-ZA"/>
        </w:rPr>
        <w:t>. On a conspectus of all the evidence</w:t>
      </w:r>
      <w:r w:rsidR="00741BFF" w:rsidRPr="00BA4E9F">
        <w:rPr>
          <w:rFonts w:ascii="Arial" w:eastAsia="Times New Roman" w:hAnsi="Arial" w:cs="Arial"/>
          <w:sz w:val="24"/>
          <w:szCs w:val="24"/>
          <w:lang w:eastAsia="en-ZA"/>
        </w:rPr>
        <w:t>,</w:t>
      </w:r>
      <w:r w:rsidR="00746711" w:rsidRPr="00BA4E9F">
        <w:rPr>
          <w:rFonts w:ascii="Arial" w:eastAsia="Times New Roman" w:hAnsi="Arial" w:cs="Arial"/>
          <w:sz w:val="24"/>
          <w:szCs w:val="24"/>
          <w:lang w:eastAsia="en-ZA"/>
        </w:rPr>
        <w:t xml:space="preserve"> the Magistrate c</w:t>
      </w:r>
      <w:r w:rsidR="00CF5B74" w:rsidRPr="00BA4E9F">
        <w:rPr>
          <w:rFonts w:ascii="Arial" w:eastAsia="Times New Roman" w:hAnsi="Arial" w:cs="Arial"/>
          <w:sz w:val="24"/>
          <w:szCs w:val="24"/>
          <w:lang w:eastAsia="en-ZA"/>
        </w:rPr>
        <w:t>a</w:t>
      </w:r>
      <w:r w:rsidR="00746711" w:rsidRPr="00BA4E9F">
        <w:rPr>
          <w:rFonts w:ascii="Arial" w:eastAsia="Times New Roman" w:hAnsi="Arial" w:cs="Arial"/>
          <w:sz w:val="24"/>
          <w:szCs w:val="24"/>
          <w:lang w:eastAsia="en-ZA"/>
        </w:rPr>
        <w:t xml:space="preserve">me to the finding </w:t>
      </w:r>
      <w:r w:rsidR="006B2C75" w:rsidRPr="00BA4E9F">
        <w:rPr>
          <w:rFonts w:ascii="Arial" w:eastAsia="Times New Roman" w:hAnsi="Arial" w:cs="Arial"/>
          <w:sz w:val="24"/>
          <w:szCs w:val="24"/>
          <w:lang w:eastAsia="en-ZA"/>
        </w:rPr>
        <w:t>that the death of the deceased was brought about by an act or omission</w:t>
      </w:r>
      <w:r w:rsidR="00D85A32" w:rsidRPr="00BA4E9F">
        <w:rPr>
          <w:rFonts w:ascii="Arial" w:eastAsia="Times New Roman" w:hAnsi="Arial" w:cs="Arial"/>
          <w:sz w:val="24"/>
          <w:szCs w:val="24"/>
          <w:lang w:eastAsia="en-ZA"/>
        </w:rPr>
        <w:t xml:space="preserve"> that prima facie involves or am</w:t>
      </w:r>
      <w:r w:rsidR="001821EF" w:rsidRPr="00BA4E9F">
        <w:rPr>
          <w:rFonts w:ascii="Arial" w:eastAsia="Times New Roman" w:hAnsi="Arial" w:cs="Arial"/>
          <w:sz w:val="24"/>
          <w:szCs w:val="24"/>
          <w:lang w:eastAsia="en-ZA"/>
        </w:rPr>
        <w:t>o</w:t>
      </w:r>
      <w:r w:rsidR="00D85A32" w:rsidRPr="00BA4E9F">
        <w:rPr>
          <w:rFonts w:ascii="Arial" w:eastAsia="Times New Roman" w:hAnsi="Arial" w:cs="Arial"/>
          <w:sz w:val="24"/>
          <w:szCs w:val="24"/>
          <w:lang w:eastAsia="en-ZA"/>
        </w:rPr>
        <w:t xml:space="preserve">unts to an offence on the part of Vertex, Bothma </w:t>
      </w:r>
      <w:r w:rsidR="001821EF" w:rsidRPr="00BA4E9F">
        <w:rPr>
          <w:rFonts w:ascii="Arial" w:eastAsia="Times New Roman" w:hAnsi="Arial" w:cs="Arial"/>
          <w:sz w:val="24"/>
          <w:szCs w:val="24"/>
          <w:lang w:eastAsia="en-ZA"/>
        </w:rPr>
        <w:t xml:space="preserve">Signs and Hirt </w:t>
      </w:r>
      <w:r w:rsidR="00CF5B74" w:rsidRPr="00BA4E9F">
        <w:rPr>
          <w:rFonts w:ascii="Arial" w:eastAsia="Times New Roman" w:hAnsi="Arial" w:cs="Arial"/>
          <w:sz w:val="24"/>
          <w:szCs w:val="24"/>
          <w:lang w:eastAsia="en-ZA"/>
        </w:rPr>
        <w:t>&amp;</w:t>
      </w:r>
      <w:r w:rsidR="001821EF" w:rsidRPr="00BA4E9F">
        <w:rPr>
          <w:rFonts w:ascii="Arial" w:eastAsia="Times New Roman" w:hAnsi="Arial" w:cs="Arial"/>
          <w:sz w:val="24"/>
          <w:szCs w:val="24"/>
          <w:lang w:eastAsia="en-ZA"/>
        </w:rPr>
        <w:t xml:space="preserve"> Carter.</w:t>
      </w:r>
    </w:p>
    <w:p w14:paraId="0ED00364" w14:textId="77777777" w:rsidR="00746711" w:rsidRDefault="00746711" w:rsidP="00FE1093">
      <w:pPr>
        <w:spacing w:line="360" w:lineRule="auto"/>
        <w:contextualSpacing/>
        <w:jc w:val="both"/>
        <w:rPr>
          <w:rFonts w:ascii="Arial" w:eastAsia="Times New Roman" w:hAnsi="Arial" w:cs="Arial"/>
          <w:sz w:val="24"/>
          <w:szCs w:val="24"/>
          <w:lang w:eastAsia="en-ZA"/>
        </w:rPr>
      </w:pPr>
    </w:p>
    <w:p w14:paraId="70C1ED54" w14:textId="24A28815" w:rsidR="009D277F" w:rsidRPr="00BA4E9F" w:rsidRDefault="00CF76B4" w:rsidP="00FE1093">
      <w:pPr>
        <w:spacing w:line="360"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t>The Full Court decision</w:t>
      </w:r>
    </w:p>
    <w:p w14:paraId="24EB5120" w14:textId="7769D4A6" w:rsidR="00210774" w:rsidRPr="00BA4E9F" w:rsidRDefault="00B06427" w:rsidP="00FE1093">
      <w:pPr>
        <w:spacing w:line="360" w:lineRule="auto"/>
        <w:contextualSpacing/>
        <w:jc w:val="both"/>
        <w:rPr>
          <w:rFonts w:ascii="Arial" w:eastAsia="Times New Roman" w:hAnsi="Arial" w:cs="Arial"/>
          <w:sz w:val="24"/>
          <w:szCs w:val="24"/>
          <w:lang w:eastAsia="en-ZA"/>
        </w:rPr>
      </w:pPr>
      <w:r w:rsidRPr="00BA4E9F">
        <w:rPr>
          <w:rFonts w:ascii="Arial" w:eastAsia="Times New Roman" w:hAnsi="Arial" w:cs="Arial"/>
          <w:sz w:val="24"/>
          <w:szCs w:val="24"/>
          <w:lang w:eastAsia="en-ZA"/>
        </w:rPr>
        <w:t>[2</w:t>
      </w:r>
      <w:r w:rsidR="00730AF0" w:rsidRPr="00BA4E9F">
        <w:rPr>
          <w:rFonts w:ascii="Arial" w:eastAsia="Times New Roman" w:hAnsi="Arial" w:cs="Arial"/>
          <w:sz w:val="24"/>
          <w:szCs w:val="24"/>
          <w:lang w:eastAsia="en-ZA"/>
        </w:rPr>
        <w:t>3</w:t>
      </w:r>
      <w:r w:rsidRPr="00BA4E9F">
        <w:rPr>
          <w:rFonts w:ascii="Arial" w:eastAsia="Times New Roman" w:hAnsi="Arial" w:cs="Arial"/>
          <w:sz w:val="24"/>
          <w:szCs w:val="24"/>
          <w:lang w:eastAsia="en-ZA"/>
        </w:rPr>
        <w:t>]</w:t>
      </w:r>
      <w:r w:rsidRPr="00BA4E9F">
        <w:rPr>
          <w:rFonts w:ascii="Arial" w:eastAsia="Times New Roman" w:hAnsi="Arial" w:cs="Arial"/>
          <w:sz w:val="24"/>
          <w:szCs w:val="24"/>
          <w:lang w:eastAsia="en-ZA"/>
        </w:rPr>
        <w:tab/>
        <w:t>Before the full court</w:t>
      </w:r>
      <w:r w:rsidR="00CF5B74" w:rsidRPr="00BA4E9F">
        <w:rPr>
          <w:rFonts w:ascii="Arial" w:eastAsia="Times New Roman" w:hAnsi="Arial" w:cs="Arial"/>
          <w:sz w:val="24"/>
          <w:szCs w:val="24"/>
          <w:lang w:eastAsia="en-ZA"/>
        </w:rPr>
        <w:t>,</w:t>
      </w:r>
      <w:r w:rsidRPr="00BA4E9F">
        <w:rPr>
          <w:rFonts w:ascii="Arial" w:eastAsia="Times New Roman" w:hAnsi="Arial" w:cs="Arial"/>
          <w:sz w:val="24"/>
          <w:szCs w:val="24"/>
          <w:lang w:eastAsia="en-ZA"/>
        </w:rPr>
        <w:t xml:space="preserve"> </w:t>
      </w:r>
      <w:r w:rsidR="0060679B" w:rsidRPr="00BA4E9F">
        <w:rPr>
          <w:rFonts w:ascii="Arial" w:eastAsia="Times New Roman" w:hAnsi="Arial" w:cs="Arial"/>
          <w:sz w:val="24"/>
          <w:szCs w:val="24"/>
          <w:lang w:eastAsia="en-ZA"/>
        </w:rPr>
        <w:t xml:space="preserve">counsel on behalf of Hirt </w:t>
      </w:r>
      <w:r w:rsidR="00CF5B74" w:rsidRPr="00BA4E9F">
        <w:rPr>
          <w:rFonts w:ascii="Arial" w:eastAsia="Times New Roman" w:hAnsi="Arial" w:cs="Arial"/>
          <w:sz w:val="24"/>
          <w:szCs w:val="24"/>
          <w:lang w:eastAsia="en-ZA"/>
        </w:rPr>
        <w:t>&amp;</w:t>
      </w:r>
      <w:r w:rsidR="0060679B" w:rsidRPr="00BA4E9F">
        <w:rPr>
          <w:rFonts w:ascii="Arial" w:eastAsia="Times New Roman" w:hAnsi="Arial" w:cs="Arial"/>
          <w:sz w:val="24"/>
          <w:szCs w:val="24"/>
          <w:lang w:eastAsia="en-ZA"/>
        </w:rPr>
        <w:t xml:space="preserve"> Carter </w:t>
      </w:r>
      <w:r w:rsidR="000F1BD4" w:rsidRPr="00BA4E9F">
        <w:rPr>
          <w:rFonts w:ascii="Arial" w:eastAsia="Times New Roman" w:hAnsi="Arial" w:cs="Arial"/>
          <w:sz w:val="24"/>
          <w:szCs w:val="24"/>
          <w:lang w:eastAsia="en-ZA"/>
        </w:rPr>
        <w:t xml:space="preserve">contended that the Magistrate was guilty of </w:t>
      </w:r>
      <w:r w:rsidR="00B825A5" w:rsidRPr="00BA4E9F">
        <w:rPr>
          <w:rFonts w:ascii="Arial" w:eastAsia="Times New Roman" w:hAnsi="Arial" w:cs="Arial"/>
          <w:sz w:val="24"/>
          <w:szCs w:val="24"/>
          <w:lang w:eastAsia="en-ZA"/>
        </w:rPr>
        <w:t>a materia</w:t>
      </w:r>
      <w:r w:rsidR="00AA4D78">
        <w:rPr>
          <w:rFonts w:ascii="Arial" w:eastAsia="Times New Roman" w:hAnsi="Arial" w:cs="Arial"/>
          <w:sz w:val="24"/>
          <w:szCs w:val="24"/>
          <w:lang w:eastAsia="en-ZA"/>
        </w:rPr>
        <w:t>l error of law that vitiated her</w:t>
      </w:r>
      <w:r w:rsidR="00B825A5" w:rsidRPr="00BA4E9F">
        <w:rPr>
          <w:rFonts w:ascii="Arial" w:eastAsia="Times New Roman" w:hAnsi="Arial" w:cs="Arial"/>
          <w:sz w:val="24"/>
          <w:szCs w:val="24"/>
          <w:lang w:eastAsia="en-ZA"/>
        </w:rPr>
        <w:t xml:space="preserve"> conclusion in relation to Hirt </w:t>
      </w:r>
      <w:r w:rsidR="00CF5B74" w:rsidRPr="00BA4E9F">
        <w:rPr>
          <w:rFonts w:ascii="Arial" w:eastAsia="Times New Roman" w:hAnsi="Arial" w:cs="Arial"/>
          <w:sz w:val="24"/>
          <w:szCs w:val="24"/>
          <w:lang w:eastAsia="en-ZA"/>
        </w:rPr>
        <w:t>&amp;</w:t>
      </w:r>
      <w:r w:rsidR="00741BFF" w:rsidRPr="00BA4E9F">
        <w:rPr>
          <w:rFonts w:ascii="Arial" w:eastAsia="Times New Roman" w:hAnsi="Arial" w:cs="Arial"/>
          <w:sz w:val="24"/>
          <w:szCs w:val="24"/>
          <w:lang w:eastAsia="en-ZA"/>
        </w:rPr>
        <w:t xml:space="preserve"> Carter.</w:t>
      </w:r>
      <w:r w:rsidR="0060679B" w:rsidRPr="00BA4E9F">
        <w:rPr>
          <w:rFonts w:ascii="Arial" w:eastAsia="Times New Roman" w:hAnsi="Arial" w:cs="Arial"/>
          <w:sz w:val="24"/>
          <w:szCs w:val="24"/>
          <w:lang w:eastAsia="en-ZA"/>
        </w:rPr>
        <w:t xml:space="preserve"> </w:t>
      </w:r>
      <w:r w:rsidR="00355054" w:rsidRPr="00BA4E9F">
        <w:rPr>
          <w:rFonts w:ascii="Arial" w:eastAsia="Times New Roman" w:hAnsi="Arial" w:cs="Arial"/>
          <w:sz w:val="24"/>
          <w:szCs w:val="24"/>
          <w:lang w:eastAsia="en-ZA"/>
        </w:rPr>
        <w:t>It was submitted</w:t>
      </w:r>
      <w:r w:rsidR="002A696F" w:rsidRPr="00BA4E9F">
        <w:rPr>
          <w:rFonts w:ascii="Arial" w:eastAsia="Times New Roman" w:hAnsi="Arial" w:cs="Arial"/>
          <w:sz w:val="24"/>
          <w:szCs w:val="24"/>
          <w:lang w:eastAsia="en-ZA"/>
        </w:rPr>
        <w:t xml:space="preserve"> initially before the full court</w:t>
      </w:r>
      <w:r w:rsidR="00355054" w:rsidRPr="00BA4E9F">
        <w:rPr>
          <w:rFonts w:ascii="Arial" w:eastAsia="Times New Roman" w:hAnsi="Arial" w:cs="Arial"/>
          <w:sz w:val="24"/>
          <w:szCs w:val="24"/>
          <w:lang w:eastAsia="en-ZA"/>
        </w:rPr>
        <w:t xml:space="preserve"> that the decis</w:t>
      </w:r>
      <w:r w:rsidR="002A696F" w:rsidRPr="00BA4E9F">
        <w:rPr>
          <w:rFonts w:ascii="Arial" w:eastAsia="Times New Roman" w:hAnsi="Arial" w:cs="Arial"/>
          <w:sz w:val="24"/>
          <w:szCs w:val="24"/>
          <w:lang w:eastAsia="en-ZA"/>
        </w:rPr>
        <w:t>io</w:t>
      </w:r>
      <w:r w:rsidR="00355054" w:rsidRPr="00BA4E9F">
        <w:rPr>
          <w:rFonts w:ascii="Arial" w:eastAsia="Times New Roman" w:hAnsi="Arial" w:cs="Arial"/>
          <w:sz w:val="24"/>
          <w:szCs w:val="24"/>
          <w:lang w:eastAsia="en-ZA"/>
        </w:rPr>
        <w:t xml:space="preserve">n by the Magistrate </w:t>
      </w:r>
      <w:r w:rsidR="002A696F" w:rsidRPr="00BA4E9F">
        <w:rPr>
          <w:rFonts w:ascii="Arial" w:eastAsia="Times New Roman" w:hAnsi="Arial" w:cs="Arial"/>
          <w:sz w:val="24"/>
          <w:szCs w:val="24"/>
          <w:lang w:eastAsia="en-ZA"/>
        </w:rPr>
        <w:t>was reviewable</w:t>
      </w:r>
      <w:r w:rsidR="008A11F3" w:rsidRPr="00BA4E9F">
        <w:rPr>
          <w:rFonts w:ascii="Arial" w:eastAsia="Times New Roman" w:hAnsi="Arial" w:cs="Arial"/>
          <w:sz w:val="24"/>
          <w:szCs w:val="24"/>
          <w:lang w:eastAsia="en-ZA"/>
        </w:rPr>
        <w:t xml:space="preserve"> in terms of the provisions of the </w:t>
      </w:r>
      <w:r w:rsidR="00A10F87">
        <w:rPr>
          <w:rFonts w:ascii="Arial" w:eastAsia="Times New Roman" w:hAnsi="Arial" w:cs="Arial"/>
          <w:sz w:val="24"/>
          <w:szCs w:val="24"/>
          <w:lang w:eastAsia="en-ZA"/>
        </w:rPr>
        <w:t>PAJA</w:t>
      </w:r>
      <w:r w:rsidR="00162730" w:rsidRPr="00BA4E9F">
        <w:rPr>
          <w:rFonts w:ascii="Arial" w:eastAsia="Times New Roman" w:hAnsi="Arial" w:cs="Arial"/>
          <w:sz w:val="24"/>
          <w:szCs w:val="24"/>
          <w:lang w:eastAsia="en-ZA"/>
        </w:rPr>
        <w:t xml:space="preserve">. </w:t>
      </w:r>
      <w:r w:rsidR="003C2FB9" w:rsidRPr="00BA4E9F">
        <w:rPr>
          <w:rFonts w:ascii="Arial" w:eastAsia="Times New Roman" w:hAnsi="Arial" w:cs="Arial"/>
          <w:sz w:val="24"/>
          <w:szCs w:val="24"/>
          <w:lang w:eastAsia="en-ZA"/>
        </w:rPr>
        <w:t xml:space="preserve">Counsel on behalf of Hirt </w:t>
      </w:r>
      <w:r w:rsidR="00CF5B74" w:rsidRPr="00BA4E9F">
        <w:rPr>
          <w:rFonts w:ascii="Arial" w:eastAsia="Times New Roman" w:hAnsi="Arial" w:cs="Arial"/>
          <w:sz w:val="24"/>
          <w:szCs w:val="24"/>
          <w:lang w:eastAsia="en-ZA"/>
        </w:rPr>
        <w:t>&amp;</w:t>
      </w:r>
      <w:r w:rsidR="003C2FB9" w:rsidRPr="00BA4E9F">
        <w:rPr>
          <w:rFonts w:ascii="Arial" w:eastAsia="Times New Roman" w:hAnsi="Arial" w:cs="Arial"/>
          <w:sz w:val="24"/>
          <w:szCs w:val="24"/>
          <w:lang w:eastAsia="en-ZA"/>
        </w:rPr>
        <w:t xml:space="preserve"> Carter conceded before the full court that there was no authority for that </w:t>
      </w:r>
      <w:r w:rsidR="003C2FB9" w:rsidRPr="00E36A9F">
        <w:rPr>
          <w:rFonts w:ascii="Arial" w:eastAsia="Times New Roman" w:hAnsi="Arial" w:cs="Arial"/>
          <w:sz w:val="24"/>
          <w:szCs w:val="24"/>
          <w:lang w:eastAsia="en-ZA"/>
        </w:rPr>
        <w:t xml:space="preserve">proposition. </w:t>
      </w:r>
      <w:r w:rsidR="00436BBB" w:rsidRPr="00E36A9F">
        <w:rPr>
          <w:rFonts w:ascii="Arial" w:eastAsia="Times New Roman" w:hAnsi="Arial" w:cs="Arial"/>
          <w:sz w:val="24"/>
          <w:szCs w:val="24"/>
          <w:lang w:eastAsia="en-ZA"/>
        </w:rPr>
        <w:t>The proposition was rejected by the full court</w:t>
      </w:r>
      <w:r w:rsidR="00CD0CE4" w:rsidRPr="00E36A9F">
        <w:rPr>
          <w:rFonts w:ascii="Arial" w:eastAsia="Times New Roman" w:hAnsi="Arial" w:cs="Arial"/>
          <w:sz w:val="24"/>
          <w:szCs w:val="24"/>
          <w:lang w:eastAsia="en-ZA"/>
        </w:rPr>
        <w:t>.</w:t>
      </w:r>
    </w:p>
    <w:p w14:paraId="345EBEDF" w14:textId="77777777" w:rsidR="00210774" w:rsidRPr="00BA4E9F" w:rsidRDefault="00210774" w:rsidP="00FE1093">
      <w:pPr>
        <w:spacing w:line="360" w:lineRule="auto"/>
        <w:contextualSpacing/>
        <w:jc w:val="both"/>
        <w:rPr>
          <w:rFonts w:ascii="Arial" w:eastAsia="Times New Roman" w:hAnsi="Arial" w:cs="Arial"/>
          <w:sz w:val="24"/>
          <w:szCs w:val="24"/>
          <w:lang w:eastAsia="en-ZA"/>
        </w:rPr>
      </w:pPr>
    </w:p>
    <w:p w14:paraId="690E480D" w14:textId="6B94CF0C" w:rsidR="00D36195" w:rsidRPr="00E36A9F" w:rsidRDefault="00210774" w:rsidP="00FE1093">
      <w:pPr>
        <w:spacing w:line="360" w:lineRule="auto"/>
        <w:contextualSpacing/>
        <w:jc w:val="both"/>
        <w:rPr>
          <w:rFonts w:ascii="Arial" w:eastAsia="Times New Roman" w:hAnsi="Arial" w:cs="Arial"/>
          <w:sz w:val="24"/>
          <w:szCs w:val="24"/>
          <w:lang w:eastAsia="en-ZA"/>
        </w:rPr>
      </w:pPr>
      <w:r w:rsidRPr="00E36A9F">
        <w:rPr>
          <w:rFonts w:ascii="Arial" w:eastAsia="Times New Roman" w:hAnsi="Arial" w:cs="Arial"/>
          <w:sz w:val="24"/>
          <w:szCs w:val="24"/>
          <w:lang w:eastAsia="en-ZA"/>
        </w:rPr>
        <w:t>[24]</w:t>
      </w:r>
      <w:r w:rsidR="00CD0CE4" w:rsidRPr="00E36A9F">
        <w:rPr>
          <w:rFonts w:ascii="Arial" w:eastAsia="Times New Roman" w:hAnsi="Arial" w:cs="Arial"/>
          <w:sz w:val="24"/>
          <w:szCs w:val="24"/>
          <w:lang w:eastAsia="en-ZA"/>
        </w:rPr>
        <w:tab/>
      </w:r>
      <w:r w:rsidR="007B717E" w:rsidRPr="00E36A9F">
        <w:rPr>
          <w:rFonts w:ascii="Arial" w:eastAsia="Times New Roman" w:hAnsi="Arial" w:cs="Arial"/>
          <w:sz w:val="24"/>
          <w:szCs w:val="24"/>
          <w:lang w:eastAsia="en-ZA"/>
        </w:rPr>
        <w:t xml:space="preserve">The full court recorded that </w:t>
      </w:r>
      <w:r w:rsidR="00F44155" w:rsidRPr="00E36A9F">
        <w:rPr>
          <w:rFonts w:ascii="Arial" w:eastAsia="Times New Roman" w:hAnsi="Arial" w:cs="Arial"/>
          <w:sz w:val="24"/>
          <w:szCs w:val="24"/>
          <w:lang w:eastAsia="en-ZA"/>
        </w:rPr>
        <w:t xml:space="preserve">Hirt </w:t>
      </w:r>
      <w:r w:rsidR="00CF5B74" w:rsidRPr="00E36A9F">
        <w:rPr>
          <w:rFonts w:ascii="Arial" w:eastAsia="Times New Roman" w:hAnsi="Arial" w:cs="Arial"/>
          <w:sz w:val="24"/>
          <w:szCs w:val="24"/>
          <w:lang w:eastAsia="en-ZA"/>
        </w:rPr>
        <w:t>&amp;</w:t>
      </w:r>
      <w:r w:rsidR="00F44155" w:rsidRPr="00E36A9F">
        <w:rPr>
          <w:rFonts w:ascii="Arial" w:eastAsia="Times New Roman" w:hAnsi="Arial" w:cs="Arial"/>
          <w:sz w:val="24"/>
          <w:szCs w:val="24"/>
          <w:lang w:eastAsia="en-ZA"/>
        </w:rPr>
        <w:t xml:space="preserve"> Carter had contended that the error of law on the part of the Magistrate</w:t>
      </w:r>
      <w:r w:rsidR="001F0D27" w:rsidRPr="00E36A9F">
        <w:rPr>
          <w:rFonts w:ascii="Arial" w:eastAsia="Times New Roman" w:hAnsi="Arial" w:cs="Arial"/>
          <w:sz w:val="24"/>
          <w:szCs w:val="24"/>
          <w:lang w:eastAsia="en-ZA"/>
        </w:rPr>
        <w:t>,</w:t>
      </w:r>
      <w:r w:rsidR="00F44155" w:rsidRPr="00E36A9F">
        <w:rPr>
          <w:rFonts w:ascii="Arial" w:eastAsia="Times New Roman" w:hAnsi="Arial" w:cs="Arial"/>
          <w:sz w:val="24"/>
          <w:szCs w:val="24"/>
          <w:lang w:eastAsia="en-ZA"/>
        </w:rPr>
        <w:t xml:space="preserve"> which vitiated the finding against it</w:t>
      </w:r>
      <w:r w:rsidR="00FB4E21" w:rsidRPr="00E36A9F">
        <w:rPr>
          <w:rFonts w:ascii="Arial" w:eastAsia="Times New Roman" w:hAnsi="Arial" w:cs="Arial"/>
          <w:sz w:val="24"/>
          <w:szCs w:val="24"/>
          <w:lang w:eastAsia="en-ZA"/>
        </w:rPr>
        <w:t>,</w:t>
      </w:r>
      <w:r w:rsidR="00F44155" w:rsidRPr="00E36A9F">
        <w:rPr>
          <w:rFonts w:ascii="Arial" w:eastAsia="Times New Roman" w:hAnsi="Arial" w:cs="Arial"/>
          <w:sz w:val="24"/>
          <w:szCs w:val="24"/>
          <w:lang w:eastAsia="en-ZA"/>
        </w:rPr>
        <w:t xml:space="preserve"> was</w:t>
      </w:r>
      <w:r w:rsidR="00FB4E21" w:rsidRPr="00E36A9F">
        <w:rPr>
          <w:rFonts w:ascii="Arial" w:eastAsia="Times New Roman" w:hAnsi="Arial" w:cs="Arial"/>
          <w:sz w:val="24"/>
          <w:szCs w:val="24"/>
          <w:lang w:eastAsia="en-ZA"/>
        </w:rPr>
        <w:t xml:space="preserve"> the finding</w:t>
      </w:r>
      <w:r w:rsidR="00F44155" w:rsidRPr="00E36A9F">
        <w:rPr>
          <w:rFonts w:ascii="Arial" w:eastAsia="Times New Roman" w:hAnsi="Arial" w:cs="Arial"/>
          <w:sz w:val="24"/>
          <w:szCs w:val="24"/>
          <w:lang w:eastAsia="en-ZA"/>
        </w:rPr>
        <w:t xml:space="preserve"> that </w:t>
      </w:r>
      <w:r w:rsidR="00CF4593" w:rsidRPr="00E36A9F">
        <w:rPr>
          <w:rFonts w:ascii="Arial" w:eastAsia="Times New Roman" w:hAnsi="Arial" w:cs="Arial"/>
          <w:sz w:val="24"/>
          <w:szCs w:val="24"/>
          <w:lang w:eastAsia="en-ZA"/>
        </w:rPr>
        <w:t xml:space="preserve">it had omitted to supervise and manage the </w:t>
      </w:r>
      <w:r w:rsidR="002C1C14" w:rsidRPr="00E36A9F">
        <w:rPr>
          <w:rFonts w:ascii="Arial" w:eastAsia="Times New Roman" w:hAnsi="Arial" w:cs="Arial"/>
          <w:sz w:val="24"/>
          <w:szCs w:val="24"/>
          <w:lang w:eastAsia="en-ZA"/>
        </w:rPr>
        <w:t>e</w:t>
      </w:r>
      <w:r w:rsidR="00CF4593" w:rsidRPr="00E36A9F">
        <w:rPr>
          <w:rFonts w:ascii="Arial" w:eastAsia="Times New Roman" w:hAnsi="Arial" w:cs="Arial"/>
          <w:sz w:val="24"/>
          <w:szCs w:val="24"/>
          <w:lang w:eastAsia="en-ZA"/>
        </w:rPr>
        <w:t xml:space="preserve">rection of the towers, in particular the </w:t>
      </w:r>
      <w:r w:rsidR="002E16D3" w:rsidRPr="00E36A9F">
        <w:rPr>
          <w:rFonts w:ascii="Arial" w:eastAsia="Times New Roman" w:hAnsi="Arial" w:cs="Arial"/>
          <w:sz w:val="24"/>
          <w:szCs w:val="24"/>
          <w:lang w:eastAsia="en-ZA"/>
        </w:rPr>
        <w:t>safety aspect</w:t>
      </w:r>
      <w:r w:rsidR="00FA4D7B" w:rsidRPr="00E36A9F">
        <w:rPr>
          <w:rFonts w:ascii="Arial" w:eastAsia="Times New Roman" w:hAnsi="Arial" w:cs="Arial"/>
          <w:sz w:val="24"/>
          <w:szCs w:val="24"/>
          <w:lang w:eastAsia="en-ZA"/>
        </w:rPr>
        <w:t xml:space="preserve"> which was the sub-contractor’s responsibility and</w:t>
      </w:r>
      <w:r w:rsidR="002E16D3" w:rsidRPr="00E36A9F">
        <w:rPr>
          <w:rFonts w:ascii="Arial" w:eastAsia="Times New Roman" w:hAnsi="Arial" w:cs="Arial"/>
          <w:sz w:val="24"/>
          <w:szCs w:val="24"/>
          <w:lang w:eastAsia="en-ZA"/>
        </w:rPr>
        <w:t xml:space="preserve"> which essentially was performed by independent</w:t>
      </w:r>
      <w:r w:rsidR="00A53732" w:rsidRPr="00E36A9F">
        <w:rPr>
          <w:rFonts w:ascii="Arial" w:eastAsia="Times New Roman" w:hAnsi="Arial" w:cs="Arial"/>
          <w:sz w:val="24"/>
          <w:szCs w:val="24"/>
          <w:lang w:eastAsia="en-ZA"/>
        </w:rPr>
        <w:t xml:space="preserve"> </w:t>
      </w:r>
      <w:r w:rsidR="00D304E2" w:rsidRPr="00E36A9F">
        <w:rPr>
          <w:rFonts w:ascii="Arial" w:eastAsia="Times New Roman" w:hAnsi="Arial" w:cs="Arial"/>
          <w:sz w:val="24"/>
          <w:szCs w:val="24"/>
          <w:lang w:eastAsia="en-ZA"/>
        </w:rPr>
        <w:t>contractors</w:t>
      </w:r>
      <w:r w:rsidR="00A53732" w:rsidRPr="00E36A9F">
        <w:rPr>
          <w:rFonts w:ascii="Arial" w:eastAsia="Times New Roman" w:hAnsi="Arial" w:cs="Arial"/>
          <w:sz w:val="24"/>
          <w:szCs w:val="24"/>
          <w:lang w:eastAsia="en-ZA"/>
        </w:rPr>
        <w:t>.</w:t>
      </w:r>
    </w:p>
    <w:p w14:paraId="3EA1224D" w14:textId="07253DBD" w:rsidR="008A11F3" w:rsidRPr="00E36A9F" w:rsidRDefault="008A11F3" w:rsidP="00590CED">
      <w:pPr>
        <w:spacing w:line="360" w:lineRule="auto"/>
        <w:jc w:val="both"/>
        <w:rPr>
          <w:rFonts w:ascii="Arial" w:eastAsia="Calibri" w:hAnsi="Arial" w:cs="Arial"/>
          <w:color w:val="000000"/>
          <w:sz w:val="24"/>
          <w:szCs w:val="24"/>
        </w:rPr>
      </w:pPr>
    </w:p>
    <w:p w14:paraId="3ABE411F" w14:textId="1BB8F330" w:rsidR="00FB4E21" w:rsidRDefault="003256E3" w:rsidP="00590CED">
      <w:pPr>
        <w:spacing w:line="360" w:lineRule="auto"/>
        <w:jc w:val="both"/>
        <w:rPr>
          <w:rFonts w:ascii="Arial" w:eastAsia="Calibri" w:hAnsi="Arial" w:cs="Arial"/>
          <w:color w:val="000000"/>
          <w:sz w:val="24"/>
          <w:szCs w:val="24"/>
        </w:rPr>
      </w:pPr>
      <w:r w:rsidRPr="00E36A9F">
        <w:rPr>
          <w:rFonts w:ascii="Arial" w:eastAsia="Calibri" w:hAnsi="Arial" w:cs="Arial"/>
          <w:color w:val="000000"/>
          <w:sz w:val="24"/>
          <w:szCs w:val="24"/>
        </w:rPr>
        <w:t>[25]</w:t>
      </w:r>
      <w:r w:rsidRPr="00E36A9F">
        <w:rPr>
          <w:rFonts w:ascii="Arial" w:eastAsia="Calibri" w:hAnsi="Arial" w:cs="Arial"/>
          <w:color w:val="000000"/>
          <w:sz w:val="24"/>
          <w:szCs w:val="24"/>
        </w:rPr>
        <w:tab/>
        <w:t xml:space="preserve">The full court had regard to </w:t>
      </w:r>
      <w:r w:rsidR="00E874DD" w:rsidRPr="00E36A9F">
        <w:rPr>
          <w:rFonts w:ascii="Arial" w:eastAsia="Calibri" w:hAnsi="Arial" w:cs="Arial"/>
          <w:color w:val="000000"/>
          <w:sz w:val="24"/>
          <w:szCs w:val="24"/>
        </w:rPr>
        <w:t xml:space="preserve">the material parts of </w:t>
      </w:r>
      <w:r w:rsidR="00D25DB3" w:rsidRPr="00E36A9F">
        <w:rPr>
          <w:rFonts w:ascii="Arial" w:eastAsia="Calibri" w:hAnsi="Arial" w:cs="Arial"/>
          <w:color w:val="000000"/>
          <w:sz w:val="24"/>
          <w:szCs w:val="24"/>
        </w:rPr>
        <w:t xml:space="preserve">Mr </w:t>
      </w:r>
      <w:r w:rsidR="00E874DD" w:rsidRPr="00E36A9F">
        <w:rPr>
          <w:rFonts w:ascii="Arial" w:eastAsia="Calibri" w:hAnsi="Arial" w:cs="Arial"/>
          <w:color w:val="000000"/>
          <w:sz w:val="24"/>
          <w:szCs w:val="24"/>
        </w:rPr>
        <w:t>Olwage’s evidence, outlined</w:t>
      </w:r>
      <w:r w:rsidR="00E874DD" w:rsidRPr="00BA4E9F">
        <w:rPr>
          <w:rFonts w:ascii="Arial" w:eastAsia="Calibri" w:hAnsi="Arial" w:cs="Arial"/>
          <w:color w:val="000000"/>
          <w:sz w:val="24"/>
          <w:szCs w:val="24"/>
        </w:rPr>
        <w:t xml:space="preserve"> above</w:t>
      </w:r>
      <w:r w:rsidR="00CF5B74" w:rsidRPr="00BA4E9F">
        <w:rPr>
          <w:rFonts w:ascii="Arial" w:eastAsia="Calibri" w:hAnsi="Arial" w:cs="Arial"/>
          <w:color w:val="000000"/>
          <w:sz w:val="24"/>
          <w:szCs w:val="24"/>
        </w:rPr>
        <w:t>.</w:t>
      </w:r>
      <w:r w:rsidR="00E874DD" w:rsidRPr="00BA4E9F">
        <w:rPr>
          <w:rFonts w:ascii="Arial" w:eastAsia="Calibri" w:hAnsi="Arial" w:cs="Arial"/>
          <w:color w:val="000000"/>
          <w:sz w:val="24"/>
          <w:szCs w:val="24"/>
        </w:rPr>
        <w:t xml:space="preserve"> </w:t>
      </w:r>
      <w:r w:rsidR="00645FB8" w:rsidRPr="00BA4E9F">
        <w:rPr>
          <w:rFonts w:ascii="Arial" w:eastAsia="Calibri" w:hAnsi="Arial" w:cs="Arial"/>
          <w:color w:val="000000"/>
          <w:sz w:val="24"/>
          <w:szCs w:val="24"/>
        </w:rPr>
        <w:t xml:space="preserve">It also </w:t>
      </w:r>
      <w:r w:rsidR="00755178" w:rsidRPr="00BA4E9F">
        <w:rPr>
          <w:rFonts w:ascii="Arial" w:eastAsia="Calibri" w:hAnsi="Arial" w:cs="Arial"/>
          <w:color w:val="000000"/>
          <w:sz w:val="24"/>
          <w:szCs w:val="24"/>
        </w:rPr>
        <w:t>had regard to the fact</w:t>
      </w:r>
      <w:r w:rsidR="00645FB8" w:rsidRPr="00BA4E9F">
        <w:rPr>
          <w:rFonts w:ascii="Arial" w:eastAsia="Calibri" w:hAnsi="Arial" w:cs="Arial"/>
          <w:color w:val="000000"/>
          <w:sz w:val="24"/>
          <w:szCs w:val="24"/>
        </w:rPr>
        <w:t xml:space="preserve"> that it had been agreed earlier that the towers would be ere</w:t>
      </w:r>
      <w:r w:rsidR="0075129E" w:rsidRPr="00BA4E9F">
        <w:rPr>
          <w:rFonts w:ascii="Arial" w:eastAsia="Calibri" w:hAnsi="Arial" w:cs="Arial"/>
          <w:color w:val="000000"/>
          <w:sz w:val="24"/>
          <w:szCs w:val="24"/>
        </w:rPr>
        <w:t>c</w:t>
      </w:r>
      <w:r w:rsidR="00645FB8" w:rsidRPr="00BA4E9F">
        <w:rPr>
          <w:rFonts w:ascii="Arial" w:eastAsia="Calibri" w:hAnsi="Arial" w:cs="Arial"/>
          <w:color w:val="000000"/>
          <w:sz w:val="24"/>
          <w:szCs w:val="24"/>
        </w:rPr>
        <w:t>t</w:t>
      </w:r>
      <w:r w:rsidR="0075129E" w:rsidRPr="00BA4E9F">
        <w:rPr>
          <w:rFonts w:ascii="Arial" w:eastAsia="Calibri" w:hAnsi="Arial" w:cs="Arial"/>
          <w:color w:val="000000"/>
          <w:sz w:val="24"/>
          <w:szCs w:val="24"/>
        </w:rPr>
        <w:t>e</w:t>
      </w:r>
      <w:r w:rsidR="00645FB8" w:rsidRPr="00BA4E9F">
        <w:rPr>
          <w:rFonts w:ascii="Arial" w:eastAsia="Calibri" w:hAnsi="Arial" w:cs="Arial"/>
          <w:color w:val="000000"/>
          <w:sz w:val="24"/>
          <w:szCs w:val="24"/>
        </w:rPr>
        <w:t xml:space="preserve">d </w:t>
      </w:r>
      <w:r w:rsidR="0075129E" w:rsidRPr="00BA4E9F">
        <w:rPr>
          <w:rFonts w:ascii="Arial" w:eastAsia="Calibri" w:hAnsi="Arial" w:cs="Arial"/>
          <w:color w:val="000000"/>
          <w:sz w:val="24"/>
          <w:szCs w:val="24"/>
        </w:rPr>
        <w:t>on a solid foundation</w:t>
      </w:r>
      <w:r w:rsidR="00D304E2" w:rsidRPr="00BA4E9F">
        <w:rPr>
          <w:rFonts w:ascii="Arial" w:eastAsia="Calibri" w:hAnsi="Arial" w:cs="Arial"/>
          <w:color w:val="000000"/>
          <w:sz w:val="24"/>
          <w:szCs w:val="24"/>
        </w:rPr>
        <w:t>,</w:t>
      </w:r>
      <w:r w:rsidR="0075129E" w:rsidRPr="00BA4E9F">
        <w:rPr>
          <w:rFonts w:ascii="Arial" w:eastAsia="Calibri" w:hAnsi="Arial" w:cs="Arial"/>
          <w:color w:val="000000"/>
          <w:sz w:val="24"/>
          <w:szCs w:val="24"/>
        </w:rPr>
        <w:t xml:space="preserve"> rather than on gravel, which is where it was mounted and that </w:t>
      </w:r>
      <w:r w:rsidR="00D25DB3">
        <w:rPr>
          <w:rFonts w:ascii="Arial" w:eastAsia="Calibri" w:hAnsi="Arial" w:cs="Arial"/>
          <w:color w:val="000000"/>
          <w:sz w:val="24"/>
          <w:szCs w:val="24"/>
        </w:rPr>
        <w:t xml:space="preserve">Mr </w:t>
      </w:r>
      <w:r w:rsidR="0075129E" w:rsidRPr="00BA4E9F">
        <w:rPr>
          <w:rFonts w:ascii="Arial" w:eastAsia="Calibri" w:hAnsi="Arial" w:cs="Arial"/>
          <w:color w:val="000000"/>
          <w:sz w:val="24"/>
          <w:szCs w:val="24"/>
        </w:rPr>
        <w:t xml:space="preserve">Olwage saw that this was the case. </w:t>
      </w:r>
      <w:r w:rsidR="003229CD" w:rsidRPr="00BA4E9F">
        <w:rPr>
          <w:rFonts w:ascii="Arial" w:eastAsia="Calibri" w:hAnsi="Arial" w:cs="Arial"/>
          <w:color w:val="000000"/>
          <w:sz w:val="24"/>
          <w:szCs w:val="24"/>
        </w:rPr>
        <w:t xml:space="preserve">The full court </w:t>
      </w:r>
      <w:r w:rsidR="00755178" w:rsidRPr="00BA4E9F">
        <w:rPr>
          <w:rFonts w:ascii="Arial" w:eastAsia="Calibri" w:hAnsi="Arial" w:cs="Arial"/>
          <w:color w:val="000000"/>
          <w:sz w:val="24"/>
          <w:szCs w:val="24"/>
        </w:rPr>
        <w:t xml:space="preserve">took into account </w:t>
      </w:r>
      <w:r w:rsidR="00A24999" w:rsidRPr="00BA4E9F">
        <w:rPr>
          <w:rFonts w:ascii="Arial" w:eastAsia="Calibri" w:hAnsi="Arial" w:cs="Arial"/>
          <w:color w:val="000000"/>
          <w:sz w:val="24"/>
          <w:szCs w:val="24"/>
        </w:rPr>
        <w:t xml:space="preserve">that Hirt </w:t>
      </w:r>
      <w:r w:rsidR="00CF5B74" w:rsidRPr="00BA4E9F">
        <w:rPr>
          <w:rFonts w:ascii="Arial" w:eastAsia="Calibri" w:hAnsi="Arial" w:cs="Arial"/>
          <w:color w:val="000000"/>
          <w:sz w:val="24"/>
          <w:szCs w:val="24"/>
        </w:rPr>
        <w:t>&amp;</w:t>
      </w:r>
      <w:r w:rsidR="00A24999" w:rsidRPr="00BA4E9F">
        <w:rPr>
          <w:rFonts w:ascii="Arial" w:eastAsia="Calibri" w:hAnsi="Arial" w:cs="Arial"/>
          <w:color w:val="000000"/>
          <w:sz w:val="24"/>
          <w:szCs w:val="24"/>
        </w:rPr>
        <w:t xml:space="preserve"> Carter had charged GSK a project management fee </w:t>
      </w:r>
      <w:r w:rsidR="00C7694E" w:rsidRPr="00BA4E9F">
        <w:rPr>
          <w:rFonts w:ascii="Arial" w:eastAsia="Calibri" w:hAnsi="Arial" w:cs="Arial"/>
          <w:color w:val="000000"/>
          <w:sz w:val="24"/>
          <w:szCs w:val="24"/>
        </w:rPr>
        <w:t>for the delivery of a safe product</w:t>
      </w:r>
      <w:r w:rsidR="00BA09C3" w:rsidRPr="00BA4E9F">
        <w:rPr>
          <w:rFonts w:ascii="Arial" w:eastAsia="Calibri" w:hAnsi="Arial" w:cs="Arial"/>
          <w:color w:val="000000"/>
          <w:sz w:val="24"/>
          <w:szCs w:val="24"/>
        </w:rPr>
        <w:t>,</w:t>
      </w:r>
      <w:r w:rsidR="00C7694E" w:rsidRPr="00BA4E9F">
        <w:rPr>
          <w:rFonts w:ascii="Arial" w:eastAsia="Calibri" w:hAnsi="Arial" w:cs="Arial"/>
          <w:color w:val="000000"/>
          <w:sz w:val="24"/>
          <w:szCs w:val="24"/>
        </w:rPr>
        <w:t xml:space="preserve"> yet all it did was to p</w:t>
      </w:r>
      <w:r w:rsidR="000E1748" w:rsidRPr="00BA4E9F">
        <w:rPr>
          <w:rFonts w:ascii="Arial" w:eastAsia="Calibri" w:hAnsi="Arial" w:cs="Arial"/>
          <w:color w:val="000000"/>
          <w:sz w:val="24"/>
          <w:szCs w:val="24"/>
        </w:rPr>
        <w:t>l</w:t>
      </w:r>
      <w:r w:rsidR="00C7694E" w:rsidRPr="00BA4E9F">
        <w:rPr>
          <w:rFonts w:ascii="Arial" w:eastAsia="Calibri" w:hAnsi="Arial" w:cs="Arial"/>
          <w:color w:val="000000"/>
          <w:sz w:val="24"/>
          <w:szCs w:val="24"/>
        </w:rPr>
        <w:t>ace reliance on Bothma Signs and Vertex</w:t>
      </w:r>
      <w:r w:rsidR="000E1748" w:rsidRPr="00BA4E9F">
        <w:rPr>
          <w:rFonts w:ascii="Arial" w:eastAsia="Calibri" w:hAnsi="Arial" w:cs="Arial"/>
          <w:color w:val="000000"/>
          <w:sz w:val="24"/>
          <w:szCs w:val="24"/>
        </w:rPr>
        <w:t xml:space="preserve">. </w:t>
      </w:r>
      <w:r w:rsidR="0095391E" w:rsidRPr="00BA4E9F">
        <w:rPr>
          <w:rFonts w:ascii="Arial" w:eastAsia="Calibri" w:hAnsi="Arial" w:cs="Arial"/>
          <w:color w:val="000000"/>
          <w:sz w:val="24"/>
          <w:szCs w:val="24"/>
        </w:rPr>
        <w:t>The full court</w:t>
      </w:r>
      <w:r w:rsidR="000E1748" w:rsidRPr="00BA4E9F">
        <w:rPr>
          <w:rFonts w:ascii="Arial" w:eastAsia="Calibri" w:hAnsi="Arial" w:cs="Arial"/>
          <w:color w:val="000000"/>
          <w:sz w:val="24"/>
          <w:szCs w:val="24"/>
        </w:rPr>
        <w:t xml:space="preserve"> held it against </w:t>
      </w:r>
      <w:r w:rsidR="00CE45DE" w:rsidRPr="00BA4E9F">
        <w:rPr>
          <w:rFonts w:ascii="Arial" w:eastAsia="Calibri" w:hAnsi="Arial" w:cs="Arial"/>
          <w:color w:val="000000"/>
          <w:sz w:val="24"/>
          <w:szCs w:val="24"/>
        </w:rPr>
        <w:t xml:space="preserve">Hirt </w:t>
      </w:r>
      <w:r w:rsidR="00CF5B74" w:rsidRPr="00BA4E9F">
        <w:rPr>
          <w:rFonts w:ascii="Arial" w:eastAsia="Calibri" w:hAnsi="Arial" w:cs="Arial"/>
          <w:color w:val="000000"/>
          <w:sz w:val="24"/>
          <w:szCs w:val="24"/>
        </w:rPr>
        <w:t>&amp;</w:t>
      </w:r>
      <w:r w:rsidR="00CE45DE" w:rsidRPr="00BA4E9F">
        <w:rPr>
          <w:rFonts w:ascii="Arial" w:eastAsia="Calibri" w:hAnsi="Arial" w:cs="Arial"/>
          <w:color w:val="000000"/>
          <w:sz w:val="24"/>
          <w:szCs w:val="24"/>
        </w:rPr>
        <w:t xml:space="preserve"> Carte</w:t>
      </w:r>
      <w:r w:rsidR="00BA09C3" w:rsidRPr="00BA4E9F">
        <w:rPr>
          <w:rFonts w:ascii="Arial" w:eastAsia="Calibri" w:hAnsi="Arial" w:cs="Arial"/>
          <w:color w:val="000000"/>
          <w:sz w:val="24"/>
          <w:szCs w:val="24"/>
        </w:rPr>
        <w:t>r</w:t>
      </w:r>
      <w:r w:rsidR="00CE45DE" w:rsidRPr="00BA4E9F">
        <w:rPr>
          <w:rFonts w:ascii="Arial" w:eastAsia="Calibri" w:hAnsi="Arial" w:cs="Arial"/>
          <w:color w:val="000000"/>
          <w:sz w:val="24"/>
          <w:szCs w:val="24"/>
        </w:rPr>
        <w:t xml:space="preserve"> that it did not even consider whether the</w:t>
      </w:r>
      <w:r w:rsidR="00411AD2" w:rsidRPr="00BA4E9F">
        <w:rPr>
          <w:rFonts w:ascii="Arial" w:eastAsia="Calibri" w:hAnsi="Arial" w:cs="Arial"/>
          <w:color w:val="000000"/>
          <w:sz w:val="24"/>
          <w:szCs w:val="24"/>
        </w:rPr>
        <w:t xml:space="preserve"> pr</w:t>
      </w:r>
      <w:r w:rsidR="00457317" w:rsidRPr="00BA4E9F">
        <w:rPr>
          <w:rFonts w:ascii="Arial" w:eastAsia="Calibri" w:hAnsi="Arial" w:cs="Arial"/>
          <w:color w:val="000000"/>
          <w:sz w:val="24"/>
          <w:szCs w:val="24"/>
        </w:rPr>
        <w:t>o</w:t>
      </w:r>
      <w:r w:rsidR="00411AD2" w:rsidRPr="00BA4E9F">
        <w:rPr>
          <w:rFonts w:ascii="Arial" w:eastAsia="Calibri" w:hAnsi="Arial" w:cs="Arial"/>
          <w:color w:val="000000"/>
          <w:sz w:val="24"/>
          <w:szCs w:val="24"/>
        </w:rPr>
        <w:t>p</w:t>
      </w:r>
      <w:r w:rsidR="00457317" w:rsidRPr="00BA4E9F">
        <w:rPr>
          <w:rFonts w:ascii="Arial" w:eastAsia="Calibri" w:hAnsi="Arial" w:cs="Arial"/>
          <w:color w:val="000000"/>
          <w:sz w:val="24"/>
          <w:szCs w:val="24"/>
        </w:rPr>
        <w:t>e</w:t>
      </w:r>
      <w:r w:rsidR="00411AD2" w:rsidRPr="00BA4E9F">
        <w:rPr>
          <w:rFonts w:ascii="Arial" w:eastAsia="Calibri" w:hAnsi="Arial" w:cs="Arial"/>
          <w:color w:val="000000"/>
          <w:sz w:val="24"/>
          <w:szCs w:val="24"/>
        </w:rPr>
        <w:t>r certification was in place</w:t>
      </w:r>
      <w:r w:rsidR="00457317" w:rsidRPr="00BA4E9F">
        <w:rPr>
          <w:rFonts w:ascii="Arial" w:eastAsia="Calibri" w:hAnsi="Arial" w:cs="Arial"/>
          <w:color w:val="000000"/>
          <w:sz w:val="24"/>
          <w:szCs w:val="24"/>
        </w:rPr>
        <w:t xml:space="preserve"> and </w:t>
      </w:r>
      <w:r w:rsidR="00BA09C3" w:rsidRPr="00BA4E9F">
        <w:rPr>
          <w:rFonts w:ascii="Arial" w:eastAsia="Calibri" w:hAnsi="Arial" w:cs="Arial"/>
          <w:color w:val="000000"/>
          <w:sz w:val="24"/>
          <w:szCs w:val="24"/>
        </w:rPr>
        <w:t>did</w:t>
      </w:r>
      <w:r w:rsidR="00457317" w:rsidRPr="00BA4E9F">
        <w:rPr>
          <w:rFonts w:ascii="Arial" w:eastAsia="Calibri" w:hAnsi="Arial" w:cs="Arial"/>
          <w:color w:val="000000"/>
          <w:sz w:val="24"/>
          <w:szCs w:val="24"/>
        </w:rPr>
        <w:t xml:space="preserve"> </w:t>
      </w:r>
      <w:r w:rsidR="00BA09C3" w:rsidRPr="00BA4E9F">
        <w:rPr>
          <w:rFonts w:ascii="Arial" w:eastAsia="Calibri" w:hAnsi="Arial" w:cs="Arial"/>
          <w:color w:val="000000"/>
          <w:sz w:val="24"/>
          <w:szCs w:val="24"/>
        </w:rPr>
        <w:t xml:space="preserve">not insist on being </w:t>
      </w:r>
      <w:r w:rsidR="00BA09C3" w:rsidRPr="006966CB">
        <w:rPr>
          <w:rFonts w:ascii="Arial" w:eastAsia="Calibri" w:hAnsi="Arial" w:cs="Arial"/>
          <w:color w:val="000000"/>
          <w:sz w:val="24"/>
          <w:szCs w:val="24"/>
        </w:rPr>
        <w:t>given</w:t>
      </w:r>
      <w:r w:rsidR="00D9431E" w:rsidRPr="006966CB">
        <w:rPr>
          <w:rFonts w:ascii="Arial" w:eastAsia="Calibri" w:hAnsi="Arial" w:cs="Arial"/>
          <w:color w:val="000000"/>
          <w:sz w:val="24"/>
          <w:szCs w:val="24"/>
        </w:rPr>
        <w:t xml:space="preserve"> a</w:t>
      </w:r>
      <w:r w:rsidR="00457317" w:rsidRPr="006966CB">
        <w:rPr>
          <w:rFonts w:ascii="Arial" w:eastAsia="Calibri" w:hAnsi="Arial" w:cs="Arial"/>
          <w:color w:val="000000"/>
          <w:sz w:val="24"/>
          <w:szCs w:val="24"/>
        </w:rPr>
        <w:t xml:space="preserve"> physical</w:t>
      </w:r>
      <w:r w:rsidR="00457317" w:rsidRPr="00BA4E9F">
        <w:rPr>
          <w:rFonts w:ascii="Arial" w:eastAsia="Calibri" w:hAnsi="Arial" w:cs="Arial"/>
          <w:color w:val="000000"/>
          <w:sz w:val="24"/>
          <w:szCs w:val="24"/>
        </w:rPr>
        <w:t xml:space="preserve"> inspection of the structure</w:t>
      </w:r>
      <w:r w:rsidR="00E07864" w:rsidRPr="00BA4E9F">
        <w:rPr>
          <w:rFonts w:ascii="Arial" w:eastAsia="Calibri" w:hAnsi="Arial" w:cs="Arial"/>
          <w:color w:val="000000"/>
          <w:sz w:val="24"/>
          <w:szCs w:val="24"/>
        </w:rPr>
        <w:t xml:space="preserve">. The full court found that Hirt </w:t>
      </w:r>
      <w:r w:rsidR="00CF5B74" w:rsidRPr="00BA4E9F">
        <w:rPr>
          <w:rFonts w:ascii="Arial" w:eastAsia="Calibri" w:hAnsi="Arial" w:cs="Arial"/>
          <w:color w:val="000000"/>
          <w:sz w:val="24"/>
          <w:szCs w:val="24"/>
        </w:rPr>
        <w:t>&amp;</w:t>
      </w:r>
      <w:r w:rsidR="00E07864" w:rsidRPr="00BA4E9F">
        <w:rPr>
          <w:rFonts w:ascii="Arial" w:eastAsia="Calibri" w:hAnsi="Arial" w:cs="Arial"/>
          <w:color w:val="000000"/>
          <w:sz w:val="24"/>
          <w:szCs w:val="24"/>
        </w:rPr>
        <w:t xml:space="preserve"> Carter</w:t>
      </w:r>
      <w:r w:rsidR="007C6D81" w:rsidRPr="00BA4E9F">
        <w:rPr>
          <w:rFonts w:ascii="Arial" w:eastAsia="Calibri" w:hAnsi="Arial" w:cs="Arial"/>
          <w:color w:val="000000"/>
          <w:sz w:val="24"/>
          <w:szCs w:val="24"/>
        </w:rPr>
        <w:t xml:space="preserve">, having accepted liability for a safety compliance certificate ‘was duty bound </w:t>
      </w:r>
      <w:r w:rsidR="00AB36D4" w:rsidRPr="00BA4E9F">
        <w:rPr>
          <w:rFonts w:ascii="Arial" w:eastAsia="Calibri" w:hAnsi="Arial" w:cs="Arial"/>
          <w:color w:val="000000"/>
          <w:sz w:val="24"/>
          <w:szCs w:val="24"/>
        </w:rPr>
        <w:t>to ensure that the certificate in fact complied in form and substance with the requisite safety standards</w:t>
      </w:r>
      <w:r w:rsidR="00406726" w:rsidRPr="00BA4E9F">
        <w:rPr>
          <w:rFonts w:ascii="Arial" w:eastAsia="Calibri" w:hAnsi="Arial" w:cs="Arial"/>
          <w:color w:val="000000"/>
          <w:sz w:val="24"/>
          <w:szCs w:val="24"/>
        </w:rPr>
        <w:t>’</w:t>
      </w:r>
      <w:r w:rsidR="00AB36D4" w:rsidRPr="00BA4E9F">
        <w:rPr>
          <w:rFonts w:ascii="Arial" w:eastAsia="Calibri" w:hAnsi="Arial" w:cs="Arial"/>
          <w:color w:val="000000"/>
          <w:sz w:val="24"/>
          <w:szCs w:val="24"/>
        </w:rPr>
        <w:t>.</w:t>
      </w:r>
      <w:r w:rsidR="00457317">
        <w:rPr>
          <w:rFonts w:ascii="Arial" w:eastAsia="Calibri" w:hAnsi="Arial" w:cs="Arial"/>
          <w:color w:val="000000"/>
          <w:sz w:val="24"/>
          <w:szCs w:val="24"/>
        </w:rPr>
        <w:t xml:space="preserve"> </w:t>
      </w:r>
      <w:r w:rsidR="00CE45DE">
        <w:rPr>
          <w:rFonts w:ascii="Arial" w:eastAsia="Calibri" w:hAnsi="Arial" w:cs="Arial"/>
          <w:color w:val="000000"/>
          <w:sz w:val="24"/>
          <w:szCs w:val="24"/>
        </w:rPr>
        <w:t xml:space="preserve"> </w:t>
      </w:r>
    </w:p>
    <w:p w14:paraId="10357ECF" w14:textId="77777777" w:rsidR="008A11F3" w:rsidRDefault="008A11F3" w:rsidP="00590CED">
      <w:pPr>
        <w:spacing w:line="360" w:lineRule="auto"/>
        <w:jc w:val="both"/>
        <w:rPr>
          <w:rFonts w:ascii="Arial" w:eastAsia="Calibri" w:hAnsi="Arial" w:cs="Arial"/>
          <w:color w:val="000000"/>
          <w:sz w:val="24"/>
          <w:szCs w:val="24"/>
        </w:rPr>
      </w:pPr>
    </w:p>
    <w:p w14:paraId="58F9F200" w14:textId="5D3C410B" w:rsidR="009A4F29" w:rsidRPr="00BA4E9F" w:rsidRDefault="002A2695" w:rsidP="00590CED">
      <w:pPr>
        <w:spacing w:line="360" w:lineRule="auto"/>
        <w:jc w:val="both"/>
        <w:rPr>
          <w:rFonts w:ascii="Arial" w:eastAsia="Calibri" w:hAnsi="Arial" w:cs="Arial"/>
          <w:color w:val="000000"/>
          <w:sz w:val="24"/>
          <w:szCs w:val="24"/>
        </w:rPr>
      </w:pPr>
      <w:r>
        <w:rPr>
          <w:rFonts w:ascii="Arial" w:eastAsia="Calibri" w:hAnsi="Arial" w:cs="Arial"/>
          <w:color w:val="000000"/>
          <w:sz w:val="24"/>
          <w:szCs w:val="24"/>
        </w:rPr>
        <w:lastRenderedPageBreak/>
        <w:t>[26]</w:t>
      </w:r>
      <w:r>
        <w:rPr>
          <w:rFonts w:ascii="Arial" w:eastAsia="Calibri" w:hAnsi="Arial" w:cs="Arial"/>
          <w:color w:val="000000"/>
          <w:sz w:val="24"/>
          <w:szCs w:val="24"/>
        </w:rPr>
        <w:tab/>
      </w:r>
      <w:r w:rsidRPr="00BA4E9F">
        <w:rPr>
          <w:rFonts w:ascii="Arial" w:eastAsia="Calibri" w:hAnsi="Arial" w:cs="Arial"/>
          <w:color w:val="000000"/>
          <w:sz w:val="24"/>
          <w:szCs w:val="24"/>
        </w:rPr>
        <w:t>In the light of its conclusion referred to in the preceding paragraph</w:t>
      </w:r>
      <w:r w:rsidR="00406726">
        <w:rPr>
          <w:rFonts w:ascii="Arial" w:eastAsia="Calibri" w:hAnsi="Arial" w:cs="Arial"/>
          <w:color w:val="000000"/>
          <w:sz w:val="24"/>
          <w:szCs w:val="24"/>
        </w:rPr>
        <w:t>,</w:t>
      </w:r>
      <w:r w:rsidRPr="00BA4E9F">
        <w:rPr>
          <w:rFonts w:ascii="Arial" w:eastAsia="Calibri" w:hAnsi="Arial" w:cs="Arial"/>
          <w:color w:val="000000"/>
          <w:sz w:val="24"/>
          <w:szCs w:val="24"/>
        </w:rPr>
        <w:t xml:space="preserve"> the full court </w:t>
      </w:r>
      <w:r w:rsidR="00037639" w:rsidRPr="00BA4E9F">
        <w:rPr>
          <w:rFonts w:ascii="Arial" w:eastAsia="Calibri" w:hAnsi="Arial" w:cs="Arial"/>
          <w:color w:val="000000"/>
          <w:sz w:val="24"/>
          <w:szCs w:val="24"/>
        </w:rPr>
        <w:t xml:space="preserve">held that Hirt </w:t>
      </w:r>
      <w:r w:rsidR="004022E4" w:rsidRPr="00BA4E9F">
        <w:rPr>
          <w:rFonts w:ascii="Arial" w:eastAsia="Calibri" w:hAnsi="Arial" w:cs="Arial"/>
          <w:color w:val="000000"/>
          <w:sz w:val="24"/>
          <w:szCs w:val="24"/>
        </w:rPr>
        <w:t>&amp;</w:t>
      </w:r>
      <w:r w:rsidR="00037639" w:rsidRPr="00BA4E9F">
        <w:rPr>
          <w:rFonts w:ascii="Arial" w:eastAsia="Calibri" w:hAnsi="Arial" w:cs="Arial"/>
          <w:color w:val="000000"/>
          <w:sz w:val="24"/>
          <w:szCs w:val="24"/>
        </w:rPr>
        <w:t xml:space="preserve"> Carter’s reliance on </w:t>
      </w:r>
      <w:r w:rsidR="00235CBE" w:rsidRPr="00BA4E9F">
        <w:rPr>
          <w:rFonts w:ascii="Arial" w:eastAsia="Calibri" w:hAnsi="Arial" w:cs="Arial"/>
          <w:color w:val="000000"/>
          <w:sz w:val="24"/>
          <w:szCs w:val="24"/>
        </w:rPr>
        <w:t>the sub</w:t>
      </w:r>
      <w:r w:rsidR="00114DB8">
        <w:rPr>
          <w:rFonts w:ascii="Arial" w:eastAsia="Calibri" w:hAnsi="Arial" w:cs="Arial"/>
          <w:color w:val="000000"/>
          <w:sz w:val="24"/>
          <w:szCs w:val="24"/>
        </w:rPr>
        <w:t>-</w:t>
      </w:r>
      <w:r w:rsidR="00235CBE" w:rsidRPr="00BA4E9F">
        <w:rPr>
          <w:rFonts w:ascii="Arial" w:eastAsia="Calibri" w:hAnsi="Arial" w:cs="Arial"/>
          <w:color w:val="000000"/>
          <w:sz w:val="24"/>
          <w:szCs w:val="24"/>
        </w:rPr>
        <w:t>contract</w:t>
      </w:r>
      <w:r w:rsidR="00871C21" w:rsidRPr="00BA4E9F">
        <w:rPr>
          <w:rFonts w:ascii="Arial" w:eastAsia="Calibri" w:hAnsi="Arial" w:cs="Arial"/>
          <w:color w:val="000000"/>
          <w:sz w:val="24"/>
          <w:szCs w:val="24"/>
        </w:rPr>
        <w:t>ors</w:t>
      </w:r>
      <w:r w:rsidR="00235CBE" w:rsidRPr="00BA4E9F">
        <w:rPr>
          <w:rFonts w:ascii="Arial" w:eastAsia="Calibri" w:hAnsi="Arial" w:cs="Arial"/>
          <w:color w:val="000000"/>
          <w:sz w:val="24"/>
          <w:szCs w:val="24"/>
        </w:rPr>
        <w:t xml:space="preserve"> was misplaced in that one was not dealing with </w:t>
      </w:r>
      <w:r w:rsidR="00741BFF" w:rsidRPr="00BA4E9F">
        <w:rPr>
          <w:rFonts w:ascii="Arial" w:eastAsia="Calibri" w:hAnsi="Arial" w:cs="Arial"/>
          <w:color w:val="000000"/>
          <w:sz w:val="24"/>
          <w:szCs w:val="24"/>
        </w:rPr>
        <w:t xml:space="preserve">contractual liability. </w:t>
      </w:r>
      <w:r w:rsidR="00297CDF" w:rsidRPr="00BA4E9F">
        <w:rPr>
          <w:rFonts w:ascii="Arial" w:eastAsia="Calibri" w:hAnsi="Arial" w:cs="Arial"/>
          <w:color w:val="000000"/>
          <w:sz w:val="24"/>
          <w:szCs w:val="24"/>
        </w:rPr>
        <w:t xml:space="preserve">The full court proceeded to </w:t>
      </w:r>
      <w:r w:rsidR="00121873" w:rsidRPr="00BA4E9F">
        <w:rPr>
          <w:rFonts w:ascii="Arial" w:eastAsia="Calibri" w:hAnsi="Arial" w:cs="Arial"/>
          <w:color w:val="000000"/>
          <w:sz w:val="24"/>
          <w:szCs w:val="24"/>
        </w:rPr>
        <w:t>consider the purpose of an inquest and referred to authority in terms of which a</w:t>
      </w:r>
      <w:r w:rsidR="00E22625" w:rsidRPr="00BA4E9F">
        <w:rPr>
          <w:rFonts w:ascii="Arial" w:eastAsia="Calibri" w:hAnsi="Arial" w:cs="Arial"/>
          <w:color w:val="000000"/>
          <w:sz w:val="24"/>
          <w:szCs w:val="24"/>
        </w:rPr>
        <w:t xml:space="preserve"> presiding officer need go no further than to ask whether a </w:t>
      </w:r>
      <w:r w:rsidR="00146694" w:rsidRPr="00BA4E9F">
        <w:rPr>
          <w:rFonts w:ascii="Arial" w:eastAsia="Calibri" w:hAnsi="Arial" w:cs="Arial"/>
          <w:color w:val="000000"/>
          <w:sz w:val="24"/>
          <w:szCs w:val="24"/>
        </w:rPr>
        <w:t xml:space="preserve">prima facie case has been established against any person. </w:t>
      </w:r>
      <w:r w:rsidR="0062733D" w:rsidRPr="00BA4E9F">
        <w:rPr>
          <w:rFonts w:ascii="Arial" w:eastAsia="Calibri" w:hAnsi="Arial" w:cs="Arial"/>
          <w:color w:val="000000"/>
          <w:sz w:val="24"/>
          <w:szCs w:val="24"/>
        </w:rPr>
        <w:t xml:space="preserve">The </w:t>
      </w:r>
      <w:r w:rsidR="00956521" w:rsidRPr="00BA4E9F">
        <w:rPr>
          <w:rFonts w:ascii="Arial" w:eastAsia="Calibri" w:hAnsi="Arial" w:cs="Arial"/>
          <w:color w:val="000000"/>
          <w:sz w:val="24"/>
          <w:szCs w:val="24"/>
        </w:rPr>
        <w:t xml:space="preserve">full court considered common law grounds of review and took into account </w:t>
      </w:r>
      <w:r w:rsidR="00373171" w:rsidRPr="00BA4E9F">
        <w:rPr>
          <w:rFonts w:ascii="Arial" w:eastAsia="Calibri" w:hAnsi="Arial" w:cs="Arial"/>
          <w:color w:val="000000"/>
          <w:sz w:val="24"/>
          <w:szCs w:val="24"/>
        </w:rPr>
        <w:t>that an error of law is not per se</w:t>
      </w:r>
      <w:r w:rsidR="00616D4A" w:rsidRPr="00BA4E9F">
        <w:rPr>
          <w:rFonts w:ascii="Arial" w:eastAsia="Calibri" w:hAnsi="Arial" w:cs="Arial"/>
          <w:color w:val="000000"/>
          <w:sz w:val="24"/>
          <w:szCs w:val="24"/>
        </w:rPr>
        <w:t xml:space="preserve"> enough to vitiate a finding. It has to be material and impact on the outcome. The full court </w:t>
      </w:r>
      <w:r w:rsidR="00E248C0" w:rsidRPr="00BA4E9F">
        <w:rPr>
          <w:rFonts w:ascii="Arial" w:eastAsia="Calibri" w:hAnsi="Arial" w:cs="Arial"/>
          <w:color w:val="000000"/>
          <w:sz w:val="24"/>
          <w:szCs w:val="24"/>
        </w:rPr>
        <w:t xml:space="preserve">held that the Magistrate had not misinterpreted </w:t>
      </w:r>
      <w:r w:rsidR="00F72119" w:rsidRPr="00BA4E9F">
        <w:rPr>
          <w:rFonts w:ascii="Arial" w:eastAsia="Calibri" w:hAnsi="Arial" w:cs="Arial"/>
          <w:color w:val="000000"/>
          <w:sz w:val="24"/>
          <w:szCs w:val="24"/>
        </w:rPr>
        <w:t>any relevant provision of the Act and had not misconstrued her functions and that she had not</w:t>
      </w:r>
      <w:r w:rsidR="005D48A0" w:rsidRPr="00BA4E9F">
        <w:rPr>
          <w:rFonts w:ascii="Arial" w:eastAsia="Calibri" w:hAnsi="Arial" w:cs="Arial"/>
          <w:color w:val="000000"/>
          <w:sz w:val="24"/>
          <w:szCs w:val="24"/>
        </w:rPr>
        <w:t>,</w:t>
      </w:r>
      <w:r w:rsidR="00F72119" w:rsidRPr="00BA4E9F">
        <w:rPr>
          <w:rFonts w:ascii="Arial" w:eastAsia="Calibri" w:hAnsi="Arial" w:cs="Arial"/>
          <w:color w:val="000000"/>
          <w:sz w:val="24"/>
          <w:szCs w:val="24"/>
        </w:rPr>
        <w:t xml:space="preserve"> even if </w:t>
      </w:r>
      <w:r w:rsidR="00741BFF" w:rsidRPr="00BA4E9F">
        <w:rPr>
          <w:rFonts w:ascii="Arial" w:eastAsia="Calibri" w:hAnsi="Arial" w:cs="Arial"/>
          <w:color w:val="000000"/>
          <w:sz w:val="24"/>
          <w:szCs w:val="24"/>
        </w:rPr>
        <w:t xml:space="preserve">regard is had to s </w:t>
      </w:r>
      <w:r w:rsidR="00C5380E" w:rsidRPr="00BA4E9F">
        <w:rPr>
          <w:rFonts w:ascii="Arial" w:eastAsia="Calibri" w:hAnsi="Arial" w:cs="Arial"/>
          <w:color w:val="000000"/>
          <w:sz w:val="24"/>
          <w:szCs w:val="24"/>
        </w:rPr>
        <w:t>22(1) of the Superior Co</w:t>
      </w:r>
      <w:r w:rsidR="000349D2" w:rsidRPr="00BA4E9F">
        <w:rPr>
          <w:rFonts w:ascii="Arial" w:eastAsia="Calibri" w:hAnsi="Arial" w:cs="Arial"/>
          <w:color w:val="000000"/>
          <w:sz w:val="24"/>
          <w:szCs w:val="24"/>
        </w:rPr>
        <w:t>urts Act</w:t>
      </w:r>
      <w:r w:rsidR="003B2ADB" w:rsidRPr="00BA4E9F">
        <w:rPr>
          <w:rFonts w:ascii="Arial" w:eastAsia="Calibri" w:hAnsi="Arial" w:cs="Arial"/>
          <w:color w:val="000000"/>
          <w:sz w:val="24"/>
          <w:szCs w:val="24"/>
        </w:rPr>
        <w:t xml:space="preserve"> 10 of 2013</w:t>
      </w:r>
      <w:r w:rsidR="003D474C" w:rsidRPr="00BA4E9F">
        <w:rPr>
          <w:rFonts w:ascii="Arial" w:eastAsia="Calibri" w:hAnsi="Arial" w:cs="Arial"/>
          <w:color w:val="000000"/>
          <w:sz w:val="24"/>
          <w:szCs w:val="24"/>
        </w:rPr>
        <w:t>,</w:t>
      </w:r>
      <w:r w:rsidR="000349D2" w:rsidRPr="00BA4E9F">
        <w:rPr>
          <w:rFonts w:ascii="Arial" w:eastAsia="Calibri" w:hAnsi="Arial" w:cs="Arial"/>
          <w:color w:val="000000"/>
          <w:sz w:val="24"/>
          <w:szCs w:val="24"/>
        </w:rPr>
        <w:t xml:space="preserve"> providing for proceedings of any Magistrates</w:t>
      </w:r>
      <w:r w:rsidR="00B016C2" w:rsidRPr="00BA4E9F">
        <w:rPr>
          <w:rFonts w:ascii="Arial" w:eastAsia="Calibri" w:hAnsi="Arial" w:cs="Arial"/>
          <w:color w:val="000000"/>
          <w:sz w:val="24"/>
          <w:szCs w:val="24"/>
        </w:rPr>
        <w:t>’ Court to be reviewed on the ba</w:t>
      </w:r>
      <w:r w:rsidR="005D48A0" w:rsidRPr="00BA4E9F">
        <w:rPr>
          <w:rFonts w:ascii="Arial" w:eastAsia="Calibri" w:hAnsi="Arial" w:cs="Arial"/>
          <w:color w:val="000000"/>
          <w:sz w:val="24"/>
          <w:szCs w:val="24"/>
        </w:rPr>
        <w:t>s</w:t>
      </w:r>
      <w:r w:rsidR="00B016C2" w:rsidRPr="00BA4E9F">
        <w:rPr>
          <w:rFonts w:ascii="Arial" w:eastAsia="Calibri" w:hAnsi="Arial" w:cs="Arial"/>
          <w:color w:val="000000"/>
          <w:sz w:val="24"/>
          <w:szCs w:val="24"/>
        </w:rPr>
        <w:t>is of a gross irregularity in the proceedings</w:t>
      </w:r>
      <w:r w:rsidR="005D48A0" w:rsidRPr="00BA4E9F">
        <w:rPr>
          <w:rFonts w:ascii="Arial" w:eastAsia="Calibri" w:hAnsi="Arial" w:cs="Arial"/>
          <w:color w:val="000000"/>
          <w:sz w:val="24"/>
          <w:szCs w:val="24"/>
        </w:rPr>
        <w:t xml:space="preserve">, </w:t>
      </w:r>
      <w:r w:rsidR="009A4F29" w:rsidRPr="00BA4E9F">
        <w:rPr>
          <w:rFonts w:ascii="Arial" w:eastAsia="Calibri" w:hAnsi="Arial" w:cs="Arial"/>
          <w:color w:val="000000"/>
          <w:sz w:val="24"/>
          <w:szCs w:val="24"/>
        </w:rPr>
        <w:t>committed any irregularity at all.</w:t>
      </w:r>
      <w:r w:rsidR="002F790C" w:rsidRPr="00BA4E9F">
        <w:rPr>
          <w:rStyle w:val="FootnoteReference"/>
          <w:rFonts w:ascii="Arial" w:eastAsia="Calibri" w:hAnsi="Arial" w:cs="Arial"/>
          <w:color w:val="000000"/>
          <w:sz w:val="24"/>
          <w:szCs w:val="24"/>
        </w:rPr>
        <w:footnoteReference w:id="2"/>
      </w:r>
    </w:p>
    <w:p w14:paraId="4BBA00F6" w14:textId="1D2E330C" w:rsidR="009A4F29" w:rsidRPr="00BA4E9F" w:rsidRDefault="009D277F" w:rsidP="009D277F">
      <w:pPr>
        <w:tabs>
          <w:tab w:val="left" w:pos="2400"/>
        </w:tabs>
        <w:spacing w:line="360" w:lineRule="auto"/>
        <w:jc w:val="both"/>
        <w:rPr>
          <w:rFonts w:ascii="Arial" w:eastAsia="Calibri" w:hAnsi="Arial" w:cs="Arial"/>
          <w:color w:val="000000"/>
          <w:sz w:val="24"/>
          <w:szCs w:val="24"/>
        </w:rPr>
      </w:pPr>
      <w:r>
        <w:rPr>
          <w:rFonts w:ascii="Arial" w:eastAsia="Calibri" w:hAnsi="Arial" w:cs="Arial"/>
          <w:color w:val="000000"/>
          <w:sz w:val="24"/>
          <w:szCs w:val="24"/>
        </w:rPr>
        <w:tab/>
      </w:r>
    </w:p>
    <w:p w14:paraId="33A8EA23" w14:textId="51AC09A9" w:rsidR="008A11F3" w:rsidRDefault="00383EDC" w:rsidP="00590CED">
      <w:pPr>
        <w:spacing w:line="360" w:lineRule="auto"/>
        <w:jc w:val="both"/>
        <w:rPr>
          <w:rFonts w:ascii="Arial" w:eastAsia="Calibri" w:hAnsi="Arial" w:cs="Arial"/>
          <w:color w:val="000000"/>
          <w:sz w:val="24"/>
          <w:szCs w:val="24"/>
        </w:rPr>
      </w:pPr>
      <w:r w:rsidRPr="00BA4E9F">
        <w:rPr>
          <w:rFonts w:ascii="Arial" w:eastAsia="Calibri" w:hAnsi="Arial" w:cs="Arial"/>
          <w:color w:val="000000"/>
          <w:sz w:val="24"/>
          <w:szCs w:val="24"/>
        </w:rPr>
        <w:t>[27]</w:t>
      </w:r>
      <w:r w:rsidRPr="00BA4E9F">
        <w:rPr>
          <w:rFonts w:ascii="Arial" w:eastAsia="Calibri" w:hAnsi="Arial" w:cs="Arial"/>
          <w:color w:val="000000"/>
          <w:sz w:val="24"/>
          <w:szCs w:val="24"/>
        </w:rPr>
        <w:tab/>
        <w:t xml:space="preserve">The full court in </w:t>
      </w:r>
      <w:r w:rsidR="002400F0" w:rsidRPr="00BA4E9F">
        <w:rPr>
          <w:rFonts w:ascii="Arial" w:eastAsia="Calibri" w:hAnsi="Arial" w:cs="Arial"/>
          <w:color w:val="000000"/>
          <w:sz w:val="24"/>
          <w:szCs w:val="24"/>
        </w:rPr>
        <w:t>view</w:t>
      </w:r>
      <w:r w:rsidRPr="00BA4E9F">
        <w:rPr>
          <w:rFonts w:ascii="Arial" w:eastAsia="Calibri" w:hAnsi="Arial" w:cs="Arial"/>
          <w:color w:val="000000"/>
          <w:sz w:val="24"/>
          <w:szCs w:val="24"/>
        </w:rPr>
        <w:t xml:space="preserve"> of the conclu</w:t>
      </w:r>
      <w:r w:rsidR="002400F0" w:rsidRPr="00BA4E9F">
        <w:rPr>
          <w:rFonts w:ascii="Arial" w:eastAsia="Calibri" w:hAnsi="Arial" w:cs="Arial"/>
          <w:color w:val="000000"/>
          <w:sz w:val="24"/>
          <w:szCs w:val="24"/>
        </w:rPr>
        <w:t>s</w:t>
      </w:r>
      <w:r w:rsidRPr="00BA4E9F">
        <w:rPr>
          <w:rFonts w:ascii="Arial" w:eastAsia="Calibri" w:hAnsi="Arial" w:cs="Arial"/>
          <w:color w:val="000000"/>
          <w:sz w:val="24"/>
          <w:szCs w:val="24"/>
        </w:rPr>
        <w:t>ions it reached</w:t>
      </w:r>
      <w:r w:rsidR="004022E4" w:rsidRPr="00BA4E9F">
        <w:rPr>
          <w:rFonts w:ascii="Arial" w:eastAsia="Calibri" w:hAnsi="Arial" w:cs="Arial"/>
          <w:color w:val="000000"/>
          <w:sz w:val="24"/>
          <w:szCs w:val="24"/>
        </w:rPr>
        <w:t>,</w:t>
      </w:r>
      <w:r w:rsidR="002400F0" w:rsidRPr="00BA4E9F">
        <w:rPr>
          <w:rFonts w:ascii="Arial" w:eastAsia="Calibri" w:hAnsi="Arial" w:cs="Arial"/>
          <w:color w:val="000000"/>
          <w:sz w:val="24"/>
          <w:szCs w:val="24"/>
        </w:rPr>
        <w:t xml:space="preserve"> dismissed the application for the review and setting aside of the Magistrate’s findings against Hirt </w:t>
      </w:r>
      <w:r w:rsidR="004022E4" w:rsidRPr="00BA4E9F">
        <w:rPr>
          <w:rFonts w:ascii="Arial" w:eastAsia="Calibri" w:hAnsi="Arial" w:cs="Arial"/>
          <w:color w:val="000000"/>
          <w:sz w:val="24"/>
          <w:szCs w:val="24"/>
        </w:rPr>
        <w:t>&amp;</w:t>
      </w:r>
      <w:r w:rsidR="002400F0" w:rsidRPr="00BA4E9F">
        <w:rPr>
          <w:rFonts w:ascii="Arial" w:eastAsia="Calibri" w:hAnsi="Arial" w:cs="Arial"/>
          <w:color w:val="000000"/>
          <w:sz w:val="24"/>
          <w:szCs w:val="24"/>
        </w:rPr>
        <w:t xml:space="preserve"> Carter. The appeal is directed against that order.</w:t>
      </w:r>
      <w:r w:rsidR="00262C91" w:rsidRPr="00BA4E9F">
        <w:rPr>
          <w:rFonts w:ascii="Arial" w:eastAsia="Calibri" w:hAnsi="Arial" w:cs="Arial"/>
          <w:color w:val="000000"/>
          <w:sz w:val="24"/>
          <w:szCs w:val="24"/>
        </w:rPr>
        <w:t xml:space="preserve"> I now turn to consider whether it was justified.</w:t>
      </w:r>
      <w:r w:rsidRPr="00BA4E9F">
        <w:rPr>
          <w:rFonts w:ascii="Arial" w:eastAsia="Calibri" w:hAnsi="Arial" w:cs="Arial"/>
          <w:color w:val="000000"/>
          <w:sz w:val="24"/>
          <w:szCs w:val="24"/>
        </w:rPr>
        <w:t xml:space="preserve">  </w:t>
      </w:r>
      <w:r w:rsidR="000349D2" w:rsidRPr="00BA4E9F">
        <w:rPr>
          <w:rFonts w:ascii="Arial" w:eastAsia="Calibri" w:hAnsi="Arial" w:cs="Arial"/>
          <w:color w:val="000000"/>
          <w:sz w:val="24"/>
          <w:szCs w:val="24"/>
        </w:rPr>
        <w:t xml:space="preserve"> </w:t>
      </w:r>
    </w:p>
    <w:p w14:paraId="54FF0D57" w14:textId="77777777" w:rsidR="009D4A8B" w:rsidRDefault="009D4A8B" w:rsidP="00590CED">
      <w:pPr>
        <w:spacing w:line="360" w:lineRule="auto"/>
        <w:jc w:val="both"/>
        <w:rPr>
          <w:rFonts w:ascii="Arial" w:eastAsia="Calibri" w:hAnsi="Arial" w:cs="Arial"/>
          <w:color w:val="000000"/>
          <w:sz w:val="24"/>
          <w:szCs w:val="24"/>
        </w:rPr>
      </w:pPr>
    </w:p>
    <w:p w14:paraId="1DBA30B9" w14:textId="24B87F79" w:rsidR="00DA7A10" w:rsidRPr="000E6E7F" w:rsidRDefault="00DA7A10" w:rsidP="009D4A8B">
      <w:pPr>
        <w:spacing w:line="360" w:lineRule="auto"/>
        <w:jc w:val="both"/>
        <w:rPr>
          <w:rFonts w:ascii="Arial" w:eastAsia="Calibri" w:hAnsi="Arial" w:cs="Arial"/>
          <w:color w:val="000000"/>
          <w:sz w:val="24"/>
          <w:szCs w:val="24"/>
        </w:rPr>
      </w:pPr>
      <w:r w:rsidRPr="00BA4E9F">
        <w:rPr>
          <w:rFonts w:ascii="Arial" w:eastAsia="Calibri" w:hAnsi="Arial" w:cs="Arial"/>
          <w:color w:val="000000"/>
          <w:sz w:val="24"/>
          <w:szCs w:val="24"/>
        </w:rPr>
        <w:t>[28]</w:t>
      </w:r>
      <w:r w:rsidRPr="00BA4E9F">
        <w:rPr>
          <w:rFonts w:ascii="Arial" w:eastAsia="Calibri" w:hAnsi="Arial" w:cs="Arial"/>
          <w:color w:val="000000"/>
          <w:sz w:val="24"/>
          <w:szCs w:val="24"/>
        </w:rPr>
        <w:tab/>
        <w:t>As presaged above, it is necessary to bear in mind that we are dealing with a review and not an appeal against the Magistrate’</w:t>
      </w:r>
      <w:r w:rsidR="008D38A3" w:rsidRPr="00BA4E9F">
        <w:rPr>
          <w:rFonts w:ascii="Arial" w:eastAsia="Calibri" w:hAnsi="Arial" w:cs="Arial"/>
          <w:color w:val="000000"/>
          <w:sz w:val="24"/>
          <w:szCs w:val="24"/>
        </w:rPr>
        <w:t xml:space="preserve">s findings. </w:t>
      </w:r>
      <w:r w:rsidRPr="00BA4E9F">
        <w:rPr>
          <w:rFonts w:ascii="Arial" w:eastAsia="Calibri" w:hAnsi="Arial" w:cs="Arial"/>
          <w:color w:val="000000"/>
          <w:sz w:val="24"/>
          <w:szCs w:val="24"/>
        </w:rPr>
        <w:t>This C</w:t>
      </w:r>
      <w:r w:rsidRPr="00D26987">
        <w:rPr>
          <w:rFonts w:ascii="Arial" w:eastAsia="Calibri" w:hAnsi="Arial" w:cs="Arial"/>
          <w:color w:val="000000"/>
          <w:sz w:val="24"/>
          <w:szCs w:val="24"/>
        </w:rPr>
        <w:t xml:space="preserve">ourt has stressed that the fundamental distinction between appeal and review must not be blurred or </w:t>
      </w:r>
      <w:r w:rsidR="00FB751D">
        <w:rPr>
          <w:rFonts w:ascii="Arial" w:eastAsia="Calibri" w:hAnsi="Arial" w:cs="Arial"/>
          <w:color w:val="000000"/>
          <w:sz w:val="24"/>
          <w:szCs w:val="24"/>
        </w:rPr>
        <w:t xml:space="preserve">be </w:t>
      </w:r>
      <w:r w:rsidRPr="00D26987">
        <w:rPr>
          <w:rFonts w:ascii="Arial" w:eastAsia="Calibri" w:hAnsi="Arial" w:cs="Arial"/>
          <w:color w:val="000000"/>
          <w:sz w:val="24"/>
          <w:szCs w:val="24"/>
        </w:rPr>
        <w:t>eliminated and that the time-honoured</w:t>
      </w:r>
      <w:r w:rsidR="008A6A2C">
        <w:rPr>
          <w:rFonts w:ascii="Arial" w:eastAsia="Calibri" w:hAnsi="Arial" w:cs="Arial"/>
          <w:color w:val="000000"/>
          <w:sz w:val="24"/>
          <w:szCs w:val="24"/>
        </w:rPr>
        <w:t>,</w:t>
      </w:r>
      <w:r w:rsidRPr="00D26987">
        <w:rPr>
          <w:rFonts w:ascii="Arial" w:eastAsia="Calibri" w:hAnsi="Arial" w:cs="Arial"/>
          <w:color w:val="000000"/>
          <w:sz w:val="24"/>
          <w:szCs w:val="24"/>
        </w:rPr>
        <w:t xml:space="preserve"> and socially necessary separate and distinct forms of relief must be honoured.</w:t>
      </w:r>
      <w:r w:rsidRPr="00D26987">
        <w:rPr>
          <w:rFonts w:ascii="Arial" w:eastAsia="Calibri" w:hAnsi="Arial" w:cs="Arial"/>
          <w:color w:val="000000"/>
          <w:sz w:val="24"/>
          <w:szCs w:val="24"/>
          <w:vertAlign w:val="superscript"/>
        </w:rPr>
        <w:footnoteReference w:id="3"/>
      </w:r>
      <w:r w:rsidR="00734897">
        <w:rPr>
          <w:rFonts w:ascii="Arial" w:eastAsia="Calibri" w:hAnsi="Arial" w:cs="Arial"/>
          <w:color w:val="000000"/>
          <w:sz w:val="24"/>
          <w:szCs w:val="24"/>
        </w:rPr>
        <w:t xml:space="preserve"> There is, it is clear, no right of appeal against an inquest finding.  </w:t>
      </w:r>
    </w:p>
    <w:p w14:paraId="228FC2EC" w14:textId="77777777" w:rsidR="008D38A3" w:rsidRDefault="008D38A3" w:rsidP="00590CED">
      <w:pPr>
        <w:spacing w:line="360" w:lineRule="auto"/>
        <w:jc w:val="both"/>
        <w:rPr>
          <w:rFonts w:ascii="Arial" w:eastAsia="Calibri" w:hAnsi="Arial" w:cs="Arial"/>
          <w:color w:val="000000"/>
          <w:sz w:val="24"/>
          <w:szCs w:val="24"/>
        </w:rPr>
      </w:pPr>
    </w:p>
    <w:p w14:paraId="00CE73CC" w14:textId="1E47F95E" w:rsidR="00590CED" w:rsidRPr="00D26987" w:rsidRDefault="00590CED" w:rsidP="00590CED">
      <w:pPr>
        <w:spacing w:line="360" w:lineRule="auto"/>
        <w:jc w:val="both"/>
        <w:rPr>
          <w:rFonts w:ascii="Arial" w:eastAsia="Calibri" w:hAnsi="Arial" w:cs="Arial"/>
          <w:color w:val="000000"/>
          <w:sz w:val="24"/>
          <w:szCs w:val="24"/>
        </w:rPr>
      </w:pPr>
      <w:r>
        <w:rPr>
          <w:rFonts w:ascii="Arial" w:eastAsia="Calibri" w:hAnsi="Arial" w:cs="Arial"/>
          <w:color w:val="000000"/>
          <w:sz w:val="24"/>
          <w:szCs w:val="24"/>
        </w:rPr>
        <w:t>[</w:t>
      </w:r>
      <w:r w:rsidR="002400F0">
        <w:rPr>
          <w:rFonts w:ascii="Arial" w:eastAsia="Calibri" w:hAnsi="Arial" w:cs="Arial"/>
          <w:color w:val="000000"/>
          <w:sz w:val="24"/>
          <w:szCs w:val="24"/>
        </w:rPr>
        <w:t>2</w:t>
      </w:r>
      <w:r w:rsidR="008D38A3">
        <w:rPr>
          <w:rFonts w:ascii="Arial" w:eastAsia="Calibri" w:hAnsi="Arial" w:cs="Arial"/>
          <w:color w:val="000000"/>
          <w:sz w:val="24"/>
          <w:szCs w:val="24"/>
        </w:rPr>
        <w:t>9</w:t>
      </w:r>
      <w:r>
        <w:rPr>
          <w:rFonts w:ascii="Arial" w:eastAsia="Calibri" w:hAnsi="Arial" w:cs="Arial"/>
          <w:color w:val="000000"/>
          <w:sz w:val="24"/>
          <w:szCs w:val="24"/>
        </w:rPr>
        <w:t>]</w:t>
      </w:r>
      <w:r>
        <w:rPr>
          <w:rFonts w:ascii="Arial" w:eastAsia="Calibri" w:hAnsi="Arial" w:cs="Arial"/>
          <w:color w:val="000000"/>
          <w:sz w:val="24"/>
          <w:szCs w:val="24"/>
        </w:rPr>
        <w:tab/>
      </w:r>
      <w:r w:rsidRPr="00D26987">
        <w:rPr>
          <w:rFonts w:ascii="Arial" w:eastAsia="Calibri" w:hAnsi="Arial" w:cs="Arial"/>
          <w:color w:val="000000"/>
          <w:sz w:val="24"/>
          <w:szCs w:val="24"/>
        </w:rPr>
        <w:t>A mistake</w:t>
      </w:r>
      <w:r>
        <w:rPr>
          <w:rFonts w:ascii="Arial" w:eastAsia="Calibri" w:hAnsi="Arial" w:cs="Arial"/>
          <w:color w:val="000000"/>
          <w:sz w:val="24"/>
          <w:szCs w:val="24"/>
        </w:rPr>
        <w:t xml:space="preserve"> or error</w:t>
      </w:r>
      <w:r w:rsidRPr="00D26987">
        <w:rPr>
          <w:rFonts w:ascii="Arial" w:eastAsia="Calibri" w:hAnsi="Arial" w:cs="Arial"/>
          <w:color w:val="000000"/>
          <w:sz w:val="24"/>
          <w:szCs w:val="24"/>
        </w:rPr>
        <w:t xml:space="preserve"> of law </w:t>
      </w:r>
      <w:r>
        <w:rPr>
          <w:rFonts w:ascii="Arial" w:eastAsia="Calibri" w:hAnsi="Arial" w:cs="Arial"/>
          <w:color w:val="000000"/>
          <w:sz w:val="24"/>
          <w:szCs w:val="24"/>
        </w:rPr>
        <w:t xml:space="preserve">does not </w:t>
      </w:r>
      <w:r w:rsidRPr="0039268E">
        <w:rPr>
          <w:rFonts w:ascii="Arial" w:eastAsia="Calibri" w:hAnsi="Arial" w:cs="Arial"/>
          <w:iCs/>
          <w:color w:val="000000"/>
          <w:sz w:val="24"/>
          <w:szCs w:val="24"/>
        </w:rPr>
        <w:t>per se</w:t>
      </w:r>
      <w:r w:rsidRPr="00D26987">
        <w:rPr>
          <w:rFonts w:ascii="Arial" w:eastAsia="Calibri" w:hAnsi="Arial" w:cs="Arial"/>
          <w:color w:val="000000"/>
          <w:sz w:val="24"/>
          <w:szCs w:val="24"/>
        </w:rPr>
        <w:t xml:space="preserve"> constitute an irregularity in the proceedings, </w:t>
      </w:r>
      <w:r>
        <w:rPr>
          <w:rFonts w:ascii="Arial" w:eastAsia="Calibri" w:hAnsi="Arial" w:cs="Arial"/>
          <w:color w:val="000000"/>
          <w:sz w:val="24"/>
          <w:szCs w:val="24"/>
        </w:rPr>
        <w:t>or vi</w:t>
      </w:r>
      <w:r w:rsidR="0039268E">
        <w:rPr>
          <w:rFonts w:ascii="Arial" w:eastAsia="Calibri" w:hAnsi="Arial" w:cs="Arial"/>
          <w:color w:val="000000"/>
          <w:sz w:val="24"/>
          <w:szCs w:val="24"/>
        </w:rPr>
        <w:t>tiates a decision at common law</w:t>
      </w:r>
      <w:r>
        <w:rPr>
          <w:rFonts w:ascii="Arial" w:eastAsia="Calibri" w:hAnsi="Arial" w:cs="Arial"/>
          <w:color w:val="000000"/>
          <w:sz w:val="24"/>
          <w:szCs w:val="24"/>
        </w:rPr>
        <w:t xml:space="preserve"> </w:t>
      </w:r>
      <w:r w:rsidRPr="00D26987">
        <w:rPr>
          <w:rFonts w:ascii="Arial" w:eastAsia="Calibri" w:hAnsi="Arial" w:cs="Arial"/>
          <w:color w:val="000000"/>
          <w:sz w:val="24"/>
          <w:szCs w:val="24"/>
        </w:rPr>
        <w:t>otherwise</w:t>
      </w:r>
      <w:r>
        <w:rPr>
          <w:rFonts w:ascii="Arial" w:eastAsia="Calibri" w:hAnsi="Arial" w:cs="Arial"/>
          <w:color w:val="000000"/>
          <w:sz w:val="24"/>
          <w:szCs w:val="24"/>
        </w:rPr>
        <w:t xml:space="preserve"> a review would lie in every case in which there </w:t>
      </w:r>
      <w:r w:rsidR="0039268E">
        <w:rPr>
          <w:rFonts w:ascii="Arial" w:eastAsia="Calibri" w:hAnsi="Arial" w:cs="Arial"/>
          <w:color w:val="000000"/>
          <w:sz w:val="24"/>
          <w:szCs w:val="24"/>
        </w:rPr>
        <w:t xml:space="preserve">was an error on a legal issue. </w:t>
      </w:r>
      <w:r>
        <w:rPr>
          <w:rFonts w:ascii="Arial" w:eastAsia="Calibri" w:hAnsi="Arial" w:cs="Arial"/>
          <w:sz w:val="24"/>
          <w:szCs w:val="24"/>
        </w:rPr>
        <w:t xml:space="preserve">See </w:t>
      </w:r>
      <w:r w:rsidRPr="009A0041">
        <w:rPr>
          <w:rFonts w:ascii="Arial" w:eastAsia="Calibri" w:hAnsi="Arial" w:cs="Arial"/>
          <w:i/>
          <w:iCs/>
          <w:sz w:val="24"/>
          <w:szCs w:val="24"/>
        </w:rPr>
        <w:t xml:space="preserve">Hira and Another v </w:t>
      </w:r>
      <w:r w:rsidRPr="009A0041">
        <w:rPr>
          <w:rFonts w:ascii="Arial" w:eastAsia="Calibri" w:hAnsi="Arial" w:cs="Arial"/>
          <w:i/>
          <w:iCs/>
          <w:sz w:val="24"/>
          <w:szCs w:val="24"/>
        </w:rPr>
        <w:lastRenderedPageBreak/>
        <w:t>Booysen</w:t>
      </w:r>
      <w:r w:rsidRPr="009A0041">
        <w:rPr>
          <w:rFonts w:ascii="Arial" w:eastAsia="Calibri" w:hAnsi="Arial" w:cs="Arial"/>
          <w:sz w:val="24"/>
          <w:szCs w:val="24"/>
        </w:rPr>
        <w:t xml:space="preserve"> 1992 (4) SA 69</w:t>
      </w:r>
      <w:r w:rsidR="00C8722C" w:rsidRPr="00511F68">
        <w:rPr>
          <w:rFonts w:ascii="Arial" w:eastAsia="Calibri" w:hAnsi="Arial" w:cs="Arial"/>
          <w:sz w:val="24"/>
          <w:szCs w:val="24"/>
        </w:rPr>
        <w:t xml:space="preserve"> </w:t>
      </w:r>
      <w:r w:rsidRPr="009A0041">
        <w:rPr>
          <w:rFonts w:ascii="Arial" w:eastAsia="Calibri" w:hAnsi="Arial" w:cs="Arial"/>
          <w:sz w:val="24"/>
          <w:szCs w:val="24"/>
        </w:rPr>
        <w:t xml:space="preserve">(A) at 85C-F </w:t>
      </w:r>
      <w:r w:rsidRPr="00511F68">
        <w:rPr>
          <w:rFonts w:ascii="Arial" w:eastAsia="Calibri" w:hAnsi="Arial" w:cs="Arial"/>
          <w:sz w:val="24"/>
          <w:szCs w:val="24"/>
        </w:rPr>
        <w:t xml:space="preserve">with reference to </w:t>
      </w:r>
      <w:r w:rsidRPr="00511F68">
        <w:rPr>
          <w:rFonts w:ascii="Arial" w:eastAsia="Calibri" w:hAnsi="Arial" w:cs="Arial"/>
          <w:i/>
          <w:iCs/>
          <w:sz w:val="24"/>
          <w:szCs w:val="24"/>
        </w:rPr>
        <w:t>Doyle v Shenker</w:t>
      </w:r>
      <w:r w:rsidRPr="009F1D3A">
        <w:rPr>
          <w:rFonts w:ascii="Arial" w:eastAsia="Calibri" w:hAnsi="Arial" w:cs="Arial"/>
          <w:i/>
          <w:iCs/>
          <w:sz w:val="24"/>
          <w:szCs w:val="24"/>
        </w:rPr>
        <w:t xml:space="preserve"> </w:t>
      </w:r>
      <w:r w:rsidR="00C62254">
        <w:rPr>
          <w:rFonts w:ascii="Arial" w:eastAsia="Calibri" w:hAnsi="Arial" w:cs="Arial"/>
          <w:i/>
          <w:iCs/>
          <w:sz w:val="24"/>
          <w:szCs w:val="24"/>
        </w:rPr>
        <w:t>and</w:t>
      </w:r>
      <w:r w:rsidRPr="009F1D3A">
        <w:rPr>
          <w:rFonts w:ascii="Arial" w:eastAsia="Calibri" w:hAnsi="Arial" w:cs="Arial"/>
          <w:i/>
          <w:iCs/>
          <w:sz w:val="24"/>
          <w:szCs w:val="24"/>
        </w:rPr>
        <w:t xml:space="preserve"> Co </w:t>
      </w:r>
      <w:r w:rsidR="00C62254">
        <w:rPr>
          <w:rFonts w:ascii="Arial" w:eastAsia="Calibri" w:hAnsi="Arial" w:cs="Arial"/>
          <w:i/>
          <w:iCs/>
          <w:sz w:val="24"/>
          <w:szCs w:val="24"/>
        </w:rPr>
        <w:t>L</w:t>
      </w:r>
      <w:r w:rsidRPr="009F1D3A">
        <w:rPr>
          <w:rFonts w:ascii="Arial" w:eastAsia="Calibri" w:hAnsi="Arial" w:cs="Arial"/>
          <w:i/>
          <w:iCs/>
          <w:sz w:val="24"/>
          <w:szCs w:val="24"/>
        </w:rPr>
        <w:t>td</w:t>
      </w:r>
      <w:r>
        <w:rPr>
          <w:rFonts w:ascii="Arial" w:eastAsia="Calibri" w:hAnsi="Arial" w:cs="Arial"/>
          <w:sz w:val="24"/>
          <w:szCs w:val="24"/>
        </w:rPr>
        <w:t xml:space="preserve"> 19</w:t>
      </w:r>
      <w:r w:rsidR="00C62254">
        <w:rPr>
          <w:rFonts w:ascii="Arial" w:eastAsia="Calibri" w:hAnsi="Arial" w:cs="Arial"/>
          <w:sz w:val="24"/>
          <w:szCs w:val="24"/>
        </w:rPr>
        <w:t>1</w:t>
      </w:r>
      <w:r>
        <w:rPr>
          <w:rFonts w:ascii="Arial" w:eastAsia="Calibri" w:hAnsi="Arial" w:cs="Arial"/>
          <w:sz w:val="24"/>
          <w:szCs w:val="24"/>
        </w:rPr>
        <w:t>5 AD</w:t>
      </w:r>
      <w:r w:rsidR="00C62254">
        <w:rPr>
          <w:rFonts w:ascii="Arial" w:eastAsia="Calibri" w:hAnsi="Arial" w:cs="Arial"/>
          <w:sz w:val="24"/>
          <w:szCs w:val="24"/>
        </w:rPr>
        <w:t xml:space="preserve"> 233</w:t>
      </w:r>
      <w:r>
        <w:rPr>
          <w:rFonts w:ascii="Arial" w:eastAsia="Calibri" w:hAnsi="Arial" w:cs="Arial"/>
          <w:sz w:val="24"/>
          <w:szCs w:val="24"/>
        </w:rPr>
        <w:t>, which dealt with a review based on a provision similar to s 22(1)</w:t>
      </w:r>
      <w:r w:rsidRPr="000D047D">
        <w:rPr>
          <w:rFonts w:ascii="Arial" w:eastAsia="Calibri" w:hAnsi="Arial" w:cs="Arial"/>
          <w:i/>
          <w:sz w:val="24"/>
          <w:szCs w:val="24"/>
        </w:rPr>
        <w:t>(</w:t>
      </w:r>
      <w:r w:rsidRPr="008A6A2C">
        <w:rPr>
          <w:rFonts w:ascii="Arial" w:eastAsia="Calibri" w:hAnsi="Arial" w:cs="Arial"/>
          <w:i/>
          <w:sz w:val="24"/>
          <w:szCs w:val="24"/>
        </w:rPr>
        <w:t>c</w:t>
      </w:r>
      <w:r w:rsidRPr="000D047D">
        <w:rPr>
          <w:rFonts w:ascii="Arial" w:eastAsia="Calibri" w:hAnsi="Arial" w:cs="Arial"/>
          <w:i/>
          <w:sz w:val="24"/>
          <w:szCs w:val="24"/>
        </w:rPr>
        <w:t>)</w:t>
      </w:r>
      <w:r>
        <w:rPr>
          <w:rFonts w:ascii="Arial" w:eastAsia="Calibri" w:hAnsi="Arial" w:cs="Arial"/>
          <w:sz w:val="24"/>
          <w:szCs w:val="24"/>
        </w:rPr>
        <w:t xml:space="preserve"> of the Superior Courts Act</w:t>
      </w:r>
      <w:r w:rsidR="0039268E">
        <w:rPr>
          <w:rFonts w:ascii="Arial" w:eastAsia="Calibri" w:hAnsi="Arial" w:cs="Arial"/>
          <w:sz w:val="24"/>
          <w:szCs w:val="24"/>
        </w:rPr>
        <w:t>.</w:t>
      </w:r>
      <w:r>
        <w:rPr>
          <w:rStyle w:val="FootnoteReference"/>
          <w:rFonts w:ascii="Arial" w:eastAsia="Calibri" w:hAnsi="Arial" w:cs="Arial"/>
          <w:sz w:val="24"/>
          <w:szCs w:val="24"/>
        </w:rPr>
        <w:footnoteReference w:id="4"/>
      </w:r>
      <w:r>
        <w:rPr>
          <w:rFonts w:ascii="Arial" w:eastAsia="Calibri" w:hAnsi="Arial" w:cs="Arial"/>
          <w:sz w:val="24"/>
          <w:szCs w:val="24"/>
        </w:rPr>
        <w:t xml:space="preserve">       </w:t>
      </w:r>
    </w:p>
    <w:p w14:paraId="5E3B5417" w14:textId="77777777" w:rsidR="004567C1" w:rsidRDefault="004567C1" w:rsidP="003C1116">
      <w:pPr>
        <w:spacing w:line="360" w:lineRule="auto"/>
        <w:jc w:val="both"/>
        <w:rPr>
          <w:rFonts w:ascii="Arial" w:eastAsia="Calibri" w:hAnsi="Arial" w:cs="Arial"/>
          <w:color w:val="000000"/>
          <w:sz w:val="24"/>
          <w:szCs w:val="24"/>
        </w:rPr>
      </w:pPr>
    </w:p>
    <w:p w14:paraId="48EB6214" w14:textId="7D080C20" w:rsidR="003C1116" w:rsidRPr="00BA4E9F" w:rsidRDefault="003C1116" w:rsidP="003C1116">
      <w:pPr>
        <w:spacing w:line="360" w:lineRule="auto"/>
        <w:jc w:val="both"/>
        <w:rPr>
          <w:rFonts w:ascii="Arial" w:eastAsia="Calibri" w:hAnsi="Arial" w:cs="Arial"/>
          <w:sz w:val="24"/>
          <w:szCs w:val="24"/>
        </w:rPr>
      </w:pPr>
      <w:r w:rsidRPr="00D26987">
        <w:rPr>
          <w:rFonts w:ascii="Arial" w:eastAsia="Calibri" w:hAnsi="Arial" w:cs="Arial"/>
          <w:color w:val="000000"/>
          <w:sz w:val="24"/>
          <w:szCs w:val="24"/>
        </w:rPr>
        <w:t>[</w:t>
      </w:r>
      <w:r w:rsidR="00532FB8">
        <w:rPr>
          <w:rFonts w:ascii="Arial" w:eastAsia="Calibri" w:hAnsi="Arial" w:cs="Arial"/>
          <w:color w:val="000000"/>
          <w:sz w:val="24"/>
          <w:szCs w:val="24"/>
        </w:rPr>
        <w:t>30</w:t>
      </w:r>
      <w:r w:rsidRPr="00D26987">
        <w:rPr>
          <w:rFonts w:ascii="Arial" w:eastAsia="Calibri" w:hAnsi="Arial" w:cs="Arial"/>
          <w:color w:val="000000"/>
          <w:sz w:val="24"/>
          <w:szCs w:val="24"/>
        </w:rPr>
        <w:t>]</w:t>
      </w:r>
      <w:r>
        <w:rPr>
          <w:rFonts w:ascii="Arial" w:eastAsia="Calibri" w:hAnsi="Arial" w:cs="Arial"/>
          <w:color w:val="000000"/>
          <w:sz w:val="24"/>
          <w:szCs w:val="24"/>
        </w:rPr>
        <w:tab/>
      </w:r>
      <w:r w:rsidR="00290AD8" w:rsidRPr="00BA4E9F">
        <w:rPr>
          <w:rFonts w:ascii="Arial" w:eastAsia="Calibri" w:hAnsi="Arial" w:cs="Arial"/>
          <w:sz w:val="24"/>
          <w:szCs w:val="24"/>
        </w:rPr>
        <w:t>A</w:t>
      </w:r>
      <w:r w:rsidRPr="00BA4E9F">
        <w:rPr>
          <w:rFonts w:ascii="Arial" w:eastAsia="Calibri" w:hAnsi="Arial" w:cs="Arial"/>
          <w:sz w:val="24"/>
          <w:szCs w:val="24"/>
        </w:rPr>
        <w:t xml:space="preserve">n error of law </w:t>
      </w:r>
      <w:r w:rsidRPr="006966CB">
        <w:rPr>
          <w:rFonts w:ascii="Arial" w:eastAsia="Calibri" w:hAnsi="Arial" w:cs="Arial"/>
          <w:sz w:val="24"/>
          <w:szCs w:val="24"/>
        </w:rPr>
        <w:t>can</w:t>
      </w:r>
      <w:r w:rsidR="00BC21A3" w:rsidRPr="006966CB">
        <w:rPr>
          <w:rFonts w:ascii="Arial" w:eastAsia="Calibri" w:hAnsi="Arial" w:cs="Arial"/>
          <w:sz w:val="24"/>
          <w:szCs w:val="24"/>
        </w:rPr>
        <w:t>,</w:t>
      </w:r>
      <w:r w:rsidRPr="006966CB">
        <w:rPr>
          <w:rFonts w:ascii="Arial" w:eastAsia="Calibri" w:hAnsi="Arial" w:cs="Arial"/>
          <w:sz w:val="24"/>
          <w:szCs w:val="24"/>
        </w:rPr>
        <w:t xml:space="preserve"> in</w:t>
      </w:r>
      <w:r w:rsidRPr="00BA4E9F">
        <w:rPr>
          <w:rFonts w:ascii="Arial" w:eastAsia="Calibri" w:hAnsi="Arial" w:cs="Arial"/>
          <w:sz w:val="24"/>
          <w:szCs w:val="24"/>
        </w:rPr>
        <w:t xml:space="preserve"> appropriate</w:t>
      </w:r>
      <w:r w:rsidR="0039268E" w:rsidRPr="00BA4E9F">
        <w:rPr>
          <w:rFonts w:ascii="Arial" w:eastAsia="Calibri" w:hAnsi="Arial" w:cs="Arial"/>
          <w:sz w:val="24"/>
          <w:szCs w:val="24"/>
        </w:rPr>
        <w:t xml:space="preserve"> </w:t>
      </w:r>
      <w:r w:rsidR="0039268E" w:rsidRPr="006966CB">
        <w:rPr>
          <w:rFonts w:ascii="Arial" w:eastAsia="Calibri" w:hAnsi="Arial" w:cs="Arial"/>
          <w:sz w:val="24"/>
          <w:szCs w:val="24"/>
        </w:rPr>
        <w:t>circumstances</w:t>
      </w:r>
      <w:r w:rsidR="00BC21A3" w:rsidRPr="006966CB">
        <w:rPr>
          <w:rFonts w:ascii="Arial" w:eastAsia="Calibri" w:hAnsi="Arial" w:cs="Arial"/>
          <w:sz w:val="24"/>
          <w:szCs w:val="24"/>
        </w:rPr>
        <w:t>,</w:t>
      </w:r>
      <w:r w:rsidRPr="006966CB">
        <w:rPr>
          <w:rFonts w:ascii="Arial" w:eastAsia="Calibri" w:hAnsi="Arial" w:cs="Arial"/>
          <w:sz w:val="24"/>
          <w:szCs w:val="24"/>
        </w:rPr>
        <w:t xml:space="preserve"> found</w:t>
      </w:r>
      <w:r w:rsidRPr="00BA4E9F">
        <w:rPr>
          <w:rFonts w:ascii="Arial" w:eastAsia="Calibri" w:hAnsi="Arial" w:cs="Arial"/>
          <w:sz w:val="24"/>
          <w:szCs w:val="24"/>
        </w:rPr>
        <w:t xml:space="preserve"> a review in terms of the common law. This is so when the error is material and affects the outcome of the proceedings. If, for example</w:t>
      </w:r>
      <w:r w:rsidR="0039268E" w:rsidRPr="00BA4E9F">
        <w:rPr>
          <w:rFonts w:ascii="Arial" w:eastAsia="Calibri" w:hAnsi="Arial" w:cs="Arial"/>
          <w:sz w:val="24"/>
          <w:szCs w:val="24"/>
        </w:rPr>
        <w:t>,</w:t>
      </w:r>
      <w:r w:rsidRPr="00BA4E9F">
        <w:rPr>
          <w:rFonts w:ascii="Arial" w:eastAsia="Calibri" w:hAnsi="Arial" w:cs="Arial"/>
          <w:sz w:val="24"/>
          <w:szCs w:val="24"/>
        </w:rPr>
        <w:t xml:space="preserve"> a statutory cri</w:t>
      </w:r>
      <w:r w:rsidR="0039268E" w:rsidRPr="00BA4E9F">
        <w:rPr>
          <w:rFonts w:ascii="Arial" w:eastAsia="Calibri" w:hAnsi="Arial" w:cs="Arial"/>
          <w:sz w:val="24"/>
          <w:szCs w:val="24"/>
        </w:rPr>
        <w:t xml:space="preserve">terion was wrongly interpreted </w:t>
      </w:r>
      <w:r w:rsidRPr="00BA4E9F">
        <w:rPr>
          <w:rFonts w:ascii="Arial" w:eastAsia="Calibri" w:hAnsi="Arial" w:cs="Arial"/>
          <w:sz w:val="24"/>
          <w:szCs w:val="24"/>
        </w:rPr>
        <w:t>by a tribunal and on application of the correct approach the facts do not support the impugned decision, a review ought to succeed</w:t>
      </w:r>
      <w:r w:rsidR="004022E4" w:rsidRPr="00BA4E9F">
        <w:rPr>
          <w:rFonts w:ascii="Arial" w:eastAsia="Calibri" w:hAnsi="Arial" w:cs="Arial"/>
          <w:sz w:val="24"/>
          <w:szCs w:val="24"/>
        </w:rPr>
        <w:t>.</w:t>
      </w:r>
      <w:r w:rsidR="0083322D" w:rsidRPr="00BA4E9F">
        <w:rPr>
          <w:rFonts w:ascii="Arial" w:eastAsia="Calibri" w:hAnsi="Arial" w:cs="Arial"/>
          <w:sz w:val="24"/>
          <w:szCs w:val="24"/>
        </w:rPr>
        <w:t xml:space="preserve"> </w:t>
      </w:r>
      <w:r w:rsidR="00CC4ACD" w:rsidRPr="00BA4E9F">
        <w:rPr>
          <w:rFonts w:ascii="Arial" w:eastAsia="Calibri" w:hAnsi="Arial" w:cs="Arial"/>
          <w:sz w:val="24"/>
          <w:szCs w:val="24"/>
        </w:rPr>
        <w:t>So too</w:t>
      </w:r>
      <w:r w:rsidR="005136E9" w:rsidRPr="00BA4E9F">
        <w:rPr>
          <w:rFonts w:ascii="Arial" w:eastAsia="Calibri" w:hAnsi="Arial" w:cs="Arial"/>
          <w:sz w:val="24"/>
          <w:szCs w:val="24"/>
        </w:rPr>
        <w:t>,</w:t>
      </w:r>
      <w:r w:rsidR="00CC4ACD" w:rsidRPr="00BA4E9F">
        <w:rPr>
          <w:rFonts w:ascii="Arial" w:eastAsia="Calibri" w:hAnsi="Arial" w:cs="Arial"/>
          <w:sz w:val="24"/>
          <w:szCs w:val="24"/>
        </w:rPr>
        <w:t xml:space="preserve"> where it can be said that the tribunal </w:t>
      </w:r>
      <w:r w:rsidR="00DC4989" w:rsidRPr="00BA4E9F">
        <w:rPr>
          <w:rFonts w:ascii="Arial" w:eastAsia="Calibri" w:hAnsi="Arial" w:cs="Arial"/>
          <w:sz w:val="24"/>
          <w:szCs w:val="24"/>
        </w:rPr>
        <w:t xml:space="preserve">asked itself the wrong question or based its decision </w:t>
      </w:r>
      <w:r w:rsidR="00E32E42" w:rsidRPr="00BA4E9F">
        <w:rPr>
          <w:rFonts w:ascii="Arial" w:eastAsia="Calibri" w:hAnsi="Arial" w:cs="Arial"/>
          <w:sz w:val="24"/>
          <w:szCs w:val="24"/>
        </w:rPr>
        <w:t>on some matter not prescribed for its decision or failed to appl</w:t>
      </w:r>
      <w:r w:rsidR="0050308B" w:rsidRPr="00BA4E9F">
        <w:rPr>
          <w:rFonts w:ascii="Arial" w:eastAsia="Calibri" w:hAnsi="Arial" w:cs="Arial"/>
          <w:sz w:val="24"/>
          <w:szCs w:val="24"/>
        </w:rPr>
        <w:t>y its mind to the relevant issues in accordance with the behests of a statute</w:t>
      </w:r>
      <w:r w:rsidR="0039268E" w:rsidRPr="00BA4E9F">
        <w:rPr>
          <w:rFonts w:ascii="Arial" w:eastAsia="Calibri" w:hAnsi="Arial" w:cs="Arial"/>
          <w:sz w:val="24"/>
          <w:szCs w:val="24"/>
        </w:rPr>
        <w:t>.</w:t>
      </w:r>
      <w:r w:rsidR="00525B53" w:rsidRPr="00BA4E9F">
        <w:rPr>
          <w:rStyle w:val="FootnoteReference"/>
          <w:rFonts w:ascii="Arial" w:eastAsia="Calibri" w:hAnsi="Arial" w:cs="Arial"/>
          <w:sz w:val="24"/>
          <w:szCs w:val="24"/>
        </w:rPr>
        <w:footnoteReference w:id="5"/>
      </w:r>
      <w:r w:rsidRPr="00BA4E9F">
        <w:rPr>
          <w:rFonts w:ascii="Arial" w:eastAsia="Calibri" w:hAnsi="Arial" w:cs="Arial"/>
          <w:sz w:val="24"/>
          <w:szCs w:val="24"/>
        </w:rPr>
        <w:t xml:space="preserve">      </w:t>
      </w:r>
    </w:p>
    <w:p w14:paraId="7E2B4D56" w14:textId="77777777" w:rsidR="00262C91" w:rsidRPr="00BA4E9F" w:rsidRDefault="00262C91" w:rsidP="003C1116">
      <w:pPr>
        <w:spacing w:line="360" w:lineRule="auto"/>
        <w:jc w:val="both"/>
        <w:rPr>
          <w:rFonts w:ascii="Arial" w:eastAsia="Calibri" w:hAnsi="Arial" w:cs="Arial"/>
          <w:sz w:val="24"/>
          <w:szCs w:val="24"/>
        </w:rPr>
      </w:pPr>
    </w:p>
    <w:p w14:paraId="37953166" w14:textId="36E71AD2" w:rsidR="00922F73" w:rsidRPr="00D26987" w:rsidRDefault="00922F73" w:rsidP="003C1116">
      <w:pPr>
        <w:spacing w:line="360" w:lineRule="auto"/>
        <w:jc w:val="both"/>
        <w:rPr>
          <w:rFonts w:ascii="Arial" w:eastAsia="Calibri" w:hAnsi="Arial" w:cs="Arial"/>
          <w:color w:val="000000"/>
          <w:sz w:val="24"/>
          <w:szCs w:val="24"/>
        </w:rPr>
      </w:pPr>
      <w:r w:rsidRPr="00BA4E9F">
        <w:rPr>
          <w:rFonts w:ascii="Arial" w:eastAsia="Calibri" w:hAnsi="Arial" w:cs="Arial"/>
          <w:sz w:val="24"/>
          <w:szCs w:val="24"/>
        </w:rPr>
        <w:t>[31]</w:t>
      </w:r>
      <w:r w:rsidR="00262C91" w:rsidRPr="00BA4E9F">
        <w:rPr>
          <w:rFonts w:ascii="Arial" w:eastAsia="Calibri" w:hAnsi="Arial" w:cs="Arial"/>
          <w:sz w:val="24"/>
          <w:szCs w:val="24"/>
        </w:rPr>
        <w:tab/>
      </w:r>
      <w:r w:rsidR="008604E9" w:rsidRPr="00BA4E9F">
        <w:rPr>
          <w:rFonts w:ascii="Arial" w:eastAsia="Calibri" w:hAnsi="Arial" w:cs="Arial"/>
          <w:sz w:val="24"/>
          <w:szCs w:val="24"/>
        </w:rPr>
        <w:t>Before us it was vigorously contend</w:t>
      </w:r>
      <w:r w:rsidR="00097532" w:rsidRPr="00BA4E9F">
        <w:rPr>
          <w:rFonts w:ascii="Arial" w:eastAsia="Calibri" w:hAnsi="Arial" w:cs="Arial"/>
          <w:sz w:val="24"/>
          <w:szCs w:val="24"/>
        </w:rPr>
        <w:t>ed</w:t>
      </w:r>
      <w:r w:rsidR="008604E9" w:rsidRPr="00BA4E9F">
        <w:rPr>
          <w:rFonts w:ascii="Arial" w:eastAsia="Calibri" w:hAnsi="Arial" w:cs="Arial"/>
          <w:sz w:val="24"/>
          <w:szCs w:val="24"/>
        </w:rPr>
        <w:t xml:space="preserve"> that the </w:t>
      </w:r>
      <w:r w:rsidR="00950567" w:rsidRPr="00BA4E9F">
        <w:rPr>
          <w:rFonts w:ascii="Arial" w:eastAsia="Calibri" w:hAnsi="Arial" w:cs="Arial"/>
          <w:sz w:val="24"/>
          <w:szCs w:val="24"/>
        </w:rPr>
        <w:t>material error of law by the Magistrate was h</w:t>
      </w:r>
      <w:r w:rsidR="000258C7" w:rsidRPr="00BA4E9F">
        <w:rPr>
          <w:rFonts w:ascii="Arial" w:eastAsia="Calibri" w:hAnsi="Arial" w:cs="Arial"/>
          <w:sz w:val="24"/>
          <w:szCs w:val="24"/>
        </w:rPr>
        <w:t>er</w:t>
      </w:r>
      <w:r w:rsidR="00950567" w:rsidRPr="00BA4E9F">
        <w:rPr>
          <w:rFonts w:ascii="Arial" w:eastAsia="Calibri" w:hAnsi="Arial" w:cs="Arial"/>
          <w:sz w:val="24"/>
          <w:szCs w:val="24"/>
        </w:rPr>
        <w:t xml:space="preserve"> find</w:t>
      </w:r>
      <w:r w:rsidR="000258C7" w:rsidRPr="00BA4E9F">
        <w:rPr>
          <w:rFonts w:ascii="Arial" w:eastAsia="Calibri" w:hAnsi="Arial" w:cs="Arial"/>
          <w:sz w:val="24"/>
          <w:szCs w:val="24"/>
        </w:rPr>
        <w:t xml:space="preserve">ing that Hirt </w:t>
      </w:r>
      <w:r w:rsidR="00D65F31" w:rsidRPr="00BA4E9F">
        <w:rPr>
          <w:rFonts w:ascii="Arial" w:eastAsia="Calibri" w:hAnsi="Arial" w:cs="Arial"/>
          <w:sz w:val="24"/>
          <w:szCs w:val="24"/>
        </w:rPr>
        <w:t>&amp;</w:t>
      </w:r>
      <w:r w:rsidR="000258C7" w:rsidRPr="00BA4E9F">
        <w:rPr>
          <w:rFonts w:ascii="Arial" w:eastAsia="Calibri" w:hAnsi="Arial" w:cs="Arial"/>
          <w:sz w:val="24"/>
          <w:szCs w:val="24"/>
        </w:rPr>
        <w:t xml:space="preserve"> Carter </w:t>
      </w:r>
      <w:r w:rsidR="00A2355B" w:rsidRPr="00BA4E9F">
        <w:rPr>
          <w:rFonts w:ascii="Arial" w:eastAsia="Calibri" w:hAnsi="Arial" w:cs="Arial"/>
          <w:sz w:val="24"/>
          <w:szCs w:val="24"/>
        </w:rPr>
        <w:t>had an obligation to supervise</w:t>
      </w:r>
      <w:r w:rsidR="00205F39" w:rsidRPr="00BA4E9F">
        <w:rPr>
          <w:rFonts w:ascii="Arial" w:eastAsia="Calibri" w:hAnsi="Arial" w:cs="Arial"/>
          <w:sz w:val="24"/>
          <w:szCs w:val="24"/>
        </w:rPr>
        <w:t xml:space="preserve"> </w:t>
      </w:r>
      <w:r w:rsidR="002077EE" w:rsidRPr="00BA4E9F">
        <w:rPr>
          <w:rFonts w:ascii="Arial" w:eastAsia="Calibri" w:hAnsi="Arial" w:cs="Arial"/>
          <w:sz w:val="24"/>
          <w:szCs w:val="24"/>
        </w:rPr>
        <w:t xml:space="preserve">the erection of the scaffolding </w:t>
      </w:r>
      <w:r w:rsidR="005C6B36" w:rsidRPr="00BA4E9F">
        <w:rPr>
          <w:rFonts w:ascii="Arial" w:eastAsia="Calibri" w:hAnsi="Arial" w:cs="Arial"/>
          <w:sz w:val="24"/>
          <w:szCs w:val="24"/>
        </w:rPr>
        <w:t xml:space="preserve">and manage the </w:t>
      </w:r>
      <w:r w:rsidR="00E27BB2" w:rsidRPr="00BA4E9F">
        <w:rPr>
          <w:rFonts w:ascii="Arial" w:eastAsia="Calibri" w:hAnsi="Arial" w:cs="Arial"/>
          <w:sz w:val="24"/>
          <w:szCs w:val="24"/>
        </w:rPr>
        <w:t>safety aspect of the project, which was what led h</w:t>
      </w:r>
      <w:r w:rsidR="00097532" w:rsidRPr="00BA4E9F">
        <w:rPr>
          <w:rFonts w:ascii="Arial" w:eastAsia="Calibri" w:hAnsi="Arial" w:cs="Arial"/>
          <w:sz w:val="24"/>
          <w:szCs w:val="24"/>
        </w:rPr>
        <w:t>er</w:t>
      </w:r>
      <w:r w:rsidR="00E27BB2" w:rsidRPr="00BA4E9F">
        <w:rPr>
          <w:rFonts w:ascii="Arial" w:eastAsia="Calibri" w:hAnsi="Arial" w:cs="Arial"/>
          <w:sz w:val="24"/>
          <w:szCs w:val="24"/>
        </w:rPr>
        <w:t xml:space="preserve"> to make the finding</w:t>
      </w:r>
      <w:r w:rsidR="00097532" w:rsidRPr="00BA4E9F">
        <w:rPr>
          <w:rFonts w:ascii="Arial" w:eastAsia="Calibri" w:hAnsi="Arial" w:cs="Arial"/>
          <w:sz w:val="24"/>
          <w:szCs w:val="24"/>
        </w:rPr>
        <w:t xml:space="preserve"> in terms of s 16(2)(</w:t>
      </w:r>
      <w:r w:rsidR="00097532" w:rsidRPr="00311748">
        <w:rPr>
          <w:rFonts w:ascii="Arial" w:eastAsia="Calibri" w:hAnsi="Arial" w:cs="Arial"/>
          <w:i/>
          <w:iCs/>
          <w:sz w:val="24"/>
          <w:szCs w:val="24"/>
        </w:rPr>
        <w:t>d</w:t>
      </w:r>
      <w:r w:rsidR="00097532" w:rsidRPr="00BA4E9F">
        <w:rPr>
          <w:rFonts w:ascii="Arial" w:eastAsia="Calibri" w:hAnsi="Arial" w:cs="Arial"/>
          <w:i/>
          <w:iCs/>
          <w:sz w:val="24"/>
          <w:szCs w:val="24"/>
        </w:rPr>
        <w:t>)</w:t>
      </w:r>
      <w:r w:rsidR="00097532" w:rsidRPr="00BA4E9F">
        <w:rPr>
          <w:rFonts w:ascii="Arial" w:eastAsia="Calibri" w:hAnsi="Arial" w:cs="Arial"/>
          <w:sz w:val="24"/>
          <w:szCs w:val="24"/>
        </w:rPr>
        <w:t xml:space="preserve"> of the Act.</w:t>
      </w:r>
      <w:r w:rsidR="00173CA8" w:rsidRPr="00BA4E9F">
        <w:rPr>
          <w:rFonts w:ascii="Arial" w:eastAsia="Calibri" w:hAnsi="Arial" w:cs="Arial"/>
          <w:sz w:val="24"/>
          <w:szCs w:val="24"/>
        </w:rPr>
        <w:t xml:space="preserve"> The Magistrate was criticised for making a determinative finding in relation to culpability</w:t>
      </w:r>
      <w:r w:rsidR="00A3376A" w:rsidRPr="00BA4E9F">
        <w:rPr>
          <w:rFonts w:ascii="Arial" w:eastAsia="Calibri" w:hAnsi="Arial" w:cs="Arial"/>
          <w:sz w:val="24"/>
          <w:szCs w:val="24"/>
        </w:rPr>
        <w:t xml:space="preserve"> and not adhering to the less stringent </w:t>
      </w:r>
      <w:r w:rsidR="0046586A" w:rsidRPr="00BA4E9F">
        <w:rPr>
          <w:rFonts w:ascii="Arial" w:eastAsia="Calibri" w:hAnsi="Arial" w:cs="Arial"/>
          <w:iCs/>
          <w:sz w:val="24"/>
          <w:szCs w:val="24"/>
        </w:rPr>
        <w:t>prima facie</w:t>
      </w:r>
      <w:r w:rsidR="0046586A" w:rsidRPr="00BA4E9F">
        <w:rPr>
          <w:rFonts w:ascii="Arial" w:eastAsia="Calibri" w:hAnsi="Arial" w:cs="Arial"/>
          <w:sz w:val="24"/>
          <w:szCs w:val="24"/>
        </w:rPr>
        <w:t xml:space="preserve"> test.</w:t>
      </w:r>
      <w:r w:rsidR="00173CA8" w:rsidRPr="00BA4E9F">
        <w:rPr>
          <w:rFonts w:ascii="Arial" w:eastAsia="Calibri" w:hAnsi="Arial" w:cs="Arial"/>
          <w:sz w:val="24"/>
          <w:szCs w:val="24"/>
        </w:rPr>
        <w:t xml:space="preserve"> </w:t>
      </w:r>
      <w:r w:rsidR="00FB1B61" w:rsidRPr="00BA4E9F">
        <w:rPr>
          <w:rFonts w:ascii="Arial" w:eastAsia="Calibri" w:hAnsi="Arial" w:cs="Arial"/>
          <w:sz w:val="24"/>
          <w:szCs w:val="24"/>
        </w:rPr>
        <w:t xml:space="preserve">It was submitted that to hold Hirt </w:t>
      </w:r>
      <w:r w:rsidR="00D65F31" w:rsidRPr="00BA4E9F">
        <w:rPr>
          <w:rFonts w:ascii="Arial" w:eastAsia="Calibri" w:hAnsi="Arial" w:cs="Arial"/>
          <w:sz w:val="24"/>
          <w:szCs w:val="24"/>
        </w:rPr>
        <w:t>&amp;</w:t>
      </w:r>
      <w:r w:rsidR="00FB1B61" w:rsidRPr="00BA4E9F">
        <w:rPr>
          <w:rFonts w:ascii="Arial" w:eastAsia="Calibri" w:hAnsi="Arial" w:cs="Arial"/>
          <w:sz w:val="24"/>
          <w:szCs w:val="24"/>
        </w:rPr>
        <w:t xml:space="preserve"> Carter liable in these circumstances would impact negatively on the commercial world especially in relation to sub</w:t>
      </w:r>
      <w:r w:rsidR="00114DB8">
        <w:rPr>
          <w:rFonts w:ascii="Arial" w:eastAsia="Calibri" w:hAnsi="Arial" w:cs="Arial"/>
          <w:sz w:val="24"/>
          <w:szCs w:val="24"/>
        </w:rPr>
        <w:t>-</w:t>
      </w:r>
      <w:r w:rsidR="00FB1B61" w:rsidRPr="00BA4E9F">
        <w:rPr>
          <w:rFonts w:ascii="Arial" w:eastAsia="Calibri" w:hAnsi="Arial" w:cs="Arial"/>
          <w:sz w:val="24"/>
          <w:szCs w:val="24"/>
        </w:rPr>
        <w:t>contracting.</w:t>
      </w:r>
      <w:r w:rsidR="00097532">
        <w:rPr>
          <w:rFonts w:ascii="Arial" w:eastAsia="Calibri" w:hAnsi="Arial" w:cs="Arial"/>
          <w:sz w:val="24"/>
          <w:szCs w:val="24"/>
        </w:rPr>
        <w:t xml:space="preserve"> </w:t>
      </w:r>
      <w:r w:rsidR="00E27BB2">
        <w:rPr>
          <w:rFonts w:ascii="Arial" w:eastAsia="Calibri" w:hAnsi="Arial" w:cs="Arial"/>
          <w:sz w:val="24"/>
          <w:szCs w:val="24"/>
        </w:rPr>
        <w:t xml:space="preserve"> </w:t>
      </w:r>
      <w:r w:rsidR="005C6B36">
        <w:rPr>
          <w:rFonts w:ascii="Arial" w:eastAsia="Calibri" w:hAnsi="Arial" w:cs="Arial"/>
          <w:sz w:val="24"/>
          <w:szCs w:val="24"/>
        </w:rPr>
        <w:t xml:space="preserve"> </w:t>
      </w:r>
      <w:r w:rsidR="000258C7">
        <w:rPr>
          <w:rFonts w:ascii="Arial" w:eastAsia="Calibri" w:hAnsi="Arial" w:cs="Arial"/>
          <w:sz w:val="24"/>
          <w:szCs w:val="24"/>
        </w:rPr>
        <w:t xml:space="preserve"> </w:t>
      </w:r>
    </w:p>
    <w:p w14:paraId="2BD0EEBE" w14:textId="77777777" w:rsidR="00361571" w:rsidRDefault="00361571" w:rsidP="00FE1093">
      <w:pPr>
        <w:spacing w:line="360" w:lineRule="auto"/>
        <w:contextualSpacing/>
        <w:jc w:val="both"/>
        <w:rPr>
          <w:rFonts w:ascii="Arial" w:eastAsia="Times New Roman" w:hAnsi="Arial" w:cs="Arial"/>
          <w:sz w:val="24"/>
          <w:szCs w:val="24"/>
          <w:lang w:eastAsia="en-ZA"/>
        </w:rPr>
      </w:pPr>
    </w:p>
    <w:p w14:paraId="0B949E8A" w14:textId="307493BC" w:rsidR="003664D8" w:rsidRPr="00BA4E9F" w:rsidRDefault="00361571" w:rsidP="00FE1093">
      <w:pPr>
        <w:spacing w:line="360" w:lineRule="auto"/>
        <w:contextualSpacing/>
        <w:jc w:val="both"/>
        <w:rPr>
          <w:rFonts w:ascii="Arial" w:eastAsia="Times New Roman" w:hAnsi="Arial" w:cs="Arial"/>
          <w:sz w:val="24"/>
          <w:szCs w:val="24"/>
          <w:lang w:eastAsia="en-ZA"/>
        </w:rPr>
      </w:pPr>
      <w:r w:rsidRPr="00BA4E9F">
        <w:rPr>
          <w:rFonts w:ascii="Arial" w:eastAsia="Times New Roman" w:hAnsi="Arial" w:cs="Arial"/>
          <w:sz w:val="24"/>
          <w:szCs w:val="24"/>
          <w:lang w:eastAsia="en-ZA"/>
        </w:rPr>
        <w:t>[32]</w:t>
      </w:r>
      <w:r w:rsidRPr="00BA4E9F">
        <w:rPr>
          <w:rFonts w:ascii="Arial" w:eastAsia="Times New Roman" w:hAnsi="Arial" w:cs="Arial"/>
          <w:sz w:val="24"/>
          <w:szCs w:val="24"/>
          <w:lang w:eastAsia="en-ZA"/>
        </w:rPr>
        <w:tab/>
      </w:r>
      <w:r w:rsidR="00FB1B61" w:rsidRPr="00BA4E9F">
        <w:rPr>
          <w:rFonts w:ascii="Arial" w:eastAsia="Times New Roman" w:hAnsi="Arial" w:cs="Arial"/>
          <w:sz w:val="24"/>
          <w:szCs w:val="24"/>
          <w:lang w:eastAsia="en-ZA"/>
        </w:rPr>
        <w:t>In dealing with these contentions</w:t>
      </w:r>
      <w:r w:rsidR="0039268E" w:rsidRPr="00BA4E9F">
        <w:rPr>
          <w:rFonts w:ascii="Arial" w:eastAsia="Times New Roman" w:hAnsi="Arial" w:cs="Arial"/>
          <w:sz w:val="24"/>
          <w:szCs w:val="24"/>
          <w:lang w:eastAsia="en-ZA"/>
        </w:rPr>
        <w:t>,</w:t>
      </w:r>
      <w:r w:rsidR="00FB1B61" w:rsidRPr="00BA4E9F">
        <w:rPr>
          <w:rFonts w:ascii="Arial" w:eastAsia="Times New Roman" w:hAnsi="Arial" w:cs="Arial"/>
          <w:sz w:val="24"/>
          <w:szCs w:val="24"/>
          <w:lang w:eastAsia="en-ZA"/>
        </w:rPr>
        <w:t xml:space="preserve"> t</w:t>
      </w:r>
      <w:r w:rsidR="00F249B8" w:rsidRPr="00BA4E9F">
        <w:rPr>
          <w:rFonts w:ascii="Arial" w:eastAsia="Times New Roman" w:hAnsi="Arial" w:cs="Arial"/>
          <w:sz w:val="24"/>
          <w:szCs w:val="24"/>
          <w:lang w:eastAsia="en-ZA"/>
        </w:rPr>
        <w:t xml:space="preserve">he purpose of an inquest should be borne in mind. In </w:t>
      </w:r>
      <w:r w:rsidR="00F249B8" w:rsidRPr="00BA4E9F">
        <w:rPr>
          <w:rFonts w:ascii="Arial" w:eastAsia="Times New Roman" w:hAnsi="Arial" w:cs="Arial"/>
          <w:i/>
          <w:iCs/>
          <w:sz w:val="24"/>
          <w:szCs w:val="24"/>
          <w:lang w:eastAsia="en-ZA"/>
        </w:rPr>
        <w:t xml:space="preserve">Marais </w:t>
      </w:r>
      <w:r w:rsidR="007070B7">
        <w:rPr>
          <w:rFonts w:ascii="Arial" w:eastAsia="Times New Roman" w:hAnsi="Arial" w:cs="Arial"/>
          <w:i/>
          <w:iCs/>
          <w:sz w:val="24"/>
          <w:szCs w:val="24"/>
          <w:lang w:eastAsia="en-ZA"/>
        </w:rPr>
        <w:t xml:space="preserve">N O </w:t>
      </w:r>
      <w:r w:rsidR="00F249B8" w:rsidRPr="00BA4E9F">
        <w:rPr>
          <w:rFonts w:ascii="Arial" w:eastAsia="Times New Roman" w:hAnsi="Arial" w:cs="Arial"/>
          <w:i/>
          <w:iCs/>
          <w:sz w:val="24"/>
          <w:szCs w:val="24"/>
          <w:lang w:eastAsia="en-ZA"/>
        </w:rPr>
        <w:t>v Tiley</w:t>
      </w:r>
      <w:r w:rsidR="00F249B8" w:rsidRPr="00BA4E9F">
        <w:rPr>
          <w:rFonts w:ascii="Arial" w:eastAsia="Times New Roman" w:hAnsi="Arial" w:cs="Arial"/>
          <w:sz w:val="24"/>
          <w:szCs w:val="24"/>
          <w:lang w:eastAsia="en-ZA"/>
        </w:rPr>
        <w:t xml:space="preserve"> </w:t>
      </w:r>
      <w:r w:rsidR="00F579CE" w:rsidRPr="00BA4E9F">
        <w:rPr>
          <w:rFonts w:ascii="Arial" w:eastAsia="Times New Roman" w:hAnsi="Arial" w:cs="Arial"/>
          <w:sz w:val="24"/>
          <w:szCs w:val="24"/>
          <w:lang w:eastAsia="en-ZA"/>
        </w:rPr>
        <w:t>1990</w:t>
      </w:r>
      <w:r w:rsidR="007070B7">
        <w:rPr>
          <w:rFonts w:ascii="Arial" w:eastAsia="Times New Roman" w:hAnsi="Arial" w:cs="Arial"/>
          <w:sz w:val="24"/>
          <w:szCs w:val="24"/>
          <w:lang w:eastAsia="en-ZA"/>
        </w:rPr>
        <w:t xml:space="preserve"> </w:t>
      </w:r>
      <w:r w:rsidR="00F579CE" w:rsidRPr="00BA4E9F">
        <w:rPr>
          <w:rFonts w:ascii="Arial" w:eastAsia="Times New Roman" w:hAnsi="Arial" w:cs="Arial"/>
          <w:sz w:val="24"/>
          <w:szCs w:val="24"/>
          <w:lang w:eastAsia="en-ZA"/>
        </w:rPr>
        <w:t>(2) SA 899 (A) at 901F-90</w:t>
      </w:r>
      <w:r w:rsidR="00CF6D73">
        <w:rPr>
          <w:rFonts w:ascii="Arial" w:eastAsia="Times New Roman" w:hAnsi="Arial" w:cs="Arial"/>
          <w:sz w:val="24"/>
          <w:szCs w:val="24"/>
          <w:lang w:eastAsia="en-ZA"/>
        </w:rPr>
        <w:t>1G</w:t>
      </w:r>
      <w:r w:rsidR="00DF6F67" w:rsidRPr="00BA4E9F">
        <w:rPr>
          <w:rFonts w:ascii="Arial" w:eastAsia="Times New Roman" w:hAnsi="Arial" w:cs="Arial"/>
          <w:sz w:val="24"/>
          <w:szCs w:val="24"/>
          <w:lang w:eastAsia="en-ZA"/>
        </w:rPr>
        <w:t xml:space="preserve"> the following was said:</w:t>
      </w:r>
    </w:p>
    <w:p w14:paraId="3C2C94A7" w14:textId="73C74293" w:rsidR="00DF6F67" w:rsidRPr="00BA4E9F" w:rsidRDefault="004B36C3" w:rsidP="00FE1093">
      <w:pPr>
        <w:spacing w:line="360" w:lineRule="auto"/>
        <w:contextualSpacing/>
        <w:jc w:val="both"/>
        <w:rPr>
          <w:rFonts w:ascii="Arial" w:eastAsia="Times New Roman" w:hAnsi="Arial" w:cs="Arial"/>
          <w:lang w:eastAsia="en-ZA"/>
        </w:rPr>
      </w:pPr>
      <w:r w:rsidRPr="00BA4E9F">
        <w:rPr>
          <w:rFonts w:ascii="Arial" w:eastAsia="Times New Roman" w:hAnsi="Arial" w:cs="Arial"/>
          <w:lang w:eastAsia="en-ZA"/>
        </w:rPr>
        <w:t>‘The underlying purpose of an inquest is to promote public confidence and satisfaction</w:t>
      </w:r>
      <w:r w:rsidR="00EF3831" w:rsidRPr="00BA4E9F">
        <w:rPr>
          <w:rFonts w:ascii="Arial" w:eastAsia="Times New Roman" w:hAnsi="Arial" w:cs="Arial"/>
          <w:lang w:eastAsia="en-ZA"/>
        </w:rPr>
        <w:t>; to re</w:t>
      </w:r>
      <w:r w:rsidR="00B01D7A" w:rsidRPr="00BA4E9F">
        <w:rPr>
          <w:rFonts w:ascii="Arial" w:eastAsia="Times New Roman" w:hAnsi="Arial" w:cs="Arial"/>
          <w:lang w:eastAsia="en-ZA"/>
        </w:rPr>
        <w:t>assure the public that all deaths from unnatural causes</w:t>
      </w:r>
      <w:r w:rsidR="00327F84" w:rsidRPr="00BA4E9F">
        <w:rPr>
          <w:rFonts w:ascii="Arial" w:eastAsia="Times New Roman" w:hAnsi="Arial" w:cs="Arial"/>
          <w:lang w:eastAsia="en-ZA"/>
        </w:rPr>
        <w:t xml:space="preserve"> will receive proper attention and investigation so that, where necessary, appropriate measures </w:t>
      </w:r>
      <w:r w:rsidR="00605C32" w:rsidRPr="00BA4E9F">
        <w:rPr>
          <w:rFonts w:ascii="Arial" w:eastAsia="Times New Roman" w:hAnsi="Arial" w:cs="Arial"/>
          <w:lang w:eastAsia="en-ZA"/>
        </w:rPr>
        <w:t xml:space="preserve">can be taken to prevent similar </w:t>
      </w:r>
      <w:r w:rsidR="00605C32" w:rsidRPr="00BA4E9F">
        <w:rPr>
          <w:rFonts w:ascii="Arial" w:eastAsia="Times New Roman" w:hAnsi="Arial" w:cs="Arial"/>
          <w:lang w:eastAsia="en-ZA"/>
        </w:rPr>
        <w:lastRenderedPageBreak/>
        <w:t>occurrences</w:t>
      </w:r>
      <w:r w:rsidR="00775625" w:rsidRPr="00BA4E9F">
        <w:rPr>
          <w:rFonts w:ascii="Arial" w:eastAsia="Times New Roman" w:hAnsi="Arial" w:cs="Arial"/>
          <w:lang w:eastAsia="en-ZA"/>
        </w:rPr>
        <w:t>, and so</w:t>
      </w:r>
      <w:r w:rsidR="006471C2" w:rsidRPr="00BA4E9F">
        <w:rPr>
          <w:rFonts w:ascii="Arial" w:eastAsia="Times New Roman" w:hAnsi="Arial" w:cs="Arial"/>
          <w:lang w:eastAsia="en-ZA"/>
        </w:rPr>
        <w:t xml:space="preserve"> that persons responsible for such deaths may</w:t>
      </w:r>
      <w:r w:rsidR="00CF6D73">
        <w:rPr>
          <w:rFonts w:ascii="Arial" w:eastAsia="Times New Roman" w:hAnsi="Arial" w:cs="Arial"/>
          <w:lang w:eastAsia="en-ZA"/>
        </w:rPr>
        <w:t>, as far as possible,</w:t>
      </w:r>
      <w:r w:rsidR="006471C2" w:rsidRPr="00BA4E9F">
        <w:rPr>
          <w:rFonts w:ascii="Arial" w:eastAsia="Times New Roman" w:hAnsi="Arial" w:cs="Arial"/>
          <w:lang w:eastAsia="en-ZA"/>
        </w:rPr>
        <w:t xml:space="preserve"> be brough</w:t>
      </w:r>
      <w:r w:rsidR="0039268E" w:rsidRPr="00BA4E9F">
        <w:rPr>
          <w:rFonts w:ascii="Arial" w:eastAsia="Times New Roman" w:hAnsi="Arial" w:cs="Arial"/>
          <w:lang w:eastAsia="en-ZA"/>
        </w:rPr>
        <w:t>t</w:t>
      </w:r>
      <w:r w:rsidR="006471C2" w:rsidRPr="00BA4E9F">
        <w:rPr>
          <w:rFonts w:ascii="Arial" w:eastAsia="Times New Roman" w:hAnsi="Arial" w:cs="Arial"/>
          <w:lang w:eastAsia="en-ZA"/>
        </w:rPr>
        <w:t xml:space="preserve"> to justice.’</w:t>
      </w:r>
      <w:r w:rsidR="00605C32" w:rsidRPr="00BA4E9F">
        <w:rPr>
          <w:rFonts w:ascii="Arial" w:eastAsia="Times New Roman" w:hAnsi="Arial" w:cs="Arial"/>
          <w:lang w:eastAsia="en-ZA"/>
        </w:rPr>
        <w:t xml:space="preserve"> </w:t>
      </w:r>
      <w:r w:rsidR="00EF3831" w:rsidRPr="00BA4E9F">
        <w:rPr>
          <w:rFonts w:ascii="Arial" w:eastAsia="Times New Roman" w:hAnsi="Arial" w:cs="Arial"/>
          <w:lang w:eastAsia="en-ZA"/>
        </w:rPr>
        <w:t xml:space="preserve"> </w:t>
      </w:r>
    </w:p>
    <w:p w14:paraId="7541B20F" w14:textId="77777777" w:rsidR="003C1116" w:rsidRPr="00BA4E9F" w:rsidRDefault="003C1116" w:rsidP="006E5926">
      <w:pPr>
        <w:spacing w:line="360" w:lineRule="auto"/>
        <w:contextualSpacing/>
        <w:jc w:val="both"/>
        <w:rPr>
          <w:rFonts w:ascii="Arial" w:eastAsia="Times New Roman" w:hAnsi="Arial" w:cs="Arial"/>
          <w:sz w:val="24"/>
          <w:szCs w:val="24"/>
          <w:lang w:eastAsia="en-ZA"/>
        </w:rPr>
      </w:pPr>
    </w:p>
    <w:p w14:paraId="6CBCB8DF" w14:textId="57565B9F" w:rsidR="00691CD9" w:rsidRPr="00BA4E9F" w:rsidRDefault="006471C2" w:rsidP="006E5926">
      <w:pPr>
        <w:spacing w:line="360" w:lineRule="auto"/>
        <w:contextualSpacing/>
        <w:jc w:val="both"/>
        <w:rPr>
          <w:rFonts w:ascii="Arial" w:eastAsia="Times New Roman" w:hAnsi="Arial" w:cs="Arial"/>
          <w:sz w:val="24"/>
          <w:szCs w:val="24"/>
          <w:lang w:eastAsia="en-ZA"/>
        </w:rPr>
      </w:pPr>
      <w:r w:rsidRPr="00BA4E9F">
        <w:rPr>
          <w:rFonts w:ascii="Arial" w:eastAsia="Times New Roman" w:hAnsi="Arial" w:cs="Arial"/>
          <w:sz w:val="24"/>
          <w:szCs w:val="24"/>
          <w:lang w:eastAsia="en-ZA"/>
        </w:rPr>
        <w:t>[33]</w:t>
      </w:r>
      <w:r w:rsidRPr="00BA4E9F">
        <w:rPr>
          <w:rFonts w:ascii="Arial" w:eastAsia="Times New Roman" w:hAnsi="Arial" w:cs="Arial"/>
          <w:sz w:val="24"/>
          <w:szCs w:val="24"/>
          <w:lang w:eastAsia="en-ZA"/>
        </w:rPr>
        <w:tab/>
      </w:r>
      <w:r w:rsidR="00B31881" w:rsidRPr="00BA4E9F">
        <w:rPr>
          <w:rFonts w:ascii="Arial" w:eastAsia="Times New Roman" w:hAnsi="Arial" w:cs="Arial"/>
          <w:sz w:val="24"/>
          <w:szCs w:val="24"/>
          <w:lang w:eastAsia="en-ZA"/>
        </w:rPr>
        <w:t xml:space="preserve">In </w:t>
      </w:r>
      <w:r w:rsidR="00B31881" w:rsidRPr="00BA4E9F">
        <w:rPr>
          <w:rFonts w:ascii="Arial" w:eastAsia="Times New Roman" w:hAnsi="Arial" w:cs="Arial"/>
          <w:i/>
          <w:iCs/>
          <w:sz w:val="24"/>
          <w:szCs w:val="24"/>
          <w:lang w:eastAsia="en-ZA"/>
        </w:rPr>
        <w:t>Re Goniwe and Others (Inquest</w:t>
      </w:r>
      <w:r w:rsidR="00FE5B9A" w:rsidRPr="00BA4E9F">
        <w:rPr>
          <w:rFonts w:ascii="Arial" w:eastAsia="Times New Roman" w:hAnsi="Arial" w:cs="Arial"/>
          <w:i/>
          <w:iCs/>
          <w:sz w:val="24"/>
          <w:szCs w:val="24"/>
          <w:lang w:eastAsia="en-ZA"/>
        </w:rPr>
        <w:t>)</w:t>
      </w:r>
      <w:r w:rsidR="00B31881" w:rsidRPr="00BA4E9F">
        <w:rPr>
          <w:rFonts w:ascii="Arial" w:eastAsia="Times New Roman" w:hAnsi="Arial" w:cs="Arial"/>
          <w:sz w:val="24"/>
          <w:szCs w:val="24"/>
          <w:lang w:eastAsia="en-ZA"/>
        </w:rPr>
        <w:t xml:space="preserve"> </w:t>
      </w:r>
      <w:r w:rsidR="00691CD9" w:rsidRPr="00BA4E9F">
        <w:rPr>
          <w:rFonts w:ascii="Arial" w:eastAsia="Times New Roman" w:hAnsi="Arial" w:cs="Arial"/>
          <w:sz w:val="24"/>
          <w:szCs w:val="24"/>
          <w:lang w:eastAsia="en-ZA"/>
        </w:rPr>
        <w:t>1994 (3) SA 877 (SE) at 879</w:t>
      </w:r>
      <w:r w:rsidR="00AD4723" w:rsidRPr="00BA4E9F">
        <w:rPr>
          <w:rFonts w:ascii="Arial" w:eastAsia="Times New Roman" w:hAnsi="Arial" w:cs="Arial"/>
          <w:sz w:val="24"/>
          <w:szCs w:val="24"/>
          <w:lang w:eastAsia="en-ZA"/>
        </w:rPr>
        <w:t>I</w:t>
      </w:r>
      <w:r w:rsidR="00850F22" w:rsidRPr="00BA4E9F">
        <w:rPr>
          <w:rFonts w:ascii="Arial" w:eastAsia="Times New Roman" w:hAnsi="Arial" w:cs="Arial"/>
          <w:sz w:val="24"/>
          <w:szCs w:val="24"/>
          <w:lang w:eastAsia="en-ZA"/>
        </w:rPr>
        <w:t>,</w:t>
      </w:r>
      <w:r w:rsidR="00691CD9" w:rsidRPr="00BA4E9F">
        <w:rPr>
          <w:rFonts w:ascii="Arial" w:eastAsia="Times New Roman" w:hAnsi="Arial" w:cs="Arial"/>
          <w:sz w:val="24"/>
          <w:szCs w:val="24"/>
          <w:lang w:eastAsia="en-ZA"/>
        </w:rPr>
        <w:t xml:space="preserve"> th</w:t>
      </w:r>
      <w:r w:rsidR="0088363A" w:rsidRPr="00BA4E9F">
        <w:rPr>
          <w:rFonts w:ascii="Arial" w:eastAsia="Times New Roman" w:hAnsi="Arial" w:cs="Arial"/>
          <w:sz w:val="24"/>
          <w:szCs w:val="24"/>
          <w:lang w:eastAsia="en-ZA"/>
        </w:rPr>
        <w:t>e test to be applied in arriving at a conclusion in terms of s 16(2)(</w:t>
      </w:r>
      <w:r w:rsidR="0088363A" w:rsidRPr="00311748">
        <w:rPr>
          <w:rFonts w:ascii="Arial" w:eastAsia="Times New Roman" w:hAnsi="Arial" w:cs="Arial"/>
          <w:i/>
          <w:sz w:val="24"/>
          <w:szCs w:val="24"/>
          <w:lang w:eastAsia="en-ZA"/>
        </w:rPr>
        <w:t>d</w:t>
      </w:r>
      <w:r w:rsidR="0088363A" w:rsidRPr="00BA4E9F">
        <w:rPr>
          <w:rFonts w:ascii="Arial" w:eastAsia="Times New Roman" w:hAnsi="Arial" w:cs="Arial"/>
          <w:sz w:val="24"/>
          <w:szCs w:val="24"/>
          <w:lang w:eastAsia="en-ZA"/>
        </w:rPr>
        <w:t>) is dealt with:</w:t>
      </w:r>
    </w:p>
    <w:p w14:paraId="21C20C7B" w14:textId="22E79FB3" w:rsidR="00567B81" w:rsidRPr="00BA4E9F" w:rsidRDefault="0088363A" w:rsidP="006E5926">
      <w:pPr>
        <w:spacing w:line="360" w:lineRule="auto"/>
        <w:contextualSpacing/>
        <w:jc w:val="both"/>
        <w:rPr>
          <w:rFonts w:ascii="Arial" w:eastAsia="Times New Roman" w:hAnsi="Arial" w:cs="Arial"/>
          <w:lang w:eastAsia="en-ZA"/>
        </w:rPr>
      </w:pPr>
      <w:r w:rsidRPr="00BA4E9F">
        <w:rPr>
          <w:rFonts w:ascii="Arial" w:eastAsia="Times New Roman" w:hAnsi="Arial" w:cs="Arial"/>
          <w:lang w:eastAsia="en-ZA"/>
        </w:rPr>
        <w:t xml:space="preserve">‘The presiding officer at an inquest need go no further </w:t>
      </w:r>
      <w:r w:rsidR="00F937CF" w:rsidRPr="00BA4E9F">
        <w:rPr>
          <w:rFonts w:ascii="Arial" w:eastAsia="Times New Roman" w:hAnsi="Arial" w:cs="Arial"/>
          <w:lang w:eastAsia="en-ZA"/>
        </w:rPr>
        <w:t>than to ask himself</w:t>
      </w:r>
      <w:r w:rsidR="00123B51" w:rsidRPr="00BA4E9F">
        <w:rPr>
          <w:rFonts w:ascii="Arial" w:eastAsia="Times New Roman" w:hAnsi="Arial" w:cs="Arial"/>
          <w:lang w:eastAsia="en-ZA"/>
        </w:rPr>
        <w:t xml:space="preserve"> whether a </w:t>
      </w:r>
      <w:r w:rsidR="00123B51" w:rsidRPr="000D047D">
        <w:rPr>
          <w:rFonts w:ascii="Arial" w:eastAsia="Times New Roman" w:hAnsi="Arial" w:cs="Arial"/>
          <w:i/>
          <w:lang w:eastAsia="en-ZA"/>
        </w:rPr>
        <w:t>pr</w:t>
      </w:r>
      <w:r w:rsidR="003848F3" w:rsidRPr="000D047D">
        <w:rPr>
          <w:rFonts w:ascii="Arial" w:eastAsia="Times New Roman" w:hAnsi="Arial" w:cs="Arial"/>
          <w:i/>
          <w:lang w:eastAsia="en-ZA"/>
        </w:rPr>
        <w:t>i</w:t>
      </w:r>
      <w:r w:rsidR="00123B51" w:rsidRPr="000D047D">
        <w:rPr>
          <w:rFonts w:ascii="Arial" w:eastAsia="Times New Roman" w:hAnsi="Arial" w:cs="Arial"/>
          <w:i/>
          <w:lang w:eastAsia="en-ZA"/>
        </w:rPr>
        <w:t>ma facie</w:t>
      </w:r>
      <w:r w:rsidR="00123B51" w:rsidRPr="00BA4E9F">
        <w:rPr>
          <w:rFonts w:ascii="Arial" w:eastAsia="Times New Roman" w:hAnsi="Arial" w:cs="Arial"/>
          <w:lang w:eastAsia="en-ZA"/>
        </w:rPr>
        <w:t xml:space="preserve"> case has been established</w:t>
      </w:r>
      <w:r w:rsidR="006C27F5">
        <w:rPr>
          <w:rFonts w:ascii="Arial" w:eastAsia="Times New Roman" w:hAnsi="Arial" w:cs="Arial"/>
          <w:lang w:eastAsia="en-ZA"/>
        </w:rPr>
        <w:t>. . . .</w:t>
      </w:r>
      <w:r w:rsidR="00104A1B" w:rsidRPr="00BA4E9F">
        <w:rPr>
          <w:rFonts w:ascii="Arial" w:eastAsia="Times New Roman" w:hAnsi="Arial" w:cs="Arial"/>
          <w:lang w:eastAsia="en-ZA"/>
        </w:rPr>
        <w:t>’</w:t>
      </w:r>
    </w:p>
    <w:p w14:paraId="3406C3E8" w14:textId="2AE6568B" w:rsidR="003077E2" w:rsidRPr="00BA4E9F" w:rsidRDefault="003077E2" w:rsidP="006E5926">
      <w:pPr>
        <w:spacing w:line="360" w:lineRule="auto"/>
        <w:contextualSpacing/>
        <w:jc w:val="both"/>
        <w:rPr>
          <w:rFonts w:ascii="Arial" w:eastAsia="Times New Roman" w:hAnsi="Arial" w:cs="Arial"/>
          <w:sz w:val="24"/>
          <w:lang w:eastAsia="en-ZA"/>
        </w:rPr>
      </w:pPr>
      <w:r w:rsidRPr="00BA4E9F">
        <w:rPr>
          <w:rFonts w:ascii="Arial" w:eastAsia="Times New Roman" w:hAnsi="Arial" w:cs="Arial"/>
          <w:sz w:val="24"/>
          <w:lang w:eastAsia="en-ZA"/>
        </w:rPr>
        <w:t>And at 880</w:t>
      </w:r>
      <w:r w:rsidR="00104A1B" w:rsidRPr="00BA4E9F">
        <w:rPr>
          <w:rFonts w:ascii="Arial" w:eastAsia="Times New Roman" w:hAnsi="Arial" w:cs="Arial"/>
          <w:sz w:val="24"/>
          <w:lang w:eastAsia="en-ZA"/>
        </w:rPr>
        <w:t>B-D:</w:t>
      </w:r>
    </w:p>
    <w:p w14:paraId="0C6AB9E1" w14:textId="57DB9A38" w:rsidR="0088363A" w:rsidRPr="00BA4E9F" w:rsidRDefault="00104A1B" w:rsidP="006E5926">
      <w:pPr>
        <w:spacing w:line="360" w:lineRule="auto"/>
        <w:contextualSpacing/>
        <w:jc w:val="both"/>
        <w:rPr>
          <w:rFonts w:ascii="Arial" w:eastAsia="Times New Roman" w:hAnsi="Arial" w:cs="Arial"/>
          <w:lang w:eastAsia="en-ZA"/>
        </w:rPr>
      </w:pPr>
      <w:r w:rsidRPr="00BA4E9F">
        <w:rPr>
          <w:rFonts w:ascii="Arial" w:eastAsia="Times New Roman" w:hAnsi="Arial" w:cs="Arial"/>
          <w:lang w:eastAsia="en-ZA"/>
        </w:rPr>
        <w:t>‘</w:t>
      </w:r>
      <w:r w:rsidR="00567B81" w:rsidRPr="00BA4E9F">
        <w:rPr>
          <w:rFonts w:ascii="Arial" w:eastAsia="Times New Roman" w:hAnsi="Arial" w:cs="Arial"/>
          <w:lang w:eastAsia="en-ZA"/>
        </w:rPr>
        <w:t>Bearing in mind the object o</w:t>
      </w:r>
      <w:r w:rsidR="00DA36BB" w:rsidRPr="00BA4E9F">
        <w:rPr>
          <w:rFonts w:ascii="Arial" w:eastAsia="Times New Roman" w:hAnsi="Arial" w:cs="Arial"/>
          <w:lang w:eastAsia="en-ZA"/>
        </w:rPr>
        <w:t>f</w:t>
      </w:r>
      <w:r w:rsidR="00567B81" w:rsidRPr="00BA4E9F">
        <w:rPr>
          <w:rFonts w:ascii="Arial" w:eastAsia="Times New Roman" w:hAnsi="Arial" w:cs="Arial"/>
          <w:lang w:eastAsia="en-ZA"/>
        </w:rPr>
        <w:t xml:space="preserve"> an inquest it</w:t>
      </w:r>
      <w:r w:rsidR="00DA36BB" w:rsidRPr="00BA4E9F">
        <w:rPr>
          <w:rFonts w:ascii="Arial" w:eastAsia="Times New Roman" w:hAnsi="Arial" w:cs="Arial"/>
          <w:lang w:eastAsia="en-ZA"/>
        </w:rPr>
        <w:t xml:space="preserve"> is my opinion that the test to be applied i</w:t>
      </w:r>
      <w:r w:rsidR="0092687B" w:rsidRPr="00BA4E9F">
        <w:rPr>
          <w:rFonts w:ascii="Arial" w:eastAsia="Times New Roman" w:hAnsi="Arial" w:cs="Arial"/>
          <w:lang w:eastAsia="en-ZA"/>
        </w:rPr>
        <w:t>s</w:t>
      </w:r>
      <w:r w:rsidR="00DA36BB" w:rsidRPr="00BA4E9F">
        <w:rPr>
          <w:rFonts w:ascii="Arial" w:eastAsia="Times New Roman" w:hAnsi="Arial" w:cs="Arial"/>
          <w:lang w:eastAsia="en-ZA"/>
        </w:rPr>
        <w:t xml:space="preserve"> not </w:t>
      </w:r>
      <w:r w:rsidR="005E0C81" w:rsidRPr="00BA4E9F">
        <w:rPr>
          <w:rFonts w:ascii="Arial" w:eastAsia="Times New Roman" w:hAnsi="Arial" w:cs="Arial"/>
          <w:lang w:eastAsia="en-ZA"/>
        </w:rPr>
        <w:t xml:space="preserve">the </w:t>
      </w:r>
      <w:r w:rsidR="00DA36BB" w:rsidRPr="00BA4E9F">
        <w:rPr>
          <w:rFonts w:ascii="Arial" w:eastAsia="Times New Roman" w:hAnsi="Arial" w:cs="Arial"/>
          <w:lang w:eastAsia="en-ZA"/>
        </w:rPr>
        <w:t>“beyond a reasonable doubt</w:t>
      </w:r>
      <w:r w:rsidR="005E0C81" w:rsidRPr="00BA4E9F">
        <w:rPr>
          <w:rFonts w:ascii="Arial" w:eastAsia="Times New Roman" w:hAnsi="Arial" w:cs="Arial"/>
          <w:lang w:eastAsia="en-ZA"/>
        </w:rPr>
        <w:t>”</w:t>
      </w:r>
      <w:r w:rsidR="00DA36BB" w:rsidRPr="00BA4E9F">
        <w:rPr>
          <w:rFonts w:ascii="Arial" w:eastAsia="Times New Roman" w:hAnsi="Arial" w:cs="Arial"/>
          <w:lang w:eastAsia="en-ZA"/>
        </w:rPr>
        <w:t xml:space="preserve"> </w:t>
      </w:r>
      <w:r w:rsidR="005E0C81" w:rsidRPr="00BA4E9F">
        <w:rPr>
          <w:rFonts w:ascii="Arial" w:eastAsia="Times New Roman" w:hAnsi="Arial" w:cs="Arial"/>
          <w:lang w:eastAsia="en-ZA"/>
        </w:rPr>
        <w:t xml:space="preserve">test </w:t>
      </w:r>
      <w:r w:rsidR="000067D1" w:rsidRPr="00BA4E9F">
        <w:rPr>
          <w:rFonts w:ascii="Arial" w:eastAsia="Times New Roman" w:hAnsi="Arial" w:cs="Arial"/>
          <w:lang w:eastAsia="en-ZA"/>
        </w:rPr>
        <w:t>but something less stringent</w:t>
      </w:r>
      <w:r w:rsidR="00F552EC">
        <w:rPr>
          <w:rFonts w:ascii="Arial" w:eastAsia="Times New Roman" w:hAnsi="Arial" w:cs="Arial"/>
          <w:lang w:eastAsia="en-ZA"/>
        </w:rPr>
        <w:t>.</w:t>
      </w:r>
      <w:r w:rsidR="000067D1" w:rsidRPr="00BA4E9F">
        <w:rPr>
          <w:rFonts w:ascii="Arial" w:eastAsia="Times New Roman" w:hAnsi="Arial" w:cs="Arial"/>
          <w:lang w:eastAsia="en-ZA"/>
        </w:rPr>
        <w:t xml:space="preserve"> </w:t>
      </w:r>
      <w:r w:rsidR="00F552EC">
        <w:rPr>
          <w:rFonts w:ascii="Arial" w:eastAsia="Times New Roman" w:hAnsi="Arial" w:cs="Arial"/>
          <w:lang w:eastAsia="en-ZA"/>
        </w:rPr>
        <w:t>I</w:t>
      </w:r>
      <w:r w:rsidR="000067D1" w:rsidRPr="00BA4E9F">
        <w:rPr>
          <w:rFonts w:ascii="Arial" w:eastAsia="Times New Roman" w:hAnsi="Arial" w:cs="Arial"/>
          <w:lang w:eastAsia="en-ZA"/>
        </w:rPr>
        <w:t>n my opinion the test envisaged by the</w:t>
      </w:r>
      <w:r w:rsidR="00957838" w:rsidRPr="00BA4E9F">
        <w:rPr>
          <w:rFonts w:ascii="Arial" w:eastAsia="Times New Roman" w:hAnsi="Arial" w:cs="Arial"/>
          <w:lang w:eastAsia="en-ZA"/>
        </w:rPr>
        <w:t xml:space="preserve"> Inquest Act is whether the judicial officer </w:t>
      </w:r>
      <w:r w:rsidR="007F098D" w:rsidRPr="00BA4E9F">
        <w:rPr>
          <w:rFonts w:ascii="Arial" w:eastAsia="Times New Roman" w:hAnsi="Arial" w:cs="Arial"/>
          <w:lang w:eastAsia="en-ZA"/>
        </w:rPr>
        <w:t>holding the inquest is of the opinion that there is evidence available</w:t>
      </w:r>
      <w:r w:rsidR="00000126" w:rsidRPr="00BA4E9F">
        <w:rPr>
          <w:rFonts w:ascii="Arial" w:eastAsia="Times New Roman" w:hAnsi="Arial" w:cs="Arial"/>
          <w:lang w:eastAsia="en-ZA"/>
        </w:rPr>
        <w:t xml:space="preserve"> which may at a subsequent criminal trial </w:t>
      </w:r>
      <w:r w:rsidR="007D47F9" w:rsidRPr="00BA4E9F">
        <w:rPr>
          <w:rFonts w:ascii="Arial" w:eastAsia="Times New Roman" w:hAnsi="Arial" w:cs="Arial"/>
          <w:lang w:eastAsia="en-ZA"/>
        </w:rPr>
        <w:t>be held to be credible and acce</w:t>
      </w:r>
      <w:r w:rsidR="00C32C61" w:rsidRPr="00BA4E9F">
        <w:rPr>
          <w:rFonts w:ascii="Arial" w:eastAsia="Times New Roman" w:hAnsi="Arial" w:cs="Arial"/>
          <w:lang w:eastAsia="en-ZA"/>
        </w:rPr>
        <w:t>p</w:t>
      </w:r>
      <w:r w:rsidR="007D47F9" w:rsidRPr="00BA4E9F">
        <w:rPr>
          <w:rFonts w:ascii="Arial" w:eastAsia="Times New Roman" w:hAnsi="Arial" w:cs="Arial"/>
          <w:lang w:eastAsia="en-ZA"/>
        </w:rPr>
        <w:t>t</w:t>
      </w:r>
      <w:r w:rsidR="00C32C61" w:rsidRPr="00BA4E9F">
        <w:rPr>
          <w:rFonts w:ascii="Arial" w:eastAsia="Times New Roman" w:hAnsi="Arial" w:cs="Arial"/>
          <w:lang w:eastAsia="en-ZA"/>
        </w:rPr>
        <w:t>a</w:t>
      </w:r>
      <w:r w:rsidR="007D47F9" w:rsidRPr="00BA4E9F">
        <w:rPr>
          <w:rFonts w:ascii="Arial" w:eastAsia="Times New Roman" w:hAnsi="Arial" w:cs="Arial"/>
          <w:lang w:eastAsia="en-ZA"/>
        </w:rPr>
        <w:t>ble and which, if accepted, could prove that the death of the deceased was brought</w:t>
      </w:r>
      <w:r w:rsidR="00C32C61" w:rsidRPr="00BA4E9F">
        <w:rPr>
          <w:rFonts w:ascii="Arial" w:eastAsia="Times New Roman" w:hAnsi="Arial" w:cs="Arial"/>
          <w:lang w:eastAsia="en-ZA"/>
        </w:rPr>
        <w:t xml:space="preserve"> about by an act or omission which involves or amounts to the commission of a criminal offence on the part of some person or persons</w:t>
      </w:r>
      <w:r w:rsidR="00D75479" w:rsidRPr="00BA4E9F">
        <w:rPr>
          <w:rFonts w:ascii="Arial" w:eastAsia="Times New Roman" w:hAnsi="Arial" w:cs="Arial"/>
          <w:lang w:eastAsia="en-ZA"/>
        </w:rPr>
        <w:t>.</w:t>
      </w:r>
      <w:r w:rsidR="00C32C61" w:rsidRPr="00BA4E9F">
        <w:rPr>
          <w:rFonts w:ascii="Arial" w:eastAsia="Times New Roman" w:hAnsi="Arial" w:cs="Arial"/>
          <w:lang w:eastAsia="en-ZA"/>
        </w:rPr>
        <w:t xml:space="preserve">’ </w:t>
      </w:r>
      <w:r w:rsidR="00567B81" w:rsidRPr="00BA4E9F">
        <w:rPr>
          <w:rFonts w:ascii="Arial" w:eastAsia="Times New Roman" w:hAnsi="Arial" w:cs="Arial"/>
          <w:lang w:eastAsia="en-ZA"/>
        </w:rPr>
        <w:t xml:space="preserve"> </w:t>
      </w:r>
      <w:r w:rsidR="0088363A" w:rsidRPr="00BA4E9F">
        <w:rPr>
          <w:rFonts w:ascii="Arial" w:eastAsia="Times New Roman" w:hAnsi="Arial" w:cs="Arial"/>
          <w:lang w:eastAsia="en-ZA"/>
        </w:rPr>
        <w:t xml:space="preserve"> </w:t>
      </w:r>
    </w:p>
    <w:p w14:paraId="4C839717" w14:textId="77777777" w:rsidR="003C1116" w:rsidRPr="00BA4E9F" w:rsidRDefault="003C1116" w:rsidP="006E5926">
      <w:pPr>
        <w:spacing w:line="360" w:lineRule="auto"/>
        <w:contextualSpacing/>
        <w:jc w:val="both"/>
        <w:rPr>
          <w:rFonts w:ascii="Arial" w:eastAsia="Times New Roman" w:hAnsi="Arial" w:cs="Arial"/>
          <w:sz w:val="24"/>
          <w:szCs w:val="24"/>
          <w:lang w:eastAsia="en-ZA"/>
        </w:rPr>
      </w:pPr>
    </w:p>
    <w:p w14:paraId="0FBD68A0" w14:textId="1B169A1E" w:rsidR="00104A1B" w:rsidRDefault="00104A1B" w:rsidP="006E5926">
      <w:pPr>
        <w:spacing w:line="360" w:lineRule="auto"/>
        <w:contextualSpacing/>
        <w:jc w:val="both"/>
        <w:rPr>
          <w:rFonts w:ascii="Arial" w:eastAsia="Times New Roman" w:hAnsi="Arial" w:cs="Arial"/>
          <w:sz w:val="24"/>
          <w:szCs w:val="24"/>
          <w:lang w:eastAsia="en-ZA"/>
        </w:rPr>
      </w:pPr>
      <w:r w:rsidRPr="00BA4E9F">
        <w:rPr>
          <w:rFonts w:ascii="Arial" w:eastAsia="Times New Roman" w:hAnsi="Arial" w:cs="Arial"/>
          <w:sz w:val="24"/>
          <w:szCs w:val="24"/>
          <w:lang w:eastAsia="en-ZA"/>
        </w:rPr>
        <w:t>[34]</w:t>
      </w:r>
      <w:r w:rsidRPr="00BA4E9F">
        <w:rPr>
          <w:rFonts w:ascii="Arial" w:eastAsia="Times New Roman" w:hAnsi="Arial" w:cs="Arial"/>
          <w:sz w:val="24"/>
          <w:szCs w:val="24"/>
          <w:lang w:eastAsia="en-ZA"/>
        </w:rPr>
        <w:tab/>
      </w:r>
      <w:r w:rsidR="00CC5A8E" w:rsidRPr="00BA4E9F">
        <w:rPr>
          <w:rFonts w:ascii="Arial" w:eastAsia="Times New Roman" w:hAnsi="Arial" w:cs="Arial"/>
          <w:sz w:val="24"/>
          <w:szCs w:val="24"/>
          <w:lang w:eastAsia="en-ZA"/>
        </w:rPr>
        <w:t xml:space="preserve">Having regard to the provisions of the Act and </w:t>
      </w:r>
      <w:r w:rsidR="0080477F" w:rsidRPr="00BA4E9F">
        <w:rPr>
          <w:rFonts w:ascii="Arial" w:eastAsia="Times New Roman" w:hAnsi="Arial" w:cs="Arial"/>
          <w:sz w:val="24"/>
          <w:szCs w:val="24"/>
          <w:lang w:eastAsia="en-ZA"/>
        </w:rPr>
        <w:t>the nature of an inquest</w:t>
      </w:r>
      <w:r w:rsidR="0039268E" w:rsidRPr="00BA4E9F">
        <w:rPr>
          <w:rFonts w:ascii="Arial" w:eastAsia="Times New Roman" w:hAnsi="Arial" w:cs="Arial"/>
          <w:sz w:val="24"/>
          <w:szCs w:val="24"/>
          <w:lang w:eastAsia="en-ZA"/>
        </w:rPr>
        <w:t>,</w:t>
      </w:r>
      <w:r w:rsidR="0080477F" w:rsidRPr="00BA4E9F">
        <w:rPr>
          <w:rFonts w:ascii="Arial" w:eastAsia="Times New Roman" w:hAnsi="Arial" w:cs="Arial"/>
          <w:sz w:val="24"/>
          <w:szCs w:val="24"/>
          <w:lang w:eastAsia="en-ZA"/>
        </w:rPr>
        <w:t xml:space="preserve"> the findings are never </w:t>
      </w:r>
      <w:r w:rsidR="00B7378D" w:rsidRPr="00BA4E9F">
        <w:rPr>
          <w:rFonts w:ascii="Arial" w:eastAsia="Times New Roman" w:hAnsi="Arial" w:cs="Arial"/>
          <w:sz w:val="24"/>
          <w:szCs w:val="24"/>
          <w:lang w:eastAsia="en-ZA"/>
        </w:rPr>
        <w:t>finally determinative</w:t>
      </w:r>
      <w:r w:rsidR="0080477F" w:rsidRPr="00BA4E9F">
        <w:rPr>
          <w:rFonts w:ascii="Arial" w:eastAsia="Times New Roman" w:hAnsi="Arial" w:cs="Arial"/>
          <w:sz w:val="24"/>
          <w:szCs w:val="24"/>
          <w:lang w:eastAsia="en-ZA"/>
        </w:rPr>
        <w:t>. There are processe</w:t>
      </w:r>
      <w:r w:rsidR="00BC312A" w:rsidRPr="00BA4E9F">
        <w:rPr>
          <w:rFonts w:ascii="Arial" w:eastAsia="Times New Roman" w:hAnsi="Arial" w:cs="Arial"/>
          <w:sz w:val="24"/>
          <w:szCs w:val="24"/>
          <w:lang w:eastAsia="en-ZA"/>
        </w:rPr>
        <w:t>s</w:t>
      </w:r>
      <w:r w:rsidR="0080477F" w:rsidRPr="00BA4E9F">
        <w:rPr>
          <w:rFonts w:ascii="Arial" w:eastAsia="Times New Roman" w:hAnsi="Arial" w:cs="Arial"/>
          <w:sz w:val="24"/>
          <w:szCs w:val="24"/>
          <w:lang w:eastAsia="en-ZA"/>
        </w:rPr>
        <w:t xml:space="preserve"> that follow in relation to which there will be further interrogation.</w:t>
      </w:r>
      <w:r w:rsidR="007233DB" w:rsidRPr="00BA4E9F">
        <w:rPr>
          <w:rFonts w:ascii="Arial" w:eastAsia="Times New Roman" w:hAnsi="Arial" w:cs="Arial"/>
          <w:sz w:val="24"/>
          <w:szCs w:val="24"/>
          <w:lang w:eastAsia="en-ZA"/>
        </w:rPr>
        <w:t xml:space="preserve"> In term</w:t>
      </w:r>
      <w:r w:rsidR="00D2657E">
        <w:rPr>
          <w:rFonts w:ascii="Arial" w:eastAsia="Times New Roman" w:hAnsi="Arial" w:cs="Arial"/>
          <w:sz w:val="24"/>
          <w:szCs w:val="24"/>
          <w:lang w:eastAsia="en-ZA"/>
        </w:rPr>
        <w:t>s</w:t>
      </w:r>
      <w:r w:rsidR="007233DB" w:rsidRPr="00BA4E9F">
        <w:rPr>
          <w:rFonts w:ascii="Arial" w:eastAsia="Times New Roman" w:hAnsi="Arial" w:cs="Arial"/>
          <w:sz w:val="24"/>
          <w:szCs w:val="24"/>
          <w:lang w:eastAsia="en-ZA"/>
        </w:rPr>
        <w:t xml:space="preserve"> </w:t>
      </w:r>
      <w:r w:rsidR="00596449" w:rsidRPr="00BA4E9F">
        <w:rPr>
          <w:rFonts w:ascii="Arial" w:eastAsia="Times New Roman" w:hAnsi="Arial" w:cs="Arial"/>
          <w:sz w:val="24"/>
          <w:szCs w:val="24"/>
          <w:lang w:eastAsia="en-ZA"/>
        </w:rPr>
        <w:t>of s 17</w:t>
      </w:r>
      <w:r w:rsidR="00BC312A" w:rsidRPr="00BA4E9F">
        <w:rPr>
          <w:rFonts w:ascii="Arial" w:eastAsia="Times New Roman" w:hAnsi="Arial" w:cs="Arial"/>
          <w:sz w:val="24"/>
          <w:szCs w:val="24"/>
          <w:lang w:eastAsia="en-ZA"/>
        </w:rPr>
        <w:t xml:space="preserve"> of the Act</w:t>
      </w:r>
      <w:r w:rsidR="00596449" w:rsidRPr="00BA4E9F">
        <w:rPr>
          <w:rFonts w:ascii="Arial" w:eastAsia="Times New Roman" w:hAnsi="Arial" w:cs="Arial"/>
          <w:sz w:val="24"/>
          <w:szCs w:val="24"/>
          <w:lang w:eastAsia="en-ZA"/>
        </w:rPr>
        <w:t xml:space="preserve"> the record of proceedings </w:t>
      </w:r>
      <w:r w:rsidR="0018589E" w:rsidRPr="00BA4E9F">
        <w:rPr>
          <w:rFonts w:ascii="Arial" w:eastAsia="Times New Roman" w:hAnsi="Arial" w:cs="Arial"/>
          <w:sz w:val="24"/>
          <w:szCs w:val="24"/>
          <w:lang w:eastAsia="en-ZA"/>
        </w:rPr>
        <w:t>is forwarded by the judic</w:t>
      </w:r>
      <w:r w:rsidR="00D2657E">
        <w:rPr>
          <w:rFonts w:ascii="Arial" w:eastAsia="Times New Roman" w:hAnsi="Arial" w:cs="Arial"/>
          <w:sz w:val="24"/>
          <w:szCs w:val="24"/>
          <w:lang w:eastAsia="en-ZA"/>
        </w:rPr>
        <w:t>ial officer to the Prosecuting A</w:t>
      </w:r>
      <w:r w:rsidR="0018589E" w:rsidRPr="00BA4E9F">
        <w:rPr>
          <w:rFonts w:ascii="Arial" w:eastAsia="Times New Roman" w:hAnsi="Arial" w:cs="Arial"/>
          <w:sz w:val="24"/>
          <w:szCs w:val="24"/>
          <w:lang w:eastAsia="en-ZA"/>
        </w:rPr>
        <w:t>uthority</w:t>
      </w:r>
      <w:r w:rsidR="0006756A" w:rsidRPr="00BA4E9F">
        <w:rPr>
          <w:rFonts w:ascii="Arial" w:eastAsia="Times New Roman" w:hAnsi="Arial" w:cs="Arial"/>
          <w:sz w:val="24"/>
          <w:szCs w:val="24"/>
          <w:lang w:eastAsia="en-ZA"/>
        </w:rPr>
        <w:t>. Decisions are made thereafter and a prosecution might follow or not.</w:t>
      </w:r>
      <w:r w:rsidR="00B7378D" w:rsidRPr="00BA4E9F">
        <w:rPr>
          <w:rFonts w:ascii="Arial" w:eastAsia="Times New Roman" w:hAnsi="Arial" w:cs="Arial"/>
          <w:sz w:val="24"/>
          <w:szCs w:val="24"/>
          <w:lang w:eastAsia="en-ZA"/>
        </w:rPr>
        <w:t xml:space="preserve"> If a criminal tr</w:t>
      </w:r>
      <w:r w:rsidR="00D65F31" w:rsidRPr="00BA4E9F">
        <w:rPr>
          <w:rFonts w:ascii="Arial" w:eastAsia="Times New Roman" w:hAnsi="Arial" w:cs="Arial"/>
          <w:sz w:val="24"/>
          <w:szCs w:val="24"/>
          <w:lang w:eastAsia="en-ZA"/>
        </w:rPr>
        <w:t>ia</w:t>
      </w:r>
      <w:r w:rsidR="00B7378D" w:rsidRPr="00BA4E9F">
        <w:rPr>
          <w:rFonts w:ascii="Arial" w:eastAsia="Times New Roman" w:hAnsi="Arial" w:cs="Arial"/>
          <w:sz w:val="24"/>
          <w:szCs w:val="24"/>
          <w:lang w:eastAsia="en-ZA"/>
        </w:rPr>
        <w:t>l ensue</w:t>
      </w:r>
      <w:r w:rsidR="00463DF1" w:rsidRPr="00BA4E9F">
        <w:rPr>
          <w:rFonts w:ascii="Arial" w:eastAsia="Times New Roman" w:hAnsi="Arial" w:cs="Arial"/>
          <w:sz w:val="24"/>
          <w:szCs w:val="24"/>
          <w:lang w:eastAsia="en-ZA"/>
        </w:rPr>
        <w:t>s</w:t>
      </w:r>
      <w:r w:rsidR="00B7378D" w:rsidRPr="00BA4E9F">
        <w:rPr>
          <w:rFonts w:ascii="Arial" w:eastAsia="Times New Roman" w:hAnsi="Arial" w:cs="Arial"/>
          <w:sz w:val="24"/>
          <w:szCs w:val="24"/>
          <w:lang w:eastAsia="en-ZA"/>
        </w:rPr>
        <w:t xml:space="preserve"> a different </w:t>
      </w:r>
      <w:r w:rsidR="00363923" w:rsidRPr="00BA4E9F">
        <w:rPr>
          <w:rFonts w:ascii="Arial" w:eastAsia="Times New Roman" w:hAnsi="Arial" w:cs="Arial"/>
          <w:sz w:val="24"/>
          <w:szCs w:val="24"/>
          <w:lang w:eastAsia="en-ZA"/>
        </w:rPr>
        <w:t>evidentiary burden rests on the state. Further evidence will be produced and evaluated.</w:t>
      </w:r>
      <w:r w:rsidR="00363923">
        <w:rPr>
          <w:rFonts w:ascii="Arial" w:eastAsia="Times New Roman" w:hAnsi="Arial" w:cs="Arial"/>
          <w:sz w:val="24"/>
          <w:szCs w:val="24"/>
          <w:lang w:eastAsia="en-ZA"/>
        </w:rPr>
        <w:t xml:space="preserve"> </w:t>
      </w:r>
    </w:p>
    <w:p w14:paraId="347511AB" w14:textId="0B3DC2E7" w:rsidR="00104A1B" w:rsidRDefault="00104A1B" w:rsidP="006E5926">
      <w:pPr>
        <w:spacing w:line="360" w:lineRule="auto"/>
        <w:contextualSpacing/>
        <w:jc w:val="both"/>
        <w:rPr>
          <w:rFonts w:ascii="Arial" w:eastAsia="Times New Roman" w:hAnsi="Arial" w:cs="Arial"/>
          <w:sz w:val="24"/>
          <w:szCs w:val="24"/>
          <w:lang w:eastAsia="en-ZA"/>
        </w:rPr>
      </w:pPr>
    </w:p>
    <w:p w14:paraId="55A88A56" w14:textId="0355816A" w:rsidR="00396CA2" w:rsidRPr="00BA4E9F" w:rsidRDefault="001548FF" w:rsidP="006E5926">
      <w:pPr>
        <w:spacing w:line="360" w:lineRule="auto"/>
        <w:contextualSpacing/>
        <w:jc w:val="both"/>
        <w:rPr>
          <w:rFonts w:ascii="Arial" w:eastAsia="Times New Roman" w:hAnsi="Arial" w:cs="Arial"/>
          <w:sz w:val="24"/>
          <w:szCs w:val="24"/>
          <w:lang w:eastAsia="en-ZA"/>
        </w:rPr>
      </w:pPr>
      <w:r w:rsidRPr="00BA4E9F">
        <w:rPr>
          <w:rFonts w:ascii="Arial" w:eastAsia="Times New Roman" w:hAnsi="Arial" w:cs="Arial"/>
          <w:sz w:val="24"/>
          <w:szCs w:val="24"/>
          <w:lang w:eastAsia="en-ZA"/>
        </w:rPr>
        <w:t>[35]</w:t>
      </w:r>
      <w:r w:rsidRPr="00BA4E9F">
        <w:rPr>
          <w:rFonts w:ascii="Arial" w:eastAsia="Times New Roman" w:hAnsi="Arial" w:cs="Arial"/>
          <w:sz w:val="24"/>
          <w:szCs w:val="24"/>
          <w:lang w:eastAsia="en-ZA"/>
        </w:rPr>
        <w:tab/>
      </w:r>
      <w:r w:rsidR="00405FF7" w:rsidRPr="00BA4E9F">
        <w:rPr>
          <w:rFonts w:ascii="Arial" w:eastAsia="Times New Roman" w:hAnsi="Arial" w:cs="Arial"/>
          <w:sz w:val="24"/>
          <w:szCs w:val="24"/>
          <w:lang w:eastAsia="en-ZA"/>
        </w:rPr>
        <w:t xml:space="preserve">The Magistrate reminded </w:t>
      </w:r>
      <w:r w:rsidR="00405FF7" w:rsidRPr="006966CB">
        <w:rPr>
          <w:rFonts w:ascii="Arial" w:eastAsia="Times New Roman" w:hAnsi="Arial" w:cs="Arial"/>
          <w:sz w:val="24"/>
          <w:szCs w:val="24"/>
          <w:lang w:eastAsia="en-ZA"/>
        </w:rPr>
        <w:t>herself</w:t>
      </w:r>
      <w:r w:rsidR="003852AE" w:rsidRPr="006966CB">
        <w:rPr>
          <w:rFonts w:ascii="Arial" w:eastAsia="Times New Roman" w:hAnsi="Arial" w:cs="Arial"/>
          <w:sz w:val="24"/>
          <w:szCs w:val="24"/>
          <w:lang w:eastAsia="en-ZA"/>
        </w:rPr>
        <w:t>,</w:t>
      </w:r>
      <w:r w:rsidR="00405FF7" w:rsidRPr="006966CB">
        <w:rPr>
          <w:rFonts w:ascii="Arial" w:eastAsia="Times New Roman" w:hAnsi="Arial" w:cs="Arial"/>
          <w:sz w:val="24"/>
          <w:szCs w:val="24"/>
          <w:lang w:eastAsia="en-ZA"/>
        </w:rPr>
        <w:t xml:space="preserve"> </w:t>
      </w:r>
      <w:r w:rsidR="00761103" w:rsidRPr="006966CB">
        <w:rPr>
          <w:rFonts w:ascii="Arial" w:eastAsia="Times New Roman" w:hAnsi="Arial" w:cs="Arial"/>
          <w:sz w:val="24"/>
          <w:szCs w:val="24"/>
          <w:lang w:eastAsia="en-ZA"/>
        </w:rPr>
        <w:t>right at the outset</w:t>
      </w:r>
      <w:r w:rsidR="003852AE" w:rsidRPr="006966CB">
        <w:rPr>
          <w:rFonts w:ascii="Arial" w:eastAsia="Times New Roman" w:hAnsi="Arial" w:cs="Arial"/>
          <w:sz w:val="24"/>
          <w:szCs w:val="24"/>
          <w:lang w:eastAsia="en-ZA"/>
        </w:rPr>
        <w:t>,</w:t>
      </w:r>
      <w:r w:rsidR="00761103" w:rsidRPr="00BA4E9F">
        <w:rPr>
          <w:rFonts w:ascii="Arial" w:eastAsia="Times New Roman" w:hAnsi="Arial" w:cs="Arial"/>
          <w:sz w:val="24"/>
          <w:szCs w:val="24"/>
          <w:lang w:eastAsia="en-ZA"/>
        </w:rPr>
        <w:t xml:space="preserve"> </w:t>
      </w:r>
      <w:r w:rsidR="00A83038" w:rsidRPr="00BA4E9F">
        <w:rPr>
          <w:rFonts w:ascii="Arial" w:eastAsia="Times New Roman" w:hAnsi="Arial" w:cs="Arial"/>
          <w:sz w:val="24"/>
          <w:szCs w:val="24"/>
          <w:lang w:eastAsia="en-ZA"/>
        </w:rPr>
        <w:t xml:space="preserve">of the </w:t>
      </w:r>
      <w:r w:rsidR="00A83038" w:rsidRPr="00BA4E9F">
        <w:rPr>
          <w:rFonts w:ascii="Arial" w:eastAsia="Times New Roman" w:hAnsi="Arial" w:cs="Arial"/>
          <w:iCs/>
          <w:sz w:val="24"/>
          <w:szCs w:val="24"/>
          <w:lang w:eastAsia="en-ZA"/>
        </w:rPr>
        <w:t>pr</w:t>
      </w:r>
      <w:r w:rsidR="00463DF1" w:rsidRPr="00BA4E9F">
        <w:rPr>
          <w:rFonts w:ascii="Arial" w:eastAsia="Times New Roman" w:hAnsi="Arial" w:cs="Arial"/>
          <w:iCs/>
          <w:sz w:val="24"/>
          <w:szCs w:val="24"/>
          <w:lang w:eastAsia="en-ZA"/>
        </w:rPr>
        <w:t>i</w:t>
      </w:r>
      <w:r w:rsidR="00A83038" w:rsidRPr="00BA4E9F">
        <w:rPr>
          <w:rFonts w:ascii="Arial" w:eastAsia="Times New Roman" w:hAnsi="Arial" w:cs="Arial"/>
          <w:iCs/>
          <w:sz w:val="24"/>
          <w:szCs w:val="24"/>
          <w:lang w:eastAsia="en-ZA"/>
        </w:rPr>
        <w:t>ma facie</w:t>
      </w:r>
      <w:r w:rsidR="00761103" w:rsidRPr="00BA4E9F">
        <w:rPr>
          <w:rFonts w:ascii="Arial" w:eastAsia="Times New Roman" w:hAnsi="Arial" w:cs="Arial"/>
          <w:sz w:val="24"/>
          <w:szCs w:val="24"/>
          <w:lang w:eastAsia="en-ZA"/>
        </w:rPr>
        <w:t xml:space="preserve"> standard of proof </w:t>
      </w:r>
      <w:r w:rsidR="00A83038" w:rsidRPr="00BA4E9F">
        <w:rPr>
          <w:rFonts w:ascii="Arial" w:eastAsia="Times New Roman" w:hAnsi="Arial" w:cs="Arial"/>
          <w:sz w:val="24"/>
          <w:szCs w:val="24"/>
          <w:lang w:eastAsia="en-ZA"/>
        </w:rPr>
        <w:t>that</w:t>
      </w:r>
      <w:r w:rsidR="00761103" w:rsidRPr="00BA4E9F">
        <w:rPr>
          <w:rFonts w:ascii="Arial" w:eastAsia="Times New Roman" w:hAnsi="Arial" w:cs="Arial"/>
          <w:sz w:val="24"/>
          <w:szCs w:val="24"/>
          <w:lang w:eastAsia="en-ZA"/>
        </w:rPr>
        <w:t xml:space="preserve"> had to be applied in reaching the conclusion envis</w:t>
      </w:r>
      <w:r w:rsidR="003152BB" w:rsidRPr="00BA4E9F">
        <w:rPr>
          <w:rFonts w:ascii="Arial" w:eastAsia="Times New Roman" w:hAnsi="Arial" w:cs="Arial"/>
          <w:sz w:val="24"/>
          <w:szCs w:val="24"/>
          <w:lang w:eastAsia="en-ZA"/>
        </w:rPr>
        <w:t>a</w:t>
      </w:r>
      <w:r w:rsidR="00761103" w:rsidRPr="00BA4E9F">
        <w:rPr>
          <w:rFonts w:ascii="Arial" w:eastAsia="Times New Roman" w:hAnsi="Arial" w:cs="Arial"/>
          <w:sz w:val="24"/>
          <w:szCs w:val="24"/>
          <w:lang w:eastAsia="en-ZA"/>
        </w:rPr>
        <w:t>ged</w:t>
      </w:r>
      <w:r w:rsidR="003152BB" w:rsidRPr="00BA4E9F">
        <w:rPr>
          <w:rFonts w:ascii="Arial" w:eastAsia="Times New Roman" w:hAnsi="Arial" w:cs="Arial"/>
          <w:sz w:val="24"/>
          <w:szCs w:val="24"/>
          <w:lang w:eastAsia="en-ZA"/>
        </w:rPr>
        <w:t xml:space="preserve"> in the Act.</w:t>
      </w:r>
      <w:r w:rsidR="000B751F" w:rsidRPr="00BA4E9F">
        <w:rPr>
          <w:rFonts w:ascii="Arial" w:eastAsia="Times New Roman" w:hAnsi="Arial" w:cs="Arial"/>
          <w:sz w:val="24"/>
          <w:szCs w:val="24"/>
          <w:lang w:eastAsia="en-ZA"/>
        </w:rPr>
        <w:t xml:space="preserve"> The Magistrate was careful to consider in detail </w:t>
      </w:r>
      <w:r w:rsidR="00C518D9">
        <w:rPr>
          <w:rFonts w:ascii="Arial" w:eastAsia="Times New Roman" w:hAnsi="Arial" w:cs="Arial"/>
          <w:sz w:val="24"/>
          <w:szCs w:val="24"/>
          <w:lang w:eastAsia="en-ZA"/>
        </w:rPr>
        <w:t xml:space="preserve">Mr </w:t>
      </w:r>
      <w:r w:rsidR="00EC6CFE" w:rsidRPr="00BA4E9F">
        <w:rPr>
          <w:rFonts w:ascii="Arial" w:eastAsia="Times New Roman" w:hAnsi="Arial" w:cs="Arial"/>
          <w:sz w:val="24"/>
          <w:szCs w:val="24"/>
          <w:lang w:eastAsia="en-ZA"/>
        </w:rPr>
        <w:t>Olwage’s involvement in dealing with safety issues</w:t>
      </w:r>
      <w:r w:rsidR="0038369F" w:rsidRPr="00BA4E9F">
        <w:rPr>
          <w:rFonts w:ascii="Arial" w:eastAsia="Times New Roman" w:hAnsi="Arial" w:cs="Arial"/>
          <w:sz w:val="24"/>
          <w:szCs w:val="24"/>
          <w:lang w:eastAsia="en-ZA"/>
        </w:rPr>
        <w:t xml:space="preserve"> and what factors he</w:t>
      </w:r>
      <w:r w:rsidR="00427841" w:rsidRPr="00BA4E9F">
        <w:rPr>
          <w:rFonts w:ascii="Arial" w:eastAsia="Times New Roman" w:hAnsi="Arial" w:cs="Arial"/>
          <w:sz w:val="24"/>
          <w:szCs w:val="24"/>
          <w:lang w:eastAsia="en-ZA"/>
        </w:rPr>
        <w:t>,</w:t>
      </w:r>
      <w:r w:rsidR="0038369F" w:rsidRPr="00BA4E9F">
        <w:rPr>
          <w:rFonts w:ascii="Arial" w:eastAsia="Times New Roman" w:hAnsi="Arial" w:cs="Arial"/>
          <w:sz w:val="24"/>
          <w:szCs w:val="24"/>
          <w:lang w:eastAsia="en-ZA"/>
        </w:rPr>
        <w:t xml:space="preserve"> and thus Hirt </w:t>
      </w:r>
      <w:r w:rsidR="00FD2E11" w:rsidRPr="00BA4E9F">
        <w:rPr>
          <w:rFonts w:ascii="Arial" w:eastAsia="Times New Roman" w:hAnsi="Arial" w:cs="Arial"/>
          <w:sz w:val="24"/>
          <w:szCs w:val="24"/>
          <w:lang w:eastAsia="en-ZA"/>
        </w:rPr>
        <w:t>&amp;</w:t>
      </w:r>
      <w:r w:rsidR="0038369F" w:rsidRPr="00BA4E9F">
        <w:rPr>
          <w:rFonts w:ascii="Arial" w:eastAsia="Times New Roman" w:hAnsi="Arial" w:cs="Arial"/>
          <w:sz w:val="24"/>
          <w:szCs w:val="24"/>
          <w:lang w:eastAsia="en-ZA"/>
        </w:rPr>
        <w:t xml:space="preserve"> Carter</w:t>
      </w:r>
      <w:r w:rsidR="00820762" w:rsidRPr="00BA4E9F">
        <w:rPr>
          <w:rFonts w:ascii="Arial" w:eastAsia="Times New Roman" w:hAnsi="Arial" w:cs="Arial"/>
          <w:sz w:val="24"/>
          <w:szCs w:val="24"/>
          <w:lang w:eastAsia="en-ZA"/>
        </w:rPr>
        <w:t>,</w:t>
      </w:r>
      <w:r w:rsidR="0038369F" w:rsidRPr="00BA4E9F">
        <w:rPr>
          <w:rFonts w:ascii="Arial" w:eastAsia="Times New Roman" w:hAnsi="Arial" w:cs="Arial"/>
          <w:sz w:val="24"/>
          <w:szCs w:val="24"/>
          <w:lang w:eastAsia="en-ZA"/>
        </w:rPr>
        <w:t xml:space="preserve"> were aware of. </w:t>
      </w:r>
      <w:r w:rsidR="004C3298" w:rsidRPr="00BA4E9F">
        <w:rPr>
          <w:rFonts w:ascii="Arial" w:eastAsia="Times New Roman" w:hAnsi="Arial" w:cs="Arial"/>
          <w:sz w:val="24"/>
          <w:szCs w:val="24"/>
          <w:lang w:eastAsia="en-ZA"/>
        </w:rPr>
        <w:t xml:space="preserve">The Magistrate had regard </w:t>
      </w:r>
      <w:r w:rsidR="005D20DC" w:rsidRPr="00BA4E9F">
        <w:rPr>
          <w:rFonts w:ascii="Arial" w:eastAsia="Times New Roman" w:hAnsi="Arial" w:cs="Arial"/>
          <w:sz w:val="24"/>
          <w:szCs w:val="24"/>
          <w:lang w:eastAsia="en-ZA"/>
        </w:rPr>
        <w:t xml:space="preserve">to email correspondence in which the </w:t>
      </w:r>
      <w:r w:rsidR="003D48E7" w:rsidRPr="00BA4E9F">
        <w:rPr>
          <w:rFonts w:ascii="Arial" w:eastAsia="Times New Roman" w:hAnsi="Arial" w:cs="Arial"/>
          <w:sz w:val="24"/>
          <w:szCs w:val="24"/>
          <w:lang w:eastAsia="en-ZA"/>
        </w:rPr>
        <w:t>importance</w:t>
      </w:r>
      <w:r w:rsidR="005D20DC" w:rsidRPr="00BA4E9F">
        <w:rPr>
          <w:rFonts w:ascii="Arial" w:eastAsia="Times New Roman" w:hAnsi="Arial" w:cs="Arial"/>
          <w:sz w:val="24"/>
          <w:szCs w:val="24"/>
          <w:lang w:eastAsia="en-ZA"/>
        </w:rPr>
        <w:t xml:space="preserve"> of the structural engineer’s sign-off was </w:t>
      </w:r>
      <w:r w:rsidR="003D48E7" w:rsidRPr="00BA4E9F">
        <w:rPr>
          <w:rFonts w:ascii="Arial" w:eastAsia="Times New Roman" w:hAnsi="Arial" w:cs="Arial"/>
          <w:sz w:val="24"/>
          <w:szCs w:val="24"/>
          <w:lang w:eastAsia="en-ZA"/>
        </w:rPr>
        <w:t>emphasised</w:t>
      </w:r>
      <w:r w:rsidR="005D20DC" w:rsidRPr="00BA4E9F">
        <w:rPr>
          <w:rFonts w:ascii="Arial" w:eastAsia="Times New Roman" w:hAnsi="Arial" w:cs="Arial"/>
          <w:sz w:val="24"/>
          <w:szCs w:val="24"/>
          <w:lang w:eastAsia="en-ZA"/>
        </w:rPr>
        <w:t>.</w:t>
      </w:r>
      <w:r w:rsidR="0038369F" w:rsidRPr="00BA4E9F">
        <w:rPr>
          <w:rFonts w:ascii="Arial" w:eastAsia="Times New Roman" w:hAnsi="Arial" w:cs="Arial"/>
          <w:sz w:val="24"/>
          <w:szCs w:val="24"/>
          <w:lang w:eastAsia="en-ZA"/>
        </w:rPr>
        <w:t xml:space="preserve"> </w:t>
      </w:r>
      <w:r w:rsidR="00A20EA6" w:rsidRPr="00BA4E9F">
        <w:rPr>
          <w:rFonts w:ascii="Arial" w:eastAsia="Times New Roman" w:hAnsi="Arial" w:cs="Arial"/>
          <w:sz w:val="24"/>
          <w:szCs w:val="24"/>
          <w:lang w:eastAsia="en-ZA"/>
        </w:rPr>
        <w:t xml:space="preserve">The Magistrate </w:t>
      </w:r>
      <w:r w:rsidR="00DE3570" w:rsidRPr="00BA4E9F">
        <w:rPr>
          <w:rFonts w:ascii="Arial" w:eastAsia="Times New Roman" w:hAnsi="Arial" w:cs="Arial"/>
          <w:sz w:val="24"/>
          <w:szCs w:val="24"/>
          <w:lang w:eastAsia="en-ZA"/>
        </w:rPr>
        <w:t>took into</w:t>
      </w:r>
      <w:r w:rsidR="00A83038" w:rsidRPr="00BA4E9F">
        <w:rPr>
          <w:rFonts w:ascii="Arial" w:eastAsia="Times New Roman" w:hAnsi="Arial" w:cs="Arial"/>
          <w:sz w:val="24"/>
          <w:szCs w:val="24"/>
          <w:lang w:eastAsia="en-ZA"/>
        </w:rPr>
        <w:t xml:space="preserve"> account against Hirt </w:t>
      </w:r>
      <w:r w:rsidR="00FD2E11" w:rsidRPr="00BA4E9F">
        <w:rPr>
          <w:rFonts w:ascii="Arial" w:eastAsia="Times New Roman" w:hAnsi="Arial" w:cs="Arial"/>
          <w:sz w:val="24"/>
          <w:szCs w:val="24"/>
          <w:lang w:eastAsia="en-ZA"/>
        </w:rPr>
        <w:t>&amp;</w:t>
      </w:r>
      <w:r w:rsidR="00A83038" w:rsidRPr="00BA4E9F">
        <w:rPr>
          <w:rFonts w:ascii="Arial" w:eastAsia="Times New Roman" w:hAnsi="Arial" w:cs="Arial"/>
          <w:sz w:val="24"/>
          <w:szCs w:val="24"/>
          <w:lang w:eastAsia="en-ZA"/>
        </w:rPr>
        <w:t xml:space="preserve"> Carter that </w:t>
      </w:r>
      <w:r w:rsidR="00C518D9">
        <w:rPr>
          <w:rFonts w:ascii="Arial" w:eastAsia="Times New Roman" w:hAnsi="Arial" w:cs="Arial"/>
          <w:sz w:val="24"/>
          <w:szCs w:val="24"/>
          <w:lang w:eastAsia="en-ZA"/>
        </w:rPr>
        <w:t xml:space="preserve">Mr </w:t>
      </w:r>
      <w:r w:rsidR="00A83038" w:rsidRPr="00BA4E9F">
        <w:rPr>
          <w:rFonts w:ascii="Arial" w:eastAsia="Times New Roman" w:hAnsi="Arial" w:cs="Arial"/>
          <w:sz w:val="24"/>
          <w:szCs w:val="24"/>
          <w:lang w:eastAsia="en-ZA"/>
        </w:rPr>
        <w:t>Olwage did not</w:t>
      </w:r>
      <w:r w:rsidR="0028357D" w:rsidRPr="00BA4E9F">
        <w:rPr>
          <w:rFonts w:ascii="Arial" w:eastAsia="Times New Roman" w:hAnsi="Arial" w:cs="Arial"/>
          <w:sz w:val="24"/>
          <w:szCs w:val="24"/>
          <w:lang w:eastAsia="en-ZA"/>
        </w:rPr>
        <w:t>,</w:t>
      </w:r>
      <w:r w:rsidR="00A83038" w:rsidRPr="00BA4E9F">
        <w:rPr>
          <w:rFonts w:ascii="Arial" w:eastAsia="Times New Roman" w:hAnsi="Arial" w:cs="Arial"/>
          <w:sz w:val="24"/>
          <w:szCs w:val="24"/>
          <w:lang w:eastAsia="en-ZA"/>
        </w:rPr>
        <w:t xml:space="preserve"> against all that was within his knowledge</w:t>
      </w:r>
      <w:r w:rsidR="0028357D" w:rsidRPr="00BA4E9F">
        <w:rPr>
          <w:rFonts w:ascii="Arial" w:eastAsia="Times New Roman" w:hAnsi="Arial" w:cs="Arial"/>
          <w:sz w:val="24"/>
          <w:szCs w:val="24"/>
          <w:lang w:eastAsia="en-ZA"/>
        </w:rPr>
        <w:t>,</w:t>
      </w:r>
      <w:r w:rsidR="00A83038" w:rsidRPr="00BA4E9F">
        <w:rPr>
          <w:rFonts w:ascii="Arial" w:eastAsia="Times New Roman" w:hAnsi="Arial" w:cs="Arial"/>
          <w:sz w:val="24"/>
          <w:szCs w:val="24"/>
          <w:lang w:eastAsia="en-ZA"/>
        </w:rPr>
        <w:t xml:space="preserve"> take </w:t>
      </w:r>
      <w:r w:rsidR="004A29CB" w:rsidRPr="00BA4E9F">
        <w:rPr>
          <w:rFonts w:ascii="Arial" w:eastAsia="Times New Roman" w:hAnsi="Arial" w:cs="Arial"/>
          <w:sz w:val="24"/>
          <w:szCs w:val="24"/>
          <w:lang w:eastAsia="en-ZA"/>
        </w:rPr>
        <w:t xml:space="preserve">the time to look at the safety file. He </w:t>
      </w:r>
      <w:r w:rsidR="0028357D" w:rsidRPr="00BA4E9F">
        <w:rPr>
          <w:rFonts w:ascii="Arial" w:eastAsia="Times New Roman" w:hAnsi="Arial" w:cs="Arial"/>
          <w:sz w:val="24"/>
          <w:szCs w:val="24"/>
          <w:lang w:eastAsia="en-ZA"/>
        </w:rPr>
        <w:t>failed to</w:t>
      </w:r>
      <w:r w:rsidR="004A29CB" w:rsidRPr="00BA4E9F">
        <w:rPr>
          <w:rFonts w:ascii="Arial" w:eastAsia="Times New Roman" w:hAnsi="Arial" w:cs="Arial"/>
          <w:sz w:val="24"/>
          <w:szCs w:val="24"/>
          <w:lang w:eastAsia="en-ZA"/>
        </w:rPr>
        <w:t xml:space="preserve"> do so</w:t>
      </w:r>
      <w:r w:rsidR="0028357D" w:rsidRPr="00BA4E9F">
        <w:rPr>
          <w:rFonts w:ascii="Arial" w:eastAsia="Times New Roman" w:hAnsi="Arial" w:cs="Arial"/>
          <w:sz w:val="24"/>
          <w:szCs w:val="24"/>
          <w:lang w:eastAsia="en-ZA"/>
        </w:rPr>
        <w:t>,</w:t>
      </w:r>
      <w:r w:rsidR="004A29CB" w:rsidRPr="00BA4E9F">
        <w:rPr>
          <w:rFonts w:ascii="Arial" w:eastAsia="Times New Roman" w:hAnsi="Arial" w:cs="Arial"/>
          <w:sz w:val="24"/>
          <w:szCs w:val="24"/>
          <w:lang w:eastAsia="en-ZA"/>
        </w:rPr>
        <w:t xml:space="preserve"> despite </w:t>
      </w:r>
      <w:r w:rsidR="00F13BDE" w:rsidRPr="00BA4E9F">
        <w:rPr>
          <w:rFonts w:ascii="Arial" w:eastAsia="Times New Roman" w:hAnsi="Arial" w:cs="Arial"/>
          <w:sz w:val="24"/>
          <w:szCs w:val="24"/>
          <w:lang w:eastAsia="en-ZA"/>
        </w:rPr>
        <w:t>having assured others that the safety requirements had be</w:t>
      </w:r>
      <w:r w:rsidR="003D48E7" w:rsidRPr="00BA4E9F">
        <w:rPr>
          <w:rFonts w:ascii="Arial" w:eastAsia="Times New Roman" w:hAnsi="Arial" w:cs="Arial"/>
          <w:sz w:val="24"/>
          <w:szCs w:val="24"/>
          <w:lang w:eastAsia="en-ZA"/>
        </w:rPr>
        <w:t>e</w:t>
      </w:r>
      <w:r w:rsidR="00F13BDE" w:rsidRPr="00BA4E9F">
        <w:rPr>
          <w:rFonts w:ascii="Arial" w:eastAsia="Times New Roman" w:hAnsi="Arial" w:cs="Arial"/>
          <w:sz w:val="24"/>
          <w:szCs w:val="24"/>
          <w:lang w:eastAsia="en-ZA"/>
        </w:rPr>
        <w:t>n met and</w:t>
      </w:r>
      <w:r w:rsidR="003D48E7" w:rsidRPr="00BA4E9F">
        <w:rPr>
          <w:rFonts w:ascii="Arial" w:eastAsia="Times New Roman" w:hAnsi="Arial" w:cs="Arial"/>
          <w:sz w:val="24"/>
          <w:szCs w:val="24"/>
          <w:lang w:eastAsia="en-ZA"/>
        </w:rPr>
        <w:t xml:space="preserve"> </w:t>
      </w:r>
      <w:r w:rsidR="00C74CE6" w:rsidRPr="00BA4E9F">
        <w:rPr>
          <w:rFonts w:ascii="Arial" w:eastAsia="Times New Roman" w:hAnsi="Arial" w:cs="Arial"/>
          <w:sz w:val="24"/>
          <w:szCs w:val="24"/>
          <w:lang w:eastAsia="en-ZA"/>
        </w:rPr>
        <w:t xml:space="preserve">despite accepting that Hirt </w:t>
      </w:r>
      <w:r w:rsidR="00FD2E11" w:rsidRPr="00BA4E9F">
        <w:rPr>
          <w:rFonts w:ascii="Arial" w:eastAsia="Times New Roman" w:hAnsi="Arial" w:cs="Arial"/>
          <w:sz w:val="24"/>
          <w:szCs w:val="24"/>
          <w:lang w:eastAsia="en-ZA"/>
        </w:rPr>
        <w:t>&amp;</w:t>
      </w:r>
      <w:r w:rsidR="00342A0F">
        <w:rPr>
          <w:rFonts w:ascii="Arial" w:eastAsia="Times New Roman" w:hAnsi="Arial" w:cs="Arial"/>
          <w:sz w:val="24"/>
          <w:szCs w:val="24"/>
          <w:lang w:eastAsia="en-ZA"/>
        </w:rPr>
        <w:t xml:space="preserve"> Carter had</w:t>
      </w:r>
      <w:r w:rsidR="00C74CE6" w:rsidRPr="00BA4E9F">
        <w:rPr>
          <w:rFonts w:ascii="Arial" w:eastAsia="Times New Roman" w:hAnsi="Arial" w:cs="Arial"/>
          <w:sz w:val="24"/>
          <w:szCs w:val="24"/>
          <w:lang w:eastAsia="en-ZA"/>
        </w:rPr>
        <w:t xml:space="preserve"> </w:t>
      </w:r>
      <w:r w:rsidR="00F528BB" w:rsidRPr="00BA4E9F">
        <w:rPr>
          <w:rFonts w:ascii="Arial" w:eastAsia="Times New Roman" w:hAnsi="Arial" w:cs="Arial"/>
          <w:sz w:val="24"/>
          <w:szCs w:val="24"/>
          <w:lang w:eastAsia="en-ZA"/>
        </w:rPr>
        <w:t xml:space="preserve">undertaken to </w:t>
      </w:r>
      <w:r w:rsidR="00D4531C" w:rsidRPr="00BA4E9F">
        <w:rPr>
          <w:rFonts w:ascii="Arial" w:eastAsia="Times New Roman" w:hAnsi="Arial" w:cs="Arial"/>
          <w:sz w:val="24"/>
          <w:szCs w:val="24"/>
          <w:lang w:eastAsia="en-ZA"/>
        </w:rPr>
        <w:t>GSK</w:t>
      </w:r>
      <w:r w:rsidR="00F528BB" w:rsidRPr="00BA4E9F">
        <w:rPr>
          <w:rFonts w:ascii="Arial" w:eastAsia="Times New Roman" w:hAnsi="Arial" w:cs="Arial"/>
          <w:sz w:val="24"/>
          <w:szCs w:val="24"/>
          <w:lang w:eastAsia="en-ZA"/>
        </w:rPr>
        <w:t xml:space="preserve"> that </w:t>
      </w:r>
      <w:r w:rsidR="006600F6" w:rsidRPr="00BA4E9F">
        <w:rPr>
          <w:rFonts w:ascii="Arial" w:eastAsia="Times New Roman" w:hAnsi="Arial" w:cs="Arial"/>
          <w:sz w:val="24"/>
          <w:szCs w:val="24"/>
          <w:lang w:eastAsia="en-ZA"/>
        </w:rPr>
        <w:t>it would see to the safety aspects.</w:t>
      </w:r>
      <w:r w:rsidR="00BD2517" w:rsidRPr="00BA4E9F">
        <w:rPr>
          <w:rFonts w:ascii="Arial" w:eastAsia="Times New Roman" w:hAnsi="Arial" w:cs="Arial"/>
          <w:sz w:val="24"/>
          <w:szCs w:val="24"/>
          <w:lang w:eastAsia="en-ZA"/>
        </w:rPr>
        <w:t xml:space="preserve"> It did no</w:t>
      </w:r>
      <w:r w:rsidR="00FD2E11" w:rsidRPr="00BA4E9F">
        <w:rPr>
          <w:rFonts w:ascii="Arial" w:eastAsia="Times New Roman" w:hAnsi="Arial" w:cs="Arial"/>
          <w:sz w:val="24"/>
          <w:szCs w:val="24"/>
          <w:lang w:eastAsia="en-ZA"/>
        </w:rPr>
        <w:t>t</w:t>
      </w:r>
      <w:r w:rsidR="00BD2517" w:rsidRPr="00BA4E9F">
        <w:rPr>
          <w:rFonts w:ascii="Arial" w:eastAsia="Times New Roman" w:hAnsi="Arial" w:cs="Arial"/>
          <w:sz w:val="24"/>
          <w:szCs w:val="24"/>
          <w:lang w:eastAsia="en-ZA"/>
        </w:rPr>
        <w:t xml:space="preserve"> require any </w:t>
      </w:r>
      <w:r w:rsidR="00BD2517" w:rsidRPr="00BA4E9F">
        <w:rPr>
          <w:rFonts w:ascii="Arial" w:eastAsia="Times New Roman" w:hAnsi="Arial" w:cs="Arial"/>
          <w:sz w:val="24"/>
          <w:szCs w:val="24"/>
          <w:lang w:eastAsia="en-ZA"/>
        </w:rPr>
        <w:lastRenderedPageBreak/>
        <w:t xml:space="preserve">special expertise to look for </w:t>
      </w:r>
      <w:r w:rsidR="00974ABF" w:rsidRPr="00BA4E9F">
        <w:rPr>
          <w:rFonts w:ascii="Arial" w:eastAsia="Times New Roman" w:hAnsi="Arial" w:cs="Arial"/>
          <w:sz w:val="24"/>
          <w:szCs w:val="24"/>
          <w:lang w:eastAsia="en-ZA"/>
        </w:rPr>
        <w:t xml:space="preserve">a sign-off by an engineer. </w:t>
      </w:r>
      <w:r w:rsidR="00446EE7" w:rsidRPr="00BA4E9F">
        <w:rPr>
          <w:rFonts w:ascii="Arial" w:eastAsia="Times New Roman" w:hAnsi="Arial" w:cs="Arial"/>
          <w:sz w:val="24"/>
          <w:szCs w:val="24"/>
          <w:lang w:eastAsia="en-ZA"/>
        </w:rPr>
        <w:t>Confirmation of its absence might very well have averted the disaster that ensued.</w:t>
      </w:r>
      <w:r w:rsidR="00281A90" w:rsidRPr="00BA4E9F">
        <w:rPr>
          <w:rFonts w:ascii="Arial" w:eastAsia="Times New Roman" w:hAnsi="Arial" w:cs="Arial"/>
          <w:sz w:val="24"/>
          <w:szCs w:val="24"/>
          <w:lang w:eastAsia="en-ZA"/>
        </w:rPr>
        <w:t xml:space="preserve"> The Magistrate was</w:t>
      </w:r>
      <w:r w:rsidR="00CF701F" w:rsidRPr="00BA4E9F">
        <w:rPr>
          <w:rFonts w:ascii="Arial" w:eastAsia="Times New Roman" w:hAnsi="Arial" w:cs="Arial"/>
          <w:sz w:val="24"/>
          <w:szCs w:val="24"/>
          <w:lang w:eastAsia="en-ZA"/>
        </w:rPr>
        <w:t xml:space="preserve"> correctly</w:t>
      </w:r>
      <w:r w:rsidR="00281A90" w:rsidRPr="00BA4E9F">
        <w:rPr>
          <w:rFonts w:ascii="Arial" w:eastAsia="Times New Roman" w:hAnsi="Arial" w:cs="Arial"/>
          <w:sz w:val="24"/>
          <w:szCs w:val="24"/>
          <w:lang w:eastAsia="en-ZA"/>
        </w:rPr>
        <w:t xml:space="preserve"> unpersuaded that the sub</w:t>
      </w:r>
      <w:r w:rsidR="00114DB8">
        <w:rPr>
          <w:rFonts w:ascii="Arial" w:eastAsia="Times New Roman" w:hAnsi="Arial" w:cs="Arial"/>
          <w:sz w:val="24"/>
          <w:szCs w:val="24"/>
          <w:lang w:eastAsia="en-ZA"/>
        </w:rPr>
        <w:t>-</w:t>
      </w:r>
      <w:r w:rsidR="00281A90" w:rsidRPr="00BA4E9F">
        <w:rPr>
          <w:rFonts w:ascii="Arial" w:eastAsia="Times New Roman" w:hAnsi="Arial" w:cs="Arial"/>
          <w:sz w:val="24"/>
          <w:szCs w:val="24"/>
          <w:lang w:eastAsia="en-ZA"/>
        </w:rPr>
        <w:t>contracting</w:t>
      </w:r>
      <w:r w:rsidR="00D4531C" w:rsidRPr="00BA4E9F">
        <w:rPr>
          <w:rFonts w:ascii="Arial" w:eastAsia="Times New Roman" w:hAnsi="Arial" w:cs="Arial"/>
          <w:sz w:val="24"/>
          <w:szCs w:val="24"/>
          <w:lang w:eastAsia="en-ZA"/>
        </w:rPr>
        <w:t xml:space="preserve"> of Bothma Signs and Vertex</w:t>
      </w:r>
      <w:r w:rsidR="00281A90" w:rsidRPr="00BA4E9F">
        <w:rPr>
          <w:rFonts w:ascii="Arial" w:eastAsia="Times New Roman" w:hAnsi="Arial" w:cs="Arial"/>
          <w:sz w:val="24"/>
          <w:szCs w:val="24"/>
          <w:lang w:eastAsia="en-ZA"/>
        </w:rPr>
        <w:t>, against the facts of the case</w:t>
      </w:r>
      <w:r w:rsidR="00D4531C" w:rsidRPr="00BA4E9F">
        <w:rPr>
          <w:rFonts w:ascii="Arial" w:eastAsia="Times New Roman" w:hAnsi="Arial" w:cs="Arial"/>
          <w:sz w:val="24"/>
          <w:szCs w:val="24"/>
          <w:lang w:eastAsia="en-ZA"/>
        </w:rPr>
        <w:t>,</w:t>
      </w:r>
      <w:r w:rsidR="00281A90" w:rsidRPr="00BA4E9F">
        <w:rPr>
          <w:rFonts w:ascii="Arial" w:eastAsia="Times New Roman" w:hAnsi="Arial" w:cs="Arial"/>
          <w:sz w:val="24"/>
          <w:szCs w:val="24"/>
          <w:lang w:eastAsia="en-ZA"/>
        </w:rPr>
        <w:t xml:space="preserve"> </w:t>
      </w:r>
      <w:r w:rsidR="00396CA2" w:rsidRPr="00BA4E9F">
        <w:rPr>
          <w:rFonts w:ascii="Arial" w:eastAsia="Times New Roman" w:hAnsi="Arial" w:cs="Arial"/>
          <w:sz w:val="24"/>
          <w:szCs w:val="24"/>
          <w:lang w:eastAsia="en-ZA"/>
        </w:rPr>
        <w:t xml:space="preserve">could be relied on to exonerate Hirt </w:t>
      </w:r>
      <w:r w:rsidR="00FD2E11" w:rsidRPr="00BA4E9F">
        <w:rPr>
          <w:rFonts w:ascii="Arial" w:eastAsia="Times New Roman" w:hAnsi="Arial" w:cs="Arial"/>
          <w:sz w:val="24"/>
          <w:szCs w:val="24"/>
          <w:lang w:eastAsia="en-ZA"/>
        </w:rPr>
        <w:t>&amp;</w:t>
      </w:r>
      <w:r w:rsidR="00396CA2" w:rsidRPr="00BA4E9F">
        <w:rPr>
          <w:rFonts w:ascii="Arial" w:eastAsia="Times New Roman" w:hAnsi="Arial" w:cs="Arial"/>
          <w:sz w:val="24"/>
          <w:szCs w:val="24"/>
          <w:lang w:eastAsia="en-ZA"/>
        </w:rPr>
        <w:t xml:space="preserve"> Carter. </w:t>
      </w:r>
    </w:p>
    <w:p w14:paraId="6AF2F732" w14:textId="77777777" w:rsidR="00396CA2" w:rsidRPr="00BA4E9F" w:rsidRDefault="00396CA2" w:rsidP="006E5926">
      <w:pPr>
        <w:spacing w:line="360" w:lineRule="auto"/>
        <w:contextualSpacing/>
        <w:jc w:val="both"/>
        <w:rPr>
          <w:rFonts w:ascii="Arial" w:eastAsia="Times New Roman" w:hAnsi="Arial" w:cs="Arial"/>
          <w:sz w:val="24"/>
          <w:szCs w:val="24"/>
          <w:lang w:eastAsia="en-ZA"/>
        </w:rPr>
      </w:pPr>
    </w:p>
    <w:p w14:paraId="3B77D9D4" w14:textId="1EB8373A" w:rsidR="006600F6" w:rsidRPr="00BA4E9F" w:rsidRDefault="00396CA2" w:rsidP="006E5926">
      <w:pPr>
        <w:spacing w:line="360" w:lineRule="auto"/>
        <w:contextualSpacing/>
        <w:jc w:val="both"/>
        <w:rPr>
          <w:rFonts w:ascii="Arial" w:eastAsia="Times New Roman" w:hAnsi="Arial" w:cs="Arial"/>
          <w:sz w:val="24"/>
          <w:szCs w:val="24"/>
          <w:lang w:eastAsia="en-ZA"/>
        </w:rPr>
      </w:pPr>
      <w:r w:rsidRPr="00BA4E9F">
        <w:rPr>
          <w:rFonts w:ascii="Arial" w:eastAsia="Times New Roman" w:hAnsi="Arial" w:cs="Arial"/>
          <w:sz w:val="24"/>
          <w:szCs w:val="24"/>
          <w:lang w:eastAsia="en-ZA"/>
        </w:rPr>
        <w:t>[36]</w:t>
      </w:r>
      <w:r w:rsidR="006E1770" w:rsidRPr="00BA4E9F">
        <w:rPr>
          <w:rFonts w:ascii="Arial" w:eastAsia="Times New Roman" w:hAnsi="Arial" w:cs="Arial"/>
          <w:sz w:val="24"/>
          <w:szCs w:val="24"/>
          <w:lang w:eastAsia="en-ZA"/>
        </w:rPr>
        <w:tab/>
      </w:r>
      <w:r w:rsidRPr="00BA4E9F">
        <w:rPr>
          <w:rFonts w:ascii="Arial" w:eastAsia="Times New Roman" w:hAnsi="Arial" w:cs="Arial"/>
          <w:sz w:val="24"/>
          <w:szCs w:val="24"/>
          <w:lang w:eastAsia="en-ZA"/>
        </w:rPr>
        <w:t xml:space="preserve">In my </w:t>
      </w:r>
      <w:r w:rsidR="006E1770" w:rsidRPr="00BA4E9F">
        <w:rPr>
          <w:rFonts w:ascii="Arial" w:eastAsia="Times New Roman" w:hAnsi="Arial" w:cs="Arial"/>
          <w:sz w:val="24"/>
          <w:szCs w:val="24"/>
          <w:lang w:eastAsia="en-ZA"/>
        </w:rPr>
        <w:t>view</w:t>
      </w:r>
      <w:r w:rsidR="0039268E" w:rsidRPr="00BA4E9F">
        <w:rPr>
          <w:rFonts w:ascii="Arial" w:eastAsia="Times New Roman" w:hAnsi="Arial" w:cs="Arial"/>
          <w:sz w:val="24"/>
          <w:szCs w:val="24"/>
          <w:lang w:eastAsia="en-ZA"/>
        </w:rPr>
        <w:t>,</w:t>
      </w:r>
      <w:r w:rsidR="006E1770" w:rsidRPr="00BA4E9F">
        <w:rPr>
          <w:rFonts w:ascii="Arial" w:eastAsia="Times New Roman" w:hAnsi="Arial" w:cs="Arial"/>
          <w:sz w:val="24"/>
          <w:szCs w:val="24"/>
          <w:lang w:eastAsia="en-ZA"/>
        </w:rPr>
        <w:t xml:space="preserve"> the Magistrate cannot be faulted for concluding </w:t>
      </w:r>
      <w:r w:rsidR="00BD2517" w:rsidRPr="00BA4E9F">
        <w:rPr>
          <w:rFonts w:ascii="Arial" w:eastAsia="Times New Roman" w:hAnsi="Arial" w:cs="Arial"/>
          <w:sz w:val="24"/>
          <w:szCs w:val="24"/>
          <w:lang w:eastAsia="en-ZA"/>
        </w:rPr>
        <w:t xml:space="preserve">that the death of the deceased was brought about by </w:t>
      </w:r>
      <w:r w:rsidR="00A33765" w:rsidRPr="00BA4E9F">
        <w:rPr>
          <w:rFonts w:ascii="Arial" w:eastAsia="Times New Roman" w:hAnsi="Arial" w:cs="Arial"/>
          <w:sz w:val="24"/>
          <w:szCs w:val="24"/>
          <w:lang w:eastAsia="en-ZA"/>
        </w:rPr>
        <w:t xml:space="preserve">an act or omission that </w:t>
      </w:r>
      <w:r w:rsidR="00A33765" w:rsidRPr="00BA4E9F">
        <w:rPr>
          <w:rFonts w:ascii="Arial" w:eastAsia="Times New Roman" w:hAnsi="Arial" w:cs="Arial"/>
          <w:iCs/>
          <w:sz w:val="24"/>
          <w:szCs w:val="24"/>
          <w:lang w:eastAsia="en-ZA"/>
        </w:rPr>
        <w:t>prima facie</w:t>
      </w:r>
      <w:r w:rsidR="00A33765" w:rsidRPr="00BA4E9F">
        <w:rPr>
          <w:rFonts w:ascii="Arial" w:eastAsia="Times New Roman" w:hAnsi="Arial" w:cs="Arial"/>
          <w:sz w:val="24"/>
          <w:szCs w:val="24"/>
          <w:lang w:eastAsia="en-ZA"/>
        </w:rPr>
        <w:t xml:space="preserve"> amounts to or involves </w:t>
      </w:r>
      <w:r w:rsidR="00067768" w:rsidRPr="00BA4E9F">
        <w:rPr>
          <w:rFonts w:ascii="Arial" w:eastAsia="Times New Roman" w:hAnsi="Arial" w:cs="Arial"/>
          <w:sz w:val="24"/>
          <w:szCs w:val="24"/>
          <w:lang w:eastAsia="en-ZA"/>
        </w:rPr>
        <w:t xml:space="preserve">an offence on the part of Hirt </w:t>
      </w:r>
      <w:r w:rsidR="00BB0386" w:rsidRPr="00BA4E9F">
        <w:rPr>
          <w:rFonts w:ascii="Arial" w:eastAsia="Times New Roman" w:hAnsi="Arial" w:cs="Arial"/>
          <w:sz w:val="24"/>
          <w:szCs w:val="24"/>
          <w:lang w:eastAsia="en-ZA"/>
        </w:rPr>
        <w:t>&amp;</w:t>
      </w:r>
      <w:r w:rsidR="00067768" w:rsidRPr="00BA4E9F">
        <w:rPr>
          <w:rFonts w:ascii="Arial" w:eastAsia="Times New Roman" w:hAnsi="Arial" w:cs="Arial"/>
          <w:sz w:val="24"/>
          <w:szCs w:val="24"/>
          <w:lang w:eastAsia="en-ZA"/>
        </w:rPr>
        <w:t xml:space="preserve"> Carter.</w:t>
      </w:r>
      <w:r w:rsidR="00EF143A" w:rsidRPr="00BA4E9F">
        <w:rPr>
          <w:rFonts w:ascii="Arial" w:eastAsia="Times New Roman" w:hAnsi="Arial" w:cs="Arial"/>
          <w:sz w:val="24"/>
          <w:szCs w:val="24"/>
          <w:lang w:eastAsia="en-ZA"/>
        </w:rPr>
        <w:t xml:space="preserve"> It was premised </w:t>
      </w:r>
      <w:r w:rsidR="00E1785B" w:rsidRPr="00BA4E9F">
        <w:rPr>
          <w:rFonts w:ascii="Arial" w:eastAsia="Times New Roman" w:hAnsi="Arial" w:cs="Arial"/>
          <w:sz w:val="24"/>
          <w:szCs w:val="24"/>
          <w:lang w:eastAsia="en-ZA"/>
        </w:rPr>
        <w:t>on</w:t>
      </w:r>
      <w:r w:rsidR="00EF143A" w:rsidRPr="00BA4E9F">
        <w:rPr>
          <w:rFonts w:ascii="Arial" w:eastAsia="Times New Roman" w:hAnsi="Arial" w:cs="Arial"/>
          <w:sz w:val="24"/>
          <w:szCs w:val="24"/>
          <w:lang w:eastAsia="en-ZA"/>
        </w:rPr>
        <w:t xml:space="preserve"> a finding of negligence on the part of Hirt </w:t>
      </w:r>
      <w:r w:rsidR="00BB0386" w:rsidRPr="00BA4E9F">
        <w:rPr>
          <w:rFonts w:ascii="Arial" w:eastAsia="Times New Roman" w:hAnsi="Arial" w:cs="Arial"/>
          <w:sz w:val="24"/>
          <w:szCs w:val="24"/>
          <w:lang w:eastAsia="en-ZA"/>
        </w:rPr>
        <w:t>&amp;</w:t>
      </w:r>
      <w:r w:rsidR="00EF143A" w:rsidRPr="00BA4E9F">
        <w:rPr>
          <w:rFonts w:ascii="Arial" w:eastAsia="Times New Roman" w:hAnsi="Arial" w:cs="Arial"/>
          <w:sz w:val="24"/>
          <w:szCs w:val="24"/>
          <w:lang w:eastAsia="en-ZA"/>
        </w:rPr>
        <w:t xml:space="preserve"> Carter.</w:t>
      </w:r>
      <w:r w:rsidR="0039268E" w:rsidRPr="00BA4E9F">
        <w:rPr>
          <w:rFonts w:ascii="Arial" w:eastAsia="Times New Roman" w:hAnsi="Arial" w:cs="Arial"/>
          <w:sz w:val="24"/>
          <w:szCs w:val="24"/>
          <w:lang w:eastAsia="en-ZA"/>
        </w:rPr>
        <w:t xml:space="preserve"> </w:t>
      </w:r>
      <w:r w:rsidR="00067768" w:rsidRPr="00BA4E9F">
        <w:rPr>
          <w:rFonts w:ascii="Arial" w:eastAsia="Times New Roman" w:hAnsi="Arial" w:cs="Arial"/>
          <w:sz w:val="24"/>
          <w:szCs w:val="24"/>
          <w:lang w:eastAsia="en-ZA"/>
        </w:rPr>
        <w:t xml:space="preserve">There </w:t>
      </w:r>
      <w:r w:rsidR="00E1785B" w:rsidRPr="00BA4E9F">
        <w:rPr>
          <w:rFonts w:ascii="Arial" w:eastAsia="Times New Roman" w:hAnsi="Arial" w:cs="Arial"/>
          <w:sz w:val="24"/>
          <w:szCs w:val="24"/>
          <w:lang w:eastAsia="en-ZA"/>
        </w:rPr>
        <w:t>i</w:t>
      </w:r>
      <w:r w:rsidR="00067768" w:rsidRPr="00BA4E9F">
        <w:rPr>
          <w:rFonts w:ascii="Arial" w:eastAsia="Times New Roman" w:hAnsi="Arial" w:cs="Arial"/>
          <w:sz w:val="24"/>
          <w:szCs w:val="24"/>
          <w:lang w:eastAsia="en-ZA"/>
        </w:rPr>
        <w:t>s</w:t>
      </w:r>
      <w:r w:rsidR="0039268E" w:rsidRPr="00BA4E9F">
        <w:rPr>
          <w:rFonts w:ascii="Arial" w:eastAsia="Times New Roman" w:hAnsi="Arial" w:cs="Arial"/>
          <w:sz w:val="24"/>
          <w:szCs w:val="24"/>
          <w:lang w:eastAsia="en-ZA"/>
        </w:rPr>
        <w:t>,</w:t>
      </w:r>
      <w:r w:rsidR="00067768" w:rsidRPr="00BA4E9F">
        <w:rPr>
          <w:rFonts w:ascii="Arial" w:eastAsia="Times New Roman" w:hAnsi="Arial" w:cs="Arial"/>
          <w:sz w:val="24"/>
          <w:szCs w:val="24"/>
          <w:lang w:eastAsia="en-ZA"/>
        </w:rPr>
        <w:t xml:space="preserve"> in my view</w:t>
      </w:r>
      <w:r w:rsidR="0039268E" w:rsidRPr="00BA4E9F">
        <w:rPr>
          <w:rFonts w:ascii="Arial" w:eastAsia="Times New Roman" w:hAnsi="Arial" w:cs="Arial"/>
          <w:sz w:val="24"/>
          <w:szCs w:val="24"/>
          <w:lang w:eastAsia="en-ZA"/>
        </w:rPr>
        <w:t>,</w:t>
      </w:r>
      <w:r w:rsidR="00067768" w:rsidRPr="00BA4E9F">
        <w:rPr>
          <w:rFonts w:ascii="Arial" w:eastAsia="Times New Roman" w:hAnsi="Arial" w:cs="Arial"/>
          <w:sz w:val="24"/>
          <w:szCs w:val="24"/>
          <w:lang w:eastAsia="en-ZA"/>
        </w:rPr>
        <w:t xml:space="preserve"> no discernible </w:t>
      </w:r>
      <w:r w:rsidR="00A00114" w:rsidRPr="00BA4E9F">
        <w:rPr>
          <w:rFonts w:ascii="Arial" w:eastAsia="Times New Roman" w:hAnsi="Arial" w:cs="Arial"/>
          <w:sz w:val="24"/>
          <w:szCs w:val="24"/>
          <w:lang w:eastAsia="en-ZA"/>
        </w:rPr>
        <w:t>material error of law by the Magistrate of the kind on which a review might be founded.</w:t>
      </w:r>
      <w:r w:rsidR="00E1785B" w:rsidRPr="00BA4E9F">
        <w:rPr>
          <w:rFonts w:ascii="Arial" w:eastAsia="Times New Roman" w:hAnsi="Arial" w:cs="Arial"/>
          <w:sz w:val="24"/>
          <w:szCs w:val="24"/>
          <w:lang w:eastAsia="en-ZA"/>
        </w:rPr>
        <w:t xml:space="preserve"> Indeed</w:t>
      </w:r>
      <w:r w:rsidR="0039268E" w:rsidRPr="00BA4E9F">
        <w:rPr>
          <w:rFonts w:ascii="Arial" w:eastAsia="Times New Roman" w:hAnsi="Arial" w:cs="Arial"/>
          <w:sz w:val="24"/>
          <w:szCs w:val="24"/>
          <w:lang w:eastAsia="en-ZA"/>
        </w:rPr>
        <w:t>,</w:t>
      </w:r>
      <w:r w:rsidR="00E1785B" w:rsidRPr="00BA4E9F">
        <w:rPr>
          <w:rFonts w:ascii="Arial" w:eastAsia="Times New Roman" w:hAnsi="Arial" w:cs="Arial"/>
          <w:sz w:val="24"/>
          <w:szCs w:val="24"/>
          <w:lang w:eastAsia="en-ZA"/>
        </w:rPr>
        <w:t xml:space="preserve"> I can find no error at all.</w:t>
      </w:r>
      <w:r w:rsidR="00A00114" w:rsidRPr="00BA4E9F">
        <w:rPr>
          <w:rFonts w:ascii="Arial" w:eastAsia="Times New Roman" w:hAnsi="Arial" w:cs="Arial"/>
          <w:sz w:val="24"/>
          <w:szCs w:val="24"/>
          <w:lang w:eastAsia="en-ZA"/>
        </w:rPr>
        <w:t xml:space="preserve"> The flood of potential</w:t>
      </w:r>
      <w:r w:rsidR="004467F7" w:rsidRPr="00BA4E9F">
        <w:rPr>
          <w:rFonts w:ascii="Arial" w:eastAsia="Times New Roman" w:hAnsi="Arial" w:cs="Arial"/>
          <w:sz w:val="24"/>
          <w:szCs w:val="24"/>
          <w:lang w:eastAsia="en-ZA"/>
        </w:rPr>
        <w:t xml:space="preserve"> </w:t>
      </w:r>
      <w:r w:rsidR="00A00114" w:rsidRPr="00BA4E9F">
        <w:rPr>
          <w:rFonts w:ascii="Arial" w:eastAsia="Times New Roman" w:hAnsi="Arial" w:cs="Arial"/>
          <w:sz w:val="24"/>
          <w:szCs w:val="24"/>
          <w:lang w:eastAsia="en-ZA"/>
        </w:rPr>
        <w:t xml:space="preserve">claims against commercial entities </w:t>
      </w:r>
      <w:r w:rsidR="004467F7" w:rsidRPr="00BA4E9F">
        <w:rPr>
          <w:rFonts w:ascii="Arial" w:eastAsia="Times New Roman" w:hAnsi="Arial" w:cs="Arial"/>
          <w:sz w:val="24"/>
          <w:szCs w:val="24"/>
          <w:lang w:eastAsia="en-ZA"/>
        </w:rPr>
        <w:t xml:space="preserve">contended for on behalf of Hirt </w:t>
      </w:r>
      <w:r w:rsidR="00BB0386" w:rsidRPr="00BA4E9F">
        <w:rPr>
          <w:rFonts w:ascii="Arial" w:eastAsia="Times New Roman" w:hAnsi="Arial" w:cs="Arial"/>
          <w:sz w:val="24"/>
          <w:szCs w:val="24"/>
          <w:lang w:eastAsia="en-ZA"/>
        </w:rPr>
        <w:t>&amp;</w:t>
      </w:r>
      <w:r w:rsidR="004467F7" w:rsidRPr="00BA4E9F">
        <w:rPr>
          <w:rFonts w:ascii="Arial" w:eastAsia="Times New Roman" w:hAnsi="Arial" w:cs="Arial"/>
          <w:sz w:val="24"/>
          <w:szCs w:val="24"/>
          <w:lang w:eastAsia="en-ZA"/>
        </w:rPr>
        <w:t xml:space="preserve"> Carter is illusory. Each case</w:t>
      </w:r>
      <w:r w:rsidR="006E00A0" w:rsidRPr="00BA4E9F">
        <w:rPr>
          <w:rFonts w:ascii="Arial" w:eastAsia="Times New Roman" w:hAnsi="Arial" w:cs="Arial"/>
          <w:sz w:val="24"/>
          <w:szCs w:val="24"/>
          <w:lang w:eastAsia="en-ZA"/>
        </w:rPr>
        <w:t xml:space="preserve"> is</w:t>
      </w:r>
      <w:r w:rsidR="004467F7" w:rsidRPr="00BA4E9F">
        <w:rPr>
          <w:rFonts w:ascii="Arial" w:eastAsia="Times New Roman" w:hAnsi="Arial" w:cs="Arial"/>
          <w:sz w:val="24"/>
          <w:szCs w:val="24"/>
          <w:lang w:eastAsia="en-ZA"/>
        </w:rPr>
        <w:t xml:space="preserve"> decided on its own facts and we are here</w:t>
      </w:r>
      <w:r w:rsidR="006E00A0" w:rsidRPr="00BA4E9F">
        <w:rPr>
          <w:rFonts w:ascii="Arial" w:eastAsia="Times New Roman" w:hAnsi="Arial" w:cs="Arial"/>
          <w:sz w:val="24"/>
          <w:szCs w:val="24"/>
          <w:lang w:eastAsia="en-ZA"/>
        </w:rPr>
        <w:t xml:space="preserve"> not</w:t>
      </w:r>
      <w:r w:rsidR="004467F7" w:rsidRPr="00BA4E9F">
        <w:rPr>
          <w:rFonts w:ascii="Arial" w:eastAsia="Times New Roman" w:hAnsi="Arial" w:cs="Arial"/>
          <w:sz w:val="24"/>
          <w:szCs w:val="24"/>
          <w:lang w:eastAsia="en-ZA"/>
        </w:rPr>
        <w:t xml:space="preserve"> dealing with civil liability. The</w:t>
      </w:r>
      <w:r w:rsidR="00AA1D89" w:rsidRPr="00BA4E9F">
        <w:rPr>
          <w:rFonts w:ascii="Arial" w:eastAsia="Times New Roman" w:hAnsi="Arial" w:cs="Arial"/>
          <w:sz w:val="24"/>
          <w:szCs w:val="24"/>
          <w:lang w:eastAsia="en-ZA"/>
        </w:rPr>
        <w:t xml:space="preserve"> Magistrate and the full</w:t>
      </w:r>
      <w:r w:rsidR="004467F7" w:rsidRPr="00BA4E9F">
        <w:rPr>
          <w:rFonts w:ascii="Arial" w:eastAsia="Times New Roman" w:hAnsi="Arial" w:cs="Arial"/>
          <w:sz w:val="24"/>
          <w:szCs w:val="24"/>
          <w:lang w:eastAsia="en-ZA"/>
        </w:rPr>
        <w:t xml:space="preserve"> court was correct</w:t>
      </w:r>
      <w:r w:rsidR="00E032F2" w:rsidRPr="00BA4E9F">
        <w:rPr>
          <w:rFonts w:ascii="Arial" w:eastAsia="Times New Roman" w:hAnsi="Arial" w:cs="Arial"/>
          <w:sz w:val="24"/>
          <w:szCs w:val="24"/>
          <w:lang w:eastAsia="en-ZA"/>
        </w:rPr>
        <w:t>, against the background set out above</w:t>
      </w:r>
      <w:r w:rsidR="000F207D">
        <w:rPr>
          <w:rFonts w:ascii="Arial" w:eastAsia="Times New Roman" w:hAnsi="Arial" w:cs="Arial"/>
          <w:sz w:val="24"/>
          <w:szCs w:val="24"/>
          <w:lang w:eastAsia="en-ZA"/>
        </w:rPr>
        <w:t>,</w:t>
      </w:r>
      <w:r w:rsidR="004467F7" w:rsidRPr="00BA4E9F">
        <w:rPr>
          <w:rFonts w:ascii="Arial" w:eastAsia="Times New Roman" w:hAnsi="Arial" w:cs="Arial"/>
          <w:sz w:val="24"/>
          <w:szCs w:val="24"/>
          <w:lang w:eastAsia="en-ZA"/>
        </w:rPr>
        <w:t xml:space="preserve"> not to have its focus deflected by Hirt </w:t>
      </w:r>
      <w:r w:rsidR="00BB0386" w:rsidRPr="00BA4E9F">
        <w:rPr>
          <w:rFonts w:ascii="Arial" w:eastAsia="Times New Roman" w:hAnsi="Arial" w:cs="Arial"/>
          <w:sz w:val="24"/>
          <w:szCs w:val="24"/>
          <w:lang w:eastAsia="en-ZA"/>
        </w:rPr>
        <w:t>&amp;</w:t>
      </w:r>
      <w:r w:rsidR="004467F7" w:rsidRPr="00BA4E9F">
        <w:rPr>
          <w:rFonts w:ascii="Arial" w:eastAsia="Times New Roman" w:hAnsi="Arial" w:cs="Arial"/>
          <w:sz w:val="24"/>
          <w:szCs w:val="24"/>
          <w:lang w:eastAsia="en-ZA"/>
        </w:rPr>
        <w:t xml:space="preserve"> Carter’s</w:t>
      </w:r>
      <w:r w:rsidR="00E032F2" w:rsidRPr="00BA4E9F">
        <w:rPr>
          <w:rFonts w:ascii="Arial" w:eastAsia="Times New Roman" w:hAnsi="Arial" w:cs="Arial"/>
          <w:sz w:val="24"/>
          <w:szCs w:val="24"/>
          <w:lang w:eastAsia="en-ZA"/>
        </w:rPr>
        <w:t xml:space="preserve"> reliance on the sub</w:t>
      </w:r>
      <w:r w:rsidR="00D43283" w:rsidRPr="00BA4E9F">
        <w:rPr>
          <w:rFonts w:ascii="Arial" w:eastAsia="Times New Roman" w:hAnsi="Arial" w:cs="Arial"/>
          <w:sz w:val="24"/>
          <w:szCs w:val="24"/>
          <w:lang w:eastAsia="en-ZA"/>
        </w:rPr>
        <w:t>-contract</w:t>
      </w:r>
      <w:r w:rsidR="007E1CBC" w:rsidRPr="00BA4E9F">
        <w:rPr>
          <w:rFonts w:ascii="Arial" w:eastAsia="Times New Roman" w:hAnsi="Arial" w:cs="Arial"/>
          <w:sz w:val="24"/>
          <w:szCs w:val="24"/>
          <w:lang w:eastAsia="en-ZA"/>
        </w:rPr>
        <w:t>ors</w:t>
      </w:r>
      <w:r w:rsidR="00D43283" w:rsidRPr="00BA4E9F">
        <w:rPr>
          <w:rFonts w:ascii="Arial" w:eastAsia="Times New Roman" w:hAnsi="Arial" w:cs="Arial"/>
          <w:sz w:val="24"/>
          <w:szCs w:val="24"/>
          <w:lang w:eastAsia="en-ZA"/>
        </w:rPr>
        <w:t>.</w:t>
      </w:r>
      <w:r w:rsidR="00A00114" w:rsidRPr="00BA4E9F">
        <w:rPr>
          <w:rFonts w:ascii="Arial" w:eastAsia="Times New Roman" w:hAnsi="Arial" w:cs="Arial"/>
          <w:sz w:val="24"/>
          <w:szCs w:val="24"/>
          <w:lang w:eastAsia="en-ZA"/>
        </w:rPr>
        <w:t xml:space="preserve"> </w:t>
      </w:r>
      <w:r w:rsidR="006600F6" w:rsidRPr="00BA4E9F">
        <w:rPr>
          <w:rFonts w:ascii="Arial" w:eastAsia="Times New Roman" w:hAnsi="Arial" w:cs="Arial"/>
          <w:sz w:val="24"/>
          <w:szCs w:val="24"/>
          <w:lang w:eastAsia="en-ZA"/>
        </w:rPr>
        <w:t xml:space="preserve"> </w:t>
      </w:r>
    </w:p>
    <w:p w14:paraId="7719288A" w14:textId="77777777" w:rsidR="000B751F" w:rsidRPr="00BA4E9F" w:rsidRDefault="000B751F" w:rsidP="006E5926">
      <w:pPr>
        <w:spacing w:line="360" w:lineRule="auto"/>
        <w:contextualSpacing/>
        <w:jc w:val="both"/>
        <w:rPr>
          <w:rFonts w:ascii="Arial" w:eastAsia="Times New Roman" w:hAnsi="Arial" w:cs="Arial"/>
          <w:sz w:val="24"/>
          <w:szCs w:val="24"/>
          <w:lang w:eastAsia="en-ZA"/>
        </w:rPr>
      </w:pPr>
    </w:p>
    <w:p w14:paraId="460682CC" w14:textId="1C2B8098" w:rsidR="00D26987" w:rsidRDefault="00D43283" w:rsidP="001E4FF4">
      <w:pPr>
        <w:spacing w:line="360" w:lineRule="auto"/>
        <w:contextualSpacing/>
        <w:jc w:val="both"/>
        <w:rPr>
          <w:rFonts w:ascii="Arial" w:eastAsia="Times New Roman" w:hAnsi="Arial" w:cs="Arial"/>
          <w:sz w:val="24"/>
          <w:szCs w:val="24"/>
          <w:lang w:eastAsia="en-ZA"/>
        </w:rPr>
      </w:pPr>
      <w:r w:rsidRPr="00BA4E9F">
        <w:rPr>
          <w:rFonts w:ascii="Arial" w:eastAsia="Times New Roman" w:hAnsi="Arial" w:cs="Arial"/>
          <w:sz w:val="24"/>
          <w:szCs w:val="24"/>
          <w:lang w:eastAsia="en-ZA"/>
        </w:rPr>
        <w:t>[37]</w:t>
      </w:r>
      <w:r w:rsidR="00EF143A" w:rsidRPr="00BA4E9F">
        <w:rPr>
          <w:rFonts w:ascii="Arial" w:eastAsia="Times New Roman" w:hAnsi="Arial" w:cs="Arial"/>
          <w:sz w:val="24"/>
          <w:szCs w:val="24"/>
          <w:lang w:eastAsia="en-ZA"/>
        </w:rPr>
        <w:tab/>
      </w:r>
      <w:r w:rsidRPr="00BA4E9F">
        <w:rPr>
          <w:rFonts w:ascii="Arial" w:eastAsia="Times New Roman" w:hAnsi="Arial" w:cs="Arial"/>
          <w:sz w:val="24"/>
          <w:szCs w:val="24"/>
          <w:lang w:eastAsia="en-ZA"/>
        </w:rPr>
        <w:t>T</w:t>
      </w:r>
      <w:r w:rsidR="00D26987" w:rsidRPr="00BA4E9F">
        <w:rPr>
          <w:rFonts w:ascii="Arial" w:eastAsia="Times New Roman" w:hAnsi="Arial" w:cs="Arial"/>
          <w:sz w:val="24"/>
          <w:szCs w:val="24"/>
          <w:lang w:eastAsia="en-ZA"/>
        </w:rPr>
        <w:t>he</w:t>
      </w:r>
      <w:r w:rsidRPr="00BA4E9F">
        <w:rPr>
          <w:rFonts w:ascii="Arial" w:eastAsia="Times New Roman" w:hAnsi="Arial" w:cs="Arial"/>
          <w:sz w:val="24"/>
          <w:szCs w:val="24"/>
          <w:lang w:eastAsia="en-ZA"/>
        </w:rPr>
        <w:t>re might well be an oddity in</w:t>
      </w:r>
      <w:r w:rsidR="00033173" w:rsidRPr="00BA4E9F">
        <w:rPr>
          <w:rFonts w:ascii="Arial" w:eastAsia="Times New Roman" w:hAnsi="Arial" w:cs="Arial"/>
          <w:sz w:val="24"/>
          <w:szCs w:val="24"/>
          <w:lang w:eastAsia="en-ZA"/>
        </w:rPr>
        <w:t xml:space="preserve"> the </w:t>
      </w:r>
      <w:r w:rsidR="00D26987" w:rsidRPr="00BA4E9F">
        <w:rPr>
          <w:rFonts w:ascii="Arial" w:eastAsia="Times New Roman" w:hAnsi="Arial" w:cs="Arial"/>
          <w:sz w:val="24"/>
          <w:szCs w:val="24"/>
          <w:lang w:eastAsia="en-ZA"/>
        </w:rPr>
        <w:t>Magistrate</w:t>
      </w:r>
      <w:r w:rsidR="00033173" w:rsidRPr="00BA4E9F">
        <w:rPr>
          <w:rFonts w:ascii="Arial" w:eastAsia="Times New Roman" w:hAnsi="Arial" w:cs="Arial"/>
          <w:sz w:val="24"/>
          <w:szCs w:val="24"/>
          <w:lang w:eastAsia="en-ZA"/>
        </w:rPr>
        <w:t>’s</w:t>
      </w:r>
      <w:r w:rsidR="00D26987" w:rsidRPr="00BA4E9F">
        <w:rPr>
          <w:rFonts w:ascii="Arial" w:eastAsia="Times New Roman" w:hAnsi="Arial" w:cs="Arial"/>
          <w:sz w:val="24"/>
          <w:szCs w:val="24"/>
          <w:lang w:eastAsia="en-ZA"/>
        </w:rPr>
        <w:t xml:space="preserve"> f</w:t>
      </w:r>
      <w:r w:rsidR="00033173" w:rsidRPr="00BA4E9F">
        <w:rPr>
          <w:rFonts w:ascii="Arial" w:eastAsia="Times New Roman" w:hAnsi="Arial" w:cs="Arial"/>
          <w:sz w:val="24"/>
          <w:szCs w:val="24"/>
          <w:lang w:eastAsia="en-ZA"/>
        </w:rPr>
        <w:t>inding</w:t>
      </w:r>
      <w:r w:rsidR="00D26987" w:rsidRPr="00BA4E9F">
        <w:rPr>
          <w:rFonts w:ascii="Arial" w:eastAsia="Times New Roman" w:hAnsi="Arial" w:cs="Arial"/>
          <w:sz w:val="24"/>
          <w:szCs w:val="24"/>
          <w:lang w:eastAsia="en-ZA"/>
        </w:rPr>
        <w:t xml:space="preserve"> that the assurances of Mrs Pretorius to Mr Lord</w:t>
      </w:r>
      <w:r w:rsidR="00EF143A" w:rsidRPr="00BA4E9F">
        <w:rPr>
          <w:rFonts w:ascii="Arial" w:eastAsia="Times New Roman" w:hAnsi="Arial" w:cs="Arial"/>
          <w:sz w:val="24"/>
          <w:szCs w:val="24"/>
          <w:lang w:eastAsia="en-ZA"/>
        </w:rPr>
        <w:t xml:space="preserve"> of Alliance Safety</w:t>
      </w:r>
      <w:r w:rsidR="00D26987" w:rsidRPr="00BA4E9F">
        <w:rPr>
          <w:rFonts w:ascii="Arial" w:eastAsia="Times New Roman" w:hAnsi="Arial" w:cs="Arial"/>
          <w:sz w:val="24"/>
          <w:szCs w:val="24"/>
          <w:lang w:eastAsia="en-ZA"/>
        </w:rPr>
        <w:t xml:space="preserve"> rendered Alliance Safety not negligent</w:t>
      </w:r>
      <w:r w:rsidR="008B1D71" w:rsidRPr="00BA4E9F">
        <w:rPr>
          <w:rFonts w:ascii="Arial" w:eastAsia="Times New Roman" w:hAnsi="Arial" w:cs="Arial"/>
          <w:sz w:val="24"/>
          <w:szCs w:val="24"/>
          <w:lang w:eastAsia="en-ZA"/>
        </w:rPr>
        <w:t xml:space="preserve"> as</w:t>
      </w:r>
      <w:r w:rsidR="00D26987" w:rsidRPr="00BA4E9F">
        <w:rPr>
          <w:rFonts w:ascii="Arial" w:eastAsia="Times New Roman" w:hAnsi="Arial" w:cs="Arial"/>
          <w:sz w:val="24"/>
          <w:szCs w:val="24"/>
          <w:lang w:eastAsia="en-ZA"/>
        </w:rPr>
        <w:t xml:space="preserve"> </w:t>
      </w:r>
      <w:r w:rsidR="004B4978" w:rsidRPr="00BA4E9F">
        <w:rPr>
          <w:rFonts w:ascii="Arial" w:eastAsia="Times New Roman" w:hAnsi="Arial" w:cs="Arial"/>
          <w:sz w:val="24"/>
          <w:szCs w:val="24"/>
          <w:lang w:eastAsia="en-ZA"/>
        </w:rPr>
        <w:t>‘</w:t>
      </w:r>
      <w:r w:rsidR="00D26987" w:rsidRPr="00BA4E9F">
        <w:rPr>
          <w:rFonts w:ascii="Arial" w:eastAsia="Times New Roman" w:hAnsi="Arial" w:cs="Arial"/>
          <w:sz w:val="24"/>
          <w:szCs w:val="24"/>
          <w:lang w:eastAsia="en-ZA"/>
        </w:rPr>
        <w:t xml:space="preserve">there was no reason for </w:t>
      </w:r>
      <w:r w:rsidR="004B4978" w:rsidRPr="00BA4E9F">
        <w:rPr>
          <w:rFonts w:ascii="Arial" w:eastAsia="Times New Roman" w:hAnsi="Arial" w:cs="Arial"/>
          <w:sz w:val="24"/>
          <w:szCs w:val="24"/>
          <w:lang w:eastAsia="en-ZA"/>
        </w:rPr>
        <w:t>[</w:t>
      </w:r>
      <w:r w:rsidR="008B1D71" w:rsidRPr="00BA4E9F">
        <w:rPr>
          <w:rFonts w:ascii="Arial" w:eastAsia="Times New Roman" w:hAnsi="Arial" w:cs="Arial"/>
          <w:sz w:val="24"/>
          <w:szCs w:val="24"/>
          <w:lang w:eastAsia="en-ZA"/>
        </w:rPr>
        <w:t xml:space="preserve">Mr </w:t>
      </w:r>
      <w:r w:rsidR="00D26987" w:rsidRPr="00BA4E9F">
        <w:rPr>
          <w:rFonts w:ascii="Arial" w:eastAsia="Times New Roman" w:hAnsi="Arial" w:cs="Arial"/>
          <w:sz w:val="24"/>
          <w:szCs w:val="24"/>
          <w:lang w:eastAsia="en-ZA"/>
        </w:rPr>
        <w:t>Lord</w:t>
      </w:r>
      <w:r w:rsidR="004B4978" w:rsidRPr="00BA4E9F">
        <w:rPr>
          <w:rFonts w:ascii="Arial" w:eastAsia="Times New Roman" w:hAnsi="Arial" w:cs="Arial"/>
          <w:sz w:val="24"/>
          <w:szCs w:val="24"/>
          <w:lang w:eastAsia="en-ZA"/>
        </w:rPr>
        <w:t>]</w:t>
      </w:r>
      <w:r w:rsidR="00D26987" w:rsidRPr="00BA4E9F">
        <w:rPr>
          <w:rFonts w:ascii="Arial" w:eastAsia="Times New Roman" w:hAnsi="Arial" w:cs="Arial"/>
          <w:sz w:val="24"/>
          <w:szCs w:val="24"/>
          <w:lang w:eastAsia="en-ZA"/>
        </w:rPr>
        <w:t xml:space="preserve"> to doubt Wilson’s </w:t>
      </w:r>
      <w:r w:rsidR="004B4978" w:rsidRPr="00BA4E9F">
        <w:rPr>
          <w:rFonts w:ascii="Arial" w:eastAsia="Times New Roman" w:hAnsi="Arial" w:cs="Arial"/>
          <w:sz w:val="24"/>
          <w:szCs w:val="24"/>
          <w:lang w:eastAsia="en-ZA"/>
        </w:rPr>
        <w:t>[</w:t>
      </w:r>
      <w:r w:rsidR="008B1D71" w:rsidRPr="00BA4E9F">
        <w:rPr>
          <w:rFonts w:ascii="Arial" w:eastAsia="Times New Roman" w:hAnsi="Arial" w:cs="Arial"/>
          <w:sz w:val="24"/>
          <w:szCs w:val="24"/>
          <w:lang w:eastAsia="en-ZA"/>
        </w:rPr>
        <w:t xml:space="preserve">Mrs </w:t>
      </w:r>
      <w:r w:rsidR="00D26987" w:rsidRPr="00BA4E9F">
        <w:rPr>
          <w:rFonts w:ascii="Arial" w:eastAsia="Times New Roman" w:hAnsi="Arial" w:cs="Arial"/>
          <w:sz w:val="24"/>
          <w:szCs w:val="24"/>
          <w:lang w:eastAsia="en-ZA"/>
        </w:rPr>
        <w:t>Pretorius</w:t>
      </w:r>
      <w:r w:rsidR="004B4978" w:rsidRPr="00BA4E9F">
        <w:rPr>
          <w:rFonts w:ascii="Arial" w:eastAsia="Times New Roman" w:hAnsi="Arial" w:cs="Arial"/>
          <w:sz w:val="24"/>
          <w:szCs w:val="24"/>
          <w:lang w:eastAsia="en-ZA"/>
        </w:rPr>
        <w:t>]</w:t>
      </w:r>
      <w:r w:rsidR="00D26987" w:rsidRPr="00BA4E9F">
        <w:rPr>
          <w:rFonts w:ascii="Arial" w:eastAsia="Times New Roman" w:hAnsi="Arial" w:cs="Arial"/>
          <w:sz w:val="24"/>
          <w:szCs w:val="24"/>
          <w:lang w:eastAsia="en-ZA"/>
        </w:rPr>
        <w:t xml:space="preserve"> ability or experience in the field or events, or her assurances that all the necessary documentation had been </w:t>
      </w:r>
      <w:r w:rsidR="00D26987" w:rsidRPr="00960273">
        <w:rPr>
          <w:rFonts w:ascii="Arial" w:eastAsia="Times New Roman" w:hAnsi="Arial" w:cs="Arial"/>
          <w:sz w:val="24"/>
          <w:szCs w:val="24"/>
          <w:lang w:eastAsia="en-ZA"/>
        </w:rPr>
        <w:t>obtained</w:t>
      </w:r>
      <w:r w:rsidR="004B4978" w:rsidRPr="00960273">
        <w:rPr>
          <w:rFonts w:ascii="Arial" w:eastAsia="Times New Roman" w:hAnsi="Arial" w:cs="Arial"/>
          <w:sz w:val="24"/>
          <w:szCs w:val="24"/>
          <w:lang w:eastAsia="en-ZA"/>
        </w:rPr>
        <w:t>’</w:t>
      </w:r>
      <w:r w:rsidR="00D26987" w:rsidRPr="00960273">
        <w:rPr>
          <w:rFonts w:ascii="Arial" w:eastAsia="Times New Roman" w:hAnsi="Arial" w:cs="Arial"/>
          <w:sz w:val="24"/>
          <w:szCs w:val="24"/>
          <w:lang w:eastAsia="en-ZA"/>
        </w:rPr>
        <w:t>.</w:t>
      </w:r>
      <w:r w:rsidR="00D26987" w:rsidRPr="00BA4E9F">
        <w:rPr>
          <w:rFonts w:ascii="Arial" w:eastAsia="Times New Roman" w:hAnsi="Arial" w:cs="Arial"/>
          <w:sz w:val="24"/>
          <w:szCs w:val="24"/>
          <w:lang w:eastAsia="en-ZA"/>
        </w:rPr>
        <w:t xml:space="preserve"> </w:t>
      </w:r>
      <w:r w:rsidR="001E4FF4" w:rsidRPr="00BA4E9F">
        <w:rPr>
          <w:rFonts w:ascii="Arial" w:eastAsia="Times New Roman" w:hAnsi="Arial" w:cs="Arial"/>
          <w:sz w:val="24"/>
          <w:szCs w:val="24"/>
          <w:lang w:eastAsia="en-ZA"/>
        </w:rPr>
        <w:t>However, that was not the issue before us. We were concerned</w:t>
      </w:r>
      <w:r w:rsidR="00EF143A" w:rsidRPr="00BA4E9F">
        <w:rPr>
          <w:rFonts w:ascii="Arial" w:eastAsia="Times New Roman" w:hAnsi="Arial" w:cs="Arial"/>
          <w:sz w:val="24"/>
          <w:szCs w:val="24"/>
          <w:lang w:eastAsia="en-ZA"/>
        </w:rPr>
        <w:t xml:space="preserve"> with whether the Magistrate’s finding against Hirt </w:t>
      </w:r>
      <w:r w:rsidR="00BB0386" w:rsidRPr="00BA4E9F">
        <w:rPr>
          <w:rFonts w:ascii="Arial" w:eastAsia="Times New Roman" w:hAnsi="Arial" w:cs="Arial"/>
          <w:sz w:val="24"/>
          <w:szCs w:val="24"/>
          <w:lang w:eastAsia="en-ZA"/>
        </w:rPr>
        <w:t>&amp;</w:t>
      </w:r>
      <w:r w:rsidR="00EF143A" w:rsidRPr="00BA4E9F">
        <w:rPr>
          <w:rFonts w:ascii="Arial" w:eastAsia="Times New Roman" w:hAnsi="Arial" w:cs="Arial"/>
          <w:sz w:val="24"/>
          <w:szCs w:val="24"/>
          <w:lang w:eastAsia="en-ZA"/>
        </w:rPr>
        <w:t xml:space="preserve"> Car</w:t>
      </w:r>
      <w:r w:rsidR="00BB0386" w:rsidRPr="00BA4E9F">
        <w:rPr>
          <w:rFonts w:ascii="Arial" w:eastAsia="Times New Roman" w:hAnsi="Arial" w:cs="Arial"/>
          <w:sz w:val="24"/>
          <w:szCs w:val="24"/>
          <w:lang w:eastAsia="en-ZA"/>
        </w:rPr>
        <w:t>ter</w:t>
      </w:r>
      <w:r w:rsidR="00EF143A" w:rsidRPr="00BA4E9F">
        <w:rPr>
          <w:rFonts w:ascii="Arial" w:eastAsia="Times New Roman" w:hAnsi="Arial" w:cs="Arial"/>
          <w:sz w:val="24"/>
          <w:szCs w:val="24"/>
          <w:lang w:eastAsia="en-ZA"/>
        </w:rPr>
        <w:t xml:space="preserve"> was lacking</w:t>
      </w:r>
      <w:r w:rsidR="00ED31B2" w:rsidRPr="00BA4E9F">
        <w:rPr>
          <w:rFonts w:ascii="Arial" w:eastAsia="Times New Roman" w:hAnsi="Arial" w:cs="Arial"/>
          <w:sz w:val="24"/>
          <w:szCs w:val="24"/>
          <w:lang w:eastAsia="en-ZA"/>
        </w:rPr>
        <w:t xml:space="preserve"> and whether the full court order was justified</w:t>
      </w:r>
      <w:r w:rsidR="00EF143A" w:rsidRPr="00BA4E9F">
        <w:rPr>
          <w:rFonts w:ascii="Arial" w:eastAsia="Times New Roman" w:hAnsi="Arial" w:cs="Arial"/>
          <w:sz w:val="24"/>
          <w:szCs w:val="24"/>
          <w:lang w:eastAsia="en-ZA"/>
        </w:rPr>
        <w:t>.</w:t>
      </w:r>
      <w:r w:rsidR="009C7DB6" w:rsidRPr="00BA4E9F">
        <w:rPr>
          <w:rFonts w:ascii="Arial" w:eastAsia="Times New Roman" w:hAnsi="Arial" w:cs="Arial"/>
          <w:sz w:val="24"/>
          <w:szCs w:val="24"/>
          <w:lang w:eastAsia="en-ZA"/>
        </w:rPr>
        <w:t xml:space="preserve"> That question has been ans</w:t>
      </w:r>
      <w:r w:rsidR="00F65D77" w:rsidRPr="00BA4E9F">
        <w:rPr>
          <w:rFonts w:ascii="Arial" w:eastAsia="Times New Roman" w:hAnsi="Arial" w:cs="Arial"/>
          <w:sz w:val="24"/>
          <w:szCs w:val="24"/>
          <w:lang w:eastAsia="en-ZA"/>
        </w:rPr>
        <w:t>wered.</w:t>
      </w:r>
    </w:p>
    <w:p w14:paraId="7FEF381D" w14:textId="1748A1C1" w:rsidR="001E4FF4" w:rsidRDefault="001E4FF4" w:rsidP="001E4FF4">
      <w:pPr>
        <w:spacing w:line="360" w:lineRule="auto"/>
        <w:contextualSpacing/>
        <w:jc w:val="both"/>
        <w:rPr>
          <w:rFonts w:ascii="Arial" w:eastAsia="Times New Roman" w:hAnsi="Arial" w:cs="Arial"/>
          <w:sz w:val="24"/>
          <w:szCs w:val="24"/>
          <w:lang w:eastAsia="en-ZA"/>
        </w:rPr>
      </w:pPr>
    </w:p>
    <w:p w14:paraId="58722E45" w14:textId="49DC47D7" w:rsidR="001E4FF4" w:rsidRPr="00D26987" w:rsidRDefault="00DF5E02" w:rsidP="001E4FF4">
      <w:pPr>
        <w:spacing w:line="360"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t>[38]</w:t>
      </w:r>
      <w:r>
        <w:rPr>
          <w:rFonts w:ascii="Arial" w:eastAsia="Times New Roman" w:hAnsi="Arial" w:cs="Arial"/>
          <w:sz w:val="24"/>
          <w:szCs w:val="24"/>
          <w:lang w:eastAsia="en-ZA"/>
        </w:rPr>
        <w:tab/>
      </w:r>
      <w:r w:rsidR="00E11730">
        <w:rPr>
          <w:rFonts w:ascii="Arial" w:eastAsia="Times New Roman" w:hAnsi="Arial" w:cs="Arial"/>
          <w:sz w:val="24"/>
          <w:szCs w:val="24"/>
          <w:lang w:eastAsia="en-ZA"/>
        </w:rPr>
        <w:t>In the circumstance</w:t>
      </w:r>
      <w:r w:rsidR="00A804CB">
        <w:rPr>
          <w:rFonts w:ascii="Arial" w:eastAsia="Times New Roman" w:hAnsi="Arial" w:cs="Arial"/>
          <w:sz w:val="24"/>
          <w:szCs w:val="24"/>
          <w:lang w:eastAsia="en-ZA"/>
        </w:rPr>
        <w:t>s, t</w:t>
      </w:r>
      <w:r w:rsidR="00D0410B">
        <w:rPr>
          <w:rFonts w:ascii="Arial" w:eastAsia="Times New Roman" w:hAnsi="Arial" w:cs="Arial"/>
          <w:sz w:val="24"/>
          <w:szCs w:val="24"/>
          <w:lang w:eastAsia="en-ZA"/>
        </w:rPr>
        <w:t>he following order is made:</w:t>
      </w:r>
    </w:p>
    <w:p w14:paraId="7D1E9D02" w14:textId="762D5793" w:rsidR="00D26987" w:rsidRPr="00DF5E02" w:rsidRDefault="00D26987" w:rsidP="00DF5E02">
      <w:pPr>
        <w:pStyle w:val="ListParagraph"/>
        <w:numPr>
          <w:ilvl w:val="0"/>
          <w:numId w:val="5"/>
        </w:numPr>
        <w:rPr>
          <w:rFonts w:ascii="Arial" w:eastAsia="Times New Roman" w:hAnsi="Arial" w:cs="Arial"/>
          <w:sz w:val="24"/>
          <w:szCs w:val="24"/>
          <w:lang w:eastAsia="en-ZA"/>
        </w:rPr>
      </w:pPr>
      <w:bookmarkStart w:id="0" w:name="_Hlk73538012"/>
      <w:r w:rsidRPr="00DF5E02">
        <w:rPr>
          <w:rFonts w:ascii="Arial" w:eastAsia="Times New Roman" w:hAnsi="Arial" w:cs="Arial"/>
          <w:sz w:val="24"/>
          <w:szCs w:val="24"/>
          <w:lang w:eastAsia="en-ZA"/>
        </w:rPr>
        <w:t>The appeal is dismissed.</w:t>
      </w:r>
    </w:p>
    <w:bookmarkEnd w:id="0"/>
    <w:p w14:paraId="7D300596" w14:textId="1E2DC075" w:rsidR="006669EE" w:rsidRPr="00D26987" w:rsidRDefault="002E50CD" w:rsidP="00DF5E02">
      <w:pPr>
        <w:spacing w:line="360"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t xml:space="preserve">                                                                                    </w:t>
      </w:r>
    </w:p>
    <w:p w14:paraId="5C3CFEE7" w14:textId="0FB6F852" w:rsidR="002E50CD" w:rsidRPr="00C13215" w:rsidRDefault="002E50CD" w:rsidP="002E50CD">
      <w:pPr>
        <w:tabs>
          <w:tab w:val="left" w:pos="735"/>
        </w:tabs>
        <w:rPr>
          <w:rFonts w:ascii="Arial" w:eastAsia="Times New Roman" w:hAnsi="Arial" w:cs="Arial"/>
          <w:sz w:val="24"/>
          <w:szCs w:val="24"/>
          <w:lang w:val="en-US" w:eastAsia="en-ZA"/>
        </w:rPr>
      </w:pPr>
      <w:r>
        <w:rPr>
          <w:rFonts w:ascii="Arial" w:eastAsia="Times New Roman" w:hAnsi="Arial" w:cs="Arial"/>
          <w:sz w:val="24"/>
          <w:szCs w:val="24"/>
          <w:lang w:val="en-US" w:eastAsia="en-ZA"/>
        </w:rPr>
        <w:tab/>
        <w:t xml:space="preserve">                                                                                    </w:t>
      </w:r>
      <w:bookmarkStart w:id="1" w:name="_GoBack"/>
      <w:bookmarkEnd w:id="1"/>
    </w:p>
    <w:p w14:paraId="19F94E70" w14:textId="77777777" w:rsidR="00C13215" w:rsidRPr="00C13215" w:rsidRDefault="00C13215" w:rsidP="00C13215">
      <w:pPr>
        <w:jc w:val="right"/>
        <w:rPr>
          <w:rFonts w:ascii="Arial" w:eastAsia="Times New Roman" w:hAnsi="Arial" w:cs="Arial"/>
          <w:sz w:val="24"/>
          <w:szCs w:val="24"/>
          <w:lang w:val="en-US" w:eastAsia="en-ZA"/>
        </w:rPr>
      </w:pPr>
      <w:r w:rsidRPr="00C13215">
        <w:rPr>
          <w:rFonts w:ascii="Arial" w:eastAsia="Times New Roman" w:hAnsi="Arial" w:cs="Arial"/>
          <w:noProof/>
          <w:sz w:val="24"/>
          <w:szCs w:val="24"/>
          <w:lang w:eastAsia="en-ZA"/>
        </w:rPr>
        <mc:AlternateContent>
          <mc:Choice Requires="wpg">
            <w:drawing>
              <wp:inline distT="0" distB="0" distL="0" distR="0" wp14:anchorId="01FA99F1" wp14:editId="05F066A1">
                <wp:extent cx="1865630" cy="10160"/>
                <wp:effectExtent l="12700" t="3175" r="7620" b="571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10160"/>
                          <a:chOff x="0" y="0"/>
                          <a:chExt cx="2938" cy="16"/>
                        </a:xfrm>
                      </wpg:grpSpPr>
                      <wps:wsp>
                        <wps:cNvPr id="2" name="Line 3"/>
                        <wps:cNvCnPr>
                          <a:cxnSpLocks noChangeShapeType="1"/>
                        </wps:cNvCnPr>
                        <wps:spPr bwMode="auto">
                          <a:xfrm>
                            <a:off x="0" y="8"/>
                            <a:ext cx="2937"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7A94F7A" id="Group 2" o:spid="_x0000_s1026" style="width:146.9pt;height:.8pt;mso-position-horizontal-relative:char;mso-position-vertical-relative:line" coordsize="29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">
                <v:line id="Line 3" o:spid="_x0000_s1027" style="position:absolute;visibility:visible;mso-wrap-style:square" from="0,8" to="2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" strokeweight=".26669mm"/>
                <w10:anchorlock/>
              </v:group>
            </w:pict>
          </mc:Fallback>
        </mc:AlternateContent>
      </w:r>
    </w:p>
    <w:p w14:paraId="0C42E3ED" w14:textId="1D2E8965" w:rsidR="00C13215" w:rsidRPr="00C13215" w:rsidRDefault="00C13215" w:rsidP="00C13215">
      <w:pPr>
        <w:jc w:val="right"/>
        <w:rPr>
          <w:rFonts w:ascii="Arial" w:eastAsia="Times New Roman" w:hAnsi="Arial" w:cs="Arial"/>
          <w:bCs/>
          <w:sz w:val="24"/>
          <w:szCs w:val="24"/>
          <w:lang w:val="en-US" w:eastAsia="en-ZA"/>
        </w:rPr>
      </w:pPr>
      <w:r>
        <w:rPr>
          <w:rFonts w:ascii="Arial" w:eastAsia="Times New Roman" w:hAnsi="Arial" w:cs="Arial"/>
          <w:bCs/>
          <w:sz w:val="24"/>
          <w:szCs w:val="24"/>
          <w:lang w:val="en-US" w:eastAsia="en-ZA"/>
        </w:rPr>
        <w:t>S</w:t>
      </w:r>
      <w:r w:rsidRPr="00C13215">
        <w:rPr>
          <w:rFonts w:ascii="Arial" w:eastAsia="Times New Roman" w:hAnsi="Arial" w:cs="Arial"/>
          <w:bCs/>
          <w:sz w:val="24"/>
          <w:szCs w:val="24"/>
          <w:lang w:val="en-US" w:eastAsia="en-ZA"/>
        </w:rPr>
        <w:t xml:space="preserve"> </w:t>
      </w:r>
      <w:r>
        <w:rPr>
          <w:rFonts w:ascii="Arial" w:eastAsia="Times New Roman" w:hAnsi="Arial" w:cs="Arial"/>
          <w:bCs/>
          <w:sz w:val="24"/>
          <w:szCs w:val="24"/>
          <w:lang w:val="en-US" w:eastAsia="en-ZA"/>
        </w:rPr>
        <w:t>POTTERILL</w:t>
      </w:r>
    </w:p>
    <w:p w14:paraId="7BF9393B" w14:textId="46249A82" w:rsidR="00D019FA" w:rsidRPr="002E50CD" w:rsidRDefault="00C13215" w:rsidP="002E50CD">
      <w:pPr>
        <w:jc w:val="right"/>
        <w:rPr>
          <w:rFonts w:ascii="Arial" w:eastAsia="Times New Roman" w:hAnsi="Arial" w:cs="Arial"/>
          <w:sz w:val="24"/>
          <w:szCs w:val="24"/>
          <w:lang w:val="en-US" w:eastAsia="en-ZA"/>
        </w:rPr>
      </w:pPr>
      <w:r>
        <w:rPr>
          <w:rFonts w:ascii="Arial" w:eastAsia="Times New Roman" w:hAnsi="Arial" w:cs="Arial"/>
          <w:sz w:val="24"/>
          <w:szCs w:val="24"/>
          <w:lang w:val="en-US" w:eastAsia="en-ZA"/>
        </w:rPr>
        <w:t xml:space="preserve">ACTING </w:t>
      </w:r>
      <w:r w:rsidRPr="00C13215">
        <w:rPr>
          <w:rFonts w:ascii="Arial" w:eastAsia="Times New Roman" w:hAnsi="Arial" w:cs="Arial"/>
          <w:sz w:val="24"/>
          <w:szCs w:val="24"/>
          <w:lang w:val="en-US" w:eastAsia="en-ZA"/>
        </w:rPr>
        <w:t>JUDGE OF APPEAL</w:t>
      </w:r>
    </w:p>
    <w:p w14:paraId="07F6B18A" w14:textId="77777777" w:rsidR="00B73198" w:rsidRPr="00B73198" w:rsidRDefault="00B73198" w:rsidP="00B73198">
      <w:pPr>
        <w:spacing w:after="0" w:line="360" w:lineRule="auto"/>
        <w:jc w:val="both"/>
        <w:rPr>
          <w:rFonts w:ascii="Arial" w:eastAsia="Times New Roman" w:hAnsi="Arial" w:cs="Arial"/>
          <w:sz w:val="24"/>
          <w:szCs w:val="24"/>
          <w:lang w:val="en-GB" w:eastAsia="en-ZA"/>
        </w:rPr>
      </w:pPr>
      <w:r w:rsidRPr="00B73198">
        <w:rPr>
          <w:rFonts w:ascii="Arial" w:eastAsia="Times New Roman" w:hAnsi="Arial" w:cs="Arial"/>
          <w:sz w:val="24"/>
          <w:szCs w:val="24"/>
          <w:lang w:val="en-GB" w:eastAsia="en-GB"/>
        </w:rPr>
        <w:t>Appearances:</w:t>
      </w:r>
    </w:p>
    <w:p w14:paraId="1E05A4DF" w14:textId="77777777" w:rsidR="00B73198" w:rsidRPr="00B73198" w:rsidRDefault="00B73198" w:rsidP="00B73198">
      <w:pPr>
        <w:spacing w:after="0" w:line="360" w:lineRule="auto"/>
        <w:jc w:val="both"/>
        <w:rPr>
          <w:rFonts w:ascii="Arial" w:eastAsia="Times New Roman" w:hAnsi="Arial" w:cs="Arial"/>
          <w:sz w:val="24"/>
          <w:szCs w:val="24"/>
          <w:lang w:val="en-GB" w:eastAsia="en-GB"/>
        </w:rPr>
      </w:pPr>
    </w:p>
    <w:p w14:paraId="5992D026" w14:textId="1295CD6F" w:rsidR="00B73198" w:rsidRPr="00B73198" w:rsidRDefault="00B73198" w:rsidP="00B73198">
      <w:pPr>
        <w:spacing w:after="0" w:line="360" w:lineRule="auto"/>
        <w:jc w:val="both"/>
        <w:rPr>
          <w:rFonts w:ascii="Arial" w:eastAsia="Times New Roman" w:hAnsi="Arial" w:cs="Arial"/>
          <w:sz w:val="24"/>
          <w:szCs w:val="24"/>
          <w:lang w:eastAsia="en-GB"/>
        </w:rPr>
      </w:pPr>
      <w:r w:rsidRPr="00B73198">
        <w:rPr>
          <w:rFonts w:ascii="Arial" w:eastAsia="Times New Roman" w:hAnsi="Arial" w:cs="Arial"/>
          <w:sz w:val="24"/>
          <w:szCs w:val="24"/>
          <w:lang w:val="en-GB" w:eastAsia="en-GB"/>
        </w:rPr>
        <w:lastRenderedPageBreak/>
        <w:t xml:space="preserve">For </w:t>
      </w:r>
      <w:r>
        <w:rPr>
          <w:rFonts w:ascii="Arial" w:eastAsia="Times New Roman" w:hAnsi="Arial" w:cs="Arial"/>
          <w:sz w:val="24"/>
          <w:szCs w:val="24"/>
          <w:lang w:eastAsia="en-GB"/>
        </w:rPr>
        <w:t xml:space="preserve">the </w:t>
      </w:r>
      <w:r w:rsidRPr="00B73198">
        <w:rPr>
          <w:rFonts w:ascii="Arial" w:eastAsia="Times New Roman" w:hAnsi="Arial" w:cs="Arial"/>
          <w:sz w:val="24"/>
          <w:szCs w:val="24"/>
          <w:lang w:val="en-GB" w:eastAsia="en-GB"/>
        </w:rPr>
        <w:t>appellant:</w:t>
      </w:r>
      <w:r w:rsidRPr="00B73198">
        <w:rPr>
          <w:rFonts w:ascii="Arial" w:eastAsia="Times New Roman" w:hAnsi="Arial" w:cs="Arial"/>
          <w:sz w:val="24"/>
          <w:szCs w:val="24"/>
          <w:lang w:eastAsia="en-GB"/>
        </w:rPr>
        <w:t xml:space="preserve">       </w:t>
      </w:r>
      <w:r w:rsidR="002A2830">
        <w:rPr>
          <w:rFonts w:ascii="Arial" w:eastAsia="Times New Roman" w:hAnsi="Arial" w:cs="Arial"/>
          <w:sz w:val="24"/>
          <w:szCs w:val="24"/>
          <w:lang w:eastAsia="en-GB"/>
        </w:rPr>
        <w:t xml:space="preserve"> </w:t>
      </w:r>
      <w:r>
        <w:rPr>
          <w:rFonts w:ascii="Arial" w:eastAsia="Times New Roman" w:hAnsi="Arial" w:cs="Arial"/>
          <w:sz w:val="24"/>
          <w:szCs w:val="24"/>
          <w:lang w:eastAsia="en-GB"/>
        </w:rPr>
        <w:t>A M Smallburger</w:t>
      </w:r>
      <w:r w:rsidRPr="00B73198">
        <w:rPr>
          <w:rFonts w:ascii="Arial" w:eastAsia="Times New Roman" w:hAnsi="Arial" w:cs="Arial"/>
          <w:sz w:val="24"/>
          <w:szCs w:val="24"/>
          <w:lang w:eastAsia="en-GB"/>
        </w:rPr>
        <w:t xml:space="preserve"> SC</w:t>
      </w:r>
    </w:p>
    <w:p w14:paraId="704827E4" w14:textId="247C0577" w:rsidR="00B73198" w:rsidRPr="00B73198" w:rsidRDefault="00B73198" w:rsidP="00B73198">
      <w:pPr>
        <w:spacing w:after="0" w:line="360" w:lineRule="auto"/>
        <w:jc w:val="both"/>
        <w:rPr>
          <w:rFonts w:ascii="Arial" w:eastAsia="Times New Roman" w:hAnsi="Arial" w:cs="Arial"/>
          <w:sz w:val="24"/>
          <w:szCs w:val="24"/>
          <w:lang w:eastAsia="en-GB"/>
        </w:rPr>
      </w:pPr>
      <w:r w:rsidRPr="00B73198">
        <w:rPr>
          <w:rFonts w:ascii="Arial" w:eastAsia="Times New Roman" w:hAnsi="Arial" w:cs="Arial"/>
          <w:sz w:val="24"/>
          <w:szCs w:val="24"/>
          <w:lang w:eastAsia="en-GB"/>
        </w:rPr>
        <w:t>Instruc</w:t>
      </w:r>
      <w:r w:rsidR="002A2830">
        <w:rPr>
          <w:rFonts w:ascii="Arial" w:eastAsia="Times New Roman" w:hAnsi="Arial" w:cs="Arial"/>
          <w:sz w:val="24"/>
          <w:szCs w:val="24"/>
          <w:lang w:eastAsia="en-GB"/>
        </w:rPr>
        <w:t xml:space="preserve">ted by:              </w:t>
      </w:r>
      <w:r>
        <w:rPr>
          <w:rFonts w:ascii="Arial" w:eastAsia="Times New Roman" w:hAnsi="Arial" w:cs="Arial"/>
          <w:sz w:val="24"/>
          <w:szCs w:val="24"/>
          <w:lang w:eastAsia="en-GB"/>
        </w:rPr>
        <w:t xml:space="preserve">Werkmans, </w:t>
      </w:r>
      <w:r w:rsidR="002A2830">
        <w:rPr>
          <w:rFonts w:ascii="Arial" w:eastAsia="Times New Roman" w:hAnsi="Arial" w:cs="Arial"/>
          <w:sz w:val="24"/>
          <w:szCs w:val="24"/>
          <w:lang w:eastAsia="en-GB"/>
        </w:rPr>
        <w:t>Sandton</w:t>
      </w:r>
      <w:r w:rsidRPr="00B73198">
        <w:rPr>
          <w:rFonts w:ascii="Arial" w:eastAsia="Times New Roman" w:hAnsi="Arial" w:cs="Arial"/>
          <w:sz w:val="24"/>
          <w:szCs w:val="24"/>
          <w:lang w:eastAsia="en-GB"/>
        </w:rPr>
        <w:t>.</w:t>
      </w:r>
    </w:p>
    <w:p w14:paraId="1B2F5582" w14:textId="3F680CB3" w:rsidR="00B73198" w:rsidRPr="00B73198" w:rsidRDefault="00B73198" w:rsidP="00B73198">
      <w:pPr>
        <w:spacing w:after="0" w:line="360" w:lineRule="auto"/>
        <w:jc w:val="both"/>
        <w:rPr>
          <w:rFonts w:ascii="Arial" w:eastAsia="Times New Roman" w:hAnsi="Arial" w:cs="Arial"/>
          <w:sz w:val="24"/>
          <w:szCs w:val="24"/>
          <w:lang w:eastAsia="en-GB"/>
        </w:rPr>
      </w:pPr>
      <w:r w:rsidRPr="00B73198">
        <w:rPr>
          <w:rFonts w:ascii="Arial" w:eastAsia="Times New Roman" w:hAnsi="Arial" w:cs="Arial"/>
          <w:sz w:val="24"/>
          <w:szCs w:val="24"/>
          <w:lang w:eastAsia="en-GB"/>
        </w:rPr>
        <w:t xml:space="preserve">                        </w:t>
      </w:r>
      <w:r w:rsidR="002A2830">
        <w:rPr>
          <w:rFonts w:ascii="Arial" w:eastAsia="Times New Roman" w:hAnsi="Arial" w:cs="Arial"/>
          <w:sz w:val="24"/>
          <w:szCs w:val="24"/>
          <w:lang w:eastAsia="en-GB"/>
        </w:rPr>
        <w:t xml:space="preserve">            Webbers</w:t>
      </w:r>
      <w:r w:rsidRPr="00B73198">
        <w:rPr>
          <w:rFonts w:ascii="Arial" w:eastAsia="Times New Roman" w:hAnsi="Arial" w:cs="Arial"/>
          <w:sz w:val="24"/>
          <w:szCs w:val="24"/>
          <w:lang w:eastAsia="en-GB"/>
        </w:rPr>
        <w:t>, Bloemfontein.</w:t>
      </w:r>
    </w:p>
    <w:p w14:paraId="01F0237D" w14:textId="77777777" w:rsidR="00B73198" w:rsidRPr="00B73198" w:rsidRDefault="00B73198" w:rsidP="00B73198">
      <w:pPr>
        <w:spacing w:after="0" w:line="360" w:lineRule="auto"/>
        <w:jc w:val="both"/>
        <w:rPr>
          <w:rFonts w:ascii="Arial" w:eastAsia="Times New Roman" w:hAnsi="Arial" w:cs="Arial"/>
          <w:sz w:val="24"/>
          <w:szCs w:val="24"/>
          <w:lang w:eastAsia="en-GB"/>
        </w:rPr>
      </w:pPr>
      <w:r w:rsidRPr="00B73198">
        <w:rPr>
          <w:rFonts w:ascii="Arial" w:eastAsia="Times New Roman" w:hAnsi="Arial" w:cs="Arial"/>
          <w:sz w:val="24"/>
          <w:szCs w:val="24"/>
          <w:lang w:eastAsia="en-GB"/>
        </w:rPr>
        <w:t xml:space="preserve">                                           </w:t>
      </w:r>
    </w:p>
    <w:p w14:paraId="2504845E" w14:textId="3044B876" w:rsidR="002A2830" w:rsidRDefault="002A2830" w:rsidP="00B73198">
      <w:pPr>
        <w:spacing w:after="0" w:line="36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The </w:t>
      </w:r>
      <w:r w:rsidR="00A827DE">
        <w:rPr>
          <w:rFonts w:ascii="Arial" w:eastAsia="Times New Roman" w:hAnsi="Arial" w:cs="Arial"/>
          <w:sz w:val="24"/>
          <w:szCs w:val="24"/>
          <w:lang w:val="en-GB" w:eastAsia="en-GB"/>
        </w:rPr>
        <w:t>1</w:t>
      </w:r>
      <w:r w:rsidR="00A827DE" w:rsidRPr="002A2830">
        <w:rPr>
          <w:rFonts w:ascii="Arial" w:eastAsia="Times New Roman" w:hAnsi="Arial" w:cs="Arial"/>
          <w:sz w:val="24"/>
          <w:szCs w:val="24"/>
          <w:vertAlign w:val="superscript"/>
          <w:lang w:val="en-GB" w:eastAsia="en-GB"/>
        </w:rPr>
        <w:t>st</w:t>
      </w:r>
      <w:r w:rsidR="00A827DE">
        <w:rPr>
          <w:rFonts w:ascii="Arial" w:eastAsia="Times New Roman" w:hAnsi="Arial" w:cs="Arial"/>
          <w:sz w:val="24"/>
          <w:szCs w:val="24"/>
          <w:lang w:val="en-GB" w:eastAsia="en-GB"/>
        </w:rPr>
        <w:t>,</w:t>
      </w:r>
      <w:r>
        <w:rPr>
          <w:rFonts w:ascii="Arial" w:eastAsia="Times New Roman" w:hAnsi="Arial" w:cs="Arial"/>
          <w:sz w:val="24"/>
          <w:szCs w:val="24"/>
          <w:lang w:val="en-GB" w:eastAsia="en-GB"/>
        </w:rPr>
        <w:t xml:space="preserve"> 2</w:t>
      </w:r>
      <w:r w:rsidRPr="002A2830">
        <w:rPr>
          <w:rFonts w:ascii="Arial" w:eastAsia="Times New Roman" w:hAnsi="Arial" w:cs="Arial"/>
          <w:sz w:val="24"/>
          <w:szCs w:val="24"/>
          <w:vertAlign w:val="superscript"/>
          <w:lang w:val="en-GB" w:eastAsia="en-GB"/>
        </w:rPr>
        <w:t>nd</w:t>
      </w:r>
      <w:r>
        <w:rPr>
          <w:rFonts w:ascii="Arial" w:eastAsia="Times New Roman" w:hAnsi="Arial" w:cs="Arial"/>
          <w:sz w:val="24"/>
          <w:szCs w:val="24"/>
          <w:lang w:val="en-GB" w:eastAsia="en-GB"/>
        </w:rPr>
        <w:t>, 4</w:t>
      </w:r>
      <w:r w:rsidRPr="002A2830">
        <w:rPr>
          <w:rFonts w:ascii="Arial" w:eastAsia="Times New Roman" w:hAnsi="Arial" w:cs="Arial"/>
          <w:sz w:val="24"/>
          <w:szCs w:val="24"/>
          <w:vertAlign w:val="superscript"/>
          <w:lang w:val="en-GB" w:eastAsia="en-GB"/>
        </w:rPr>
        <w:t>th</w:t>
      </w:r>
      <w:r>
        <w:rPr>
          <w:rFonts w:ascii="Arial" w:eastAsia="Times New Roman" w:hAnsi="Arial" w:cs="Arial"/>
          <w:sz w:val="24"/>
          <w:szCs w:val="24"/>
          <w:lang w:val="en-GB" w:eastAsia="en-GB"/>
        </w:rPr>
        <w:t xml:space="preserve"> – 7</w:t>
      </w:r>
      <w:r w:rsidRPr="002A2830">
        <w:rPr>
          <w:rFonts w:ascii="Arial" w:eastAsia="Times New Roman" w:hAnsi="Arial" w:cs="Arial"/>
          <w:sz w:val="24"/>
          <w:szCs w:val="24"/>
          <w:vertAlign w:val="superscript"/>
          <w:lang w:val="en-GB" w:eastAsia="en-GB"/>
        </w:rPr>
        <w:t>th</w:t>
      </w:r>
      <w:r>
        <w:rPr>
          <w:rFonts w:ascii="Arial" w:eastAsia="Times New Roman" w:hAnsi="Arial" w:cs="Arial"/>
          <w:sz w:val="24"/>
          <w:szCs w:val="24"/>
          <w:lang w:val="en-GB" w:eastAsia="en-GB"/>
        </w:rPr>
        <w:t xml:space="preserve"> and </w:t>
      </w:r>
      <w:r w:rsidR="00A827DE">
        <w:rPr>
          <w:rFonts w:ascii="Arial" w:eastAsia="Times New Roman" w:hAnsi="Arial" w:cs="Arial"/>
          <w:sz w:val="24"/>
          <w:szCs w:val="24"/>
          <w:lang w:val="en-GB" w:eastAsia="en-GB"/>
        </w:rPr>
        <w:t>9</w:t>
      </w:r>
      <w:r w:rsidR="00A827DE" w:rsidRPr="002A2830">
        <w:rPr>
          <w:rFonts w:ascii="Arial" w:eastAsia="Times New Roman" w:hAnsi="Arial" w:cs="Arial"/>
          <w:sz w:val="24"/>
          <w:szCs w:val="24"/>
          <w:vertAlign w:val="superscript"/>
          <w:lang w:val="en-GB" w:eastAsia="en-GB"/>
        </w:rPr>
        <w:t>th</w:t>
      </w:r>
      <w:r w:rsidR="00A827DE">
        <w:rPr>
          <w:rFonts w:ascii="Arial" w:eastAsia="Times New Roman" w:hAnsi="Arial" w:cs="Arial"/>
          <w:sz w:val="24"/>
          <w:szCs w:val="24"/>
          <w:lang w:val="en-GB" w:eastAsia="en-GB"/>
        </w:rPr>
        <w:t xml:space="preserve"> Respondents</w:t>
      </w:r>
      <w:r w:rsidR="00B73198" w:rsidRPr="00B73198">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 xml:space="preserve"> Filed Notice to abide. </w:t>
      </w:r>
    </w:p>
    <w:p w14:paraId="5005F12D" w14:textId="77777777" w:rsidR="002A2830" w:rsidRDefault="002A2830" w:rsidP="00B73198">
      <w:pPr>
        <w:spacing w:after="0" w:line="360" w:lineRule="auto"/>
        <w:jc w:val="both"/>
        <w:rPr>
          <w:rFonts w:ascii="Arial" w:eastAsia="Times New Roman" w:hAnsi="Arial" w:cs="Arial"/>
          <w:sz w:val="24"/>
          <w:szCs w:val="24"/>
          <w:lang w:val="en-GB" w:eastAsia="en-GB"/>
        </w:rPr>
      </w:pPr>
    </w:p>
    <w:p w14:paraId="748E1BEB" w14:textId="674750E8" w:rsidR="00B73198" w:rsidRPr="00B73198" w:rsidRDefault="002A2830" w:rsidP="00B73198">
      <w:pPr>
        <w:spacing w:after="0" w:line="36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The 3</w:t>
      </w:r>
      <w:r w:rsidRPr="002A2830">
        <w:rPr>
          <w:rFonts w:ascii="Arial" w:eastAsia="Times New Roman" w:hAnsi="Arial" w:cs="Arial"/>
          <w:sz w:val="24"/>
          <w:szCs w:val="24"/>
          <w:vertAlign w:val="superscript"/>
          <w:lang w:val="en-GB" w:eastAsia="en-GB"/>
        </w:rPr>
        <w:t>rd</w:t>
      </w:r>
      <w:r>
        <w:rPr>
          <w:rFonts w:ascii="Arial" w:eastAsia="Times New Roman" w:hAnsi="Arial" w:cs="Arial"/>
          <w:sz w:val="24"/>
          <w:szCs w:val="24"/>
          <w:lang w:val="en-GB" w:eastAsia="en-GB"/>
        </w:rPr>
        <w:t xml:space="preserve"> and 8</w:t>
      </w:r>
      <w:r w:rsidRPr="002A2830">
        <w:rPr>
          <w:rFonts w:ascii="Arial" w:eastAsia="Times New Roman" w:hAnsi="Arial" w:cs="Arial"/>
          <w:sz w:val="24"/>
          <w:szCs w:val="24"/>
          <w:vertAlign w:val="superscript"/>
          <w:lang w:val="en-GB" w:eastAsia="en-GB"/>
        </w:rPr>
        <w:t>th</w:t>
      </w:r>
      <w:r>
        <w:rPr>
          <w:rFonts w:ascii="Arial" w:eastAsia="Times New Roman" w:hAnsi="Arial" w:cs="Arial"/>
          <w:sz w:val="24"/>
          <w:szCs w:val="24"/>
          <w:lang w:val="en-GB" w:eastAsia="en-GB"/>
        </w:rPr>
        <w:t xml:space="preserve"> Respon</w:t>
      </w:r>
      <w:r w:rsidR="00A827DE">
        <w:rPr>
          <w:rFonts w:ascii="Arial" w:eastAsia="Times New Roman" w:hAnsi="Arial" w:cs="Arial"/>
          <w:sz w:val="24"/>
          <w:szCs w:val="24"/>
          <w:lang w:val="en-GB" w:eastAsia="en-GB"/>
        </w:rPr>
        <w:t xml:space="preserve">dents:                        </w:t>
      </w:r>
      <w:r>
        <w:rPr>
          <w:rFonts w:ascii="Arial" w:eastAsia="Times New Roman" w:hAnsi="Arial" w:cs="Arial"/>
          <w:sz w:val="24"/>
          <w:szCs w:val="24"/>
          <w:lang w:val="en-GB" w:eastAsia="en-GB"/>
        </w:rPr>
        <w:t xml:space="preserve">Listed as not participating. </w:t>
      </w:r>
      <w:r w:rsidR="00B73198" w:rsidRPr="00B73198">
        <w:rPr>
          <w:rFonts w:ascii="Arial" w:eastAsia="Times New Roman" w:hAnsi="Arial" w:cs="Arial"/>
          <w:sz w:val="24"/>
          <w:szCs w:val="24"/>
          <w:lang w:val="en-GB" w:eastAsia="en-GB"/>
        </w:rPr>
        <w:t xml:space="preserve">   </w:t>
      </w:r>
      <w:r w:rsidR="00B73198" w:rsidRPr="00B73198">
        <w:rPr>
          <w:rFonts w:ascii="Arial" w:eastAsia="Times New Roman" w:hAnsi="Arial" w:cs="Arial"/>
          <w:sz w:val="24"/>
          <w:szCs w:val="24"/>
          <w:lang w:val="en-GB" w:eastAsia="en-GB"/>
        </w:rPr>
        <w:tab/>
      </w:r>
    </w:p>
    <w:p w14:paraId="38A900BE" w14:textId="77777777" w:rsidR="00405B36" w:rsidRPr="00B73198" w:rsidRDefault="00405B36" w:rsidP="00405B36">
      <w:pPr>
        <w:rPr>
          <w:rFonts w:ascii="Arial" w:eastAsia="Times New Roman" w:hAnsi="Arial" w:cs="Arial"/>
          <w:sz w:val="24"/>
          <w:szCs w:val="24"/>
          <w:lang w:eastAsia="en-ZA"/>
        </w:rPr>
      </w:pPr>
    </w:p>
    <w:p w14:paraId="6D1C6CB7" w14:textId="6DF4E476" w:rsidR="00405B36" w:rsidRPr="00405B36" w:rsidRDefault="00405B36" w:rsidP="00405B36">
      <w:pPr>
        <w:rPr>
          <w:rFonts w:ascii="Arial" w:eastAsia="Times New Roman" w:hAnsi="Arial" w:cs="Arial"/>
          <w:sz w:val="24"/>
          <w:szCs w:val="24"/>
          <w:lang w:eastAsia="en-ZA"/>
        </w:rPr>
      </w:pPr>
    </w:p>
    <w:sectPr w:rsidR="00405B36" w:rsidRPr="00405B36" w:rsidSect="00AD459E">
      <w:head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6FEAC" w14:textId="77777777" w:rsidR="00AB70D4" w:rsidRDefault="00AB70D4" w:rsidP="00D26987">
      <w:pPr>
        <w:spacing w:after="0" w:line="240" w:lineRule="auto"/>
      </w:pPr>
      <w:r>
        <w:separator/>
      </w:r>
    </w:p>
  </w:endnote>
  <w:endnote w:type="continuationSeparator" w:id="0">
    <w:p w14:paraId="4E9FD72E" w14:textId="77777777" w:rsidR="00AB70D4" w:rsidRDefault="00AB70D4" w:rsidP="00D2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800F4" w14:textId="77777777" w:rsidR="00AB70D4" w:rsidRDefault="00AB70D4" w:rsidP="00D26987">
      <w:pPr>
        <w:spacing w:after="0" w:line="240" w:lineRule="auto"/>
      </w:pPr>
      <w:r>
        <w:separator/>
      </w:r>
    </w:p>
  </w:footnote>
  <w:footnote w:type="continuationSeparator" w:id="0">
    <w:p w14:paraId="2FE2884E" w14:textId="77777777" w:rsidR="00AB70D4" w:rsidRDefault="00AB70D4" w:rsidP="00D26987">
      <w:pPr>
        <w:spacing w:after="0" w:line="240" w:lineRule="auto"/>
      </w:pPr>
      <w:r>
        <w:continuationSeparator/>
      </w:r>
    </w:p>
  </w:footnote>
  <w:footnote w:id="1">
    <w:p w14:paraId="29577F8C" w14:textId="50383D1F" w:rsidR="00113BD9" w:rsidRPr="00113BD9" w:rsidRDefault="00113BD9" w:rsidP="000D047D">
      <w:pPr>
        <w:pStyle w:val="FootnoteText"/>
        <w:jc w:val="both"/>
        <w:rPr>
          <w:lang w:val="en-US"/>
        </w:rPr>
      </w:pPr>
      <w:r>
        <w:rPr>
          <w:rStyle w:val="FootnoteReference"/>
        </w:rPr>
        <w:footnoteRef/>
      </w:r>
      <w:r>
        <w:t xml:space="preserve"> </w:t>
      </w:r>
      <w:r w:rsidR="000D6B68" w:rsidRPr="000D047D">
        <w:rPr>
          <w:i/>
        </w:rPr>
        <w:t>Padi and Another v Botha N</w:t>
      </w:r>
      <w:r w:rsidR="00C41185">
        <w:rPr>
          <w:i/>
        </w:rPr>
        <w:t xml:space="preserve"> </w:t>
      </w:r>
      <w:r w:rsidR="000D6B68" w:rsidRPr="000D047D">
        <w:rPr>
          <w:i/>
        </w:rPr>
        <w:t>O and Others</w:t>
      </w:r>
      <w:r w:rsidR="000D6B68" w:rsidRPr="000D6B68">
        <w:t xml:space="preserve"> 1996 (3) SA 732 (W)</w:t>
      </w:r>
      <w:r w:rsidR="00B724B3">
        <w:t xml:space="preserve">; </w:t>
      </w:r>
      <w:r w:rsidR="00B724B3" w:rsidRPr="00B724B3">
        <w:t>[1995] 3 All SA 457 (W)</w:t>
      </w:r>
      <w:r w:rsidR="00B724B3">
        <w:t xml:space="preserve"> </w:t>
      </w:r>
      <w:r w:rsidR="000D6B68">
        <w:rPr>
          <w:lang w:val="en-US"/>
        </w:rPr>
        <w:t>a</w:t>
      </w:r>
      <w:r>
        <w:rPr>
          <w:lang w:val="en-US"/>
        </w:rPr>
        <w:t>t 740F-G.</w:t>
      </w:r>
    </w:p>
  </w:footnote>
  <w:footnote w:id="2">
    <w:p w14:paraId="0D3A5DD2" w14:textId="78597F13" w:rsidR="002F790C" w:rsidRPr="00BA4E9F" w:rsidRDefault="002F790C" w:rsidP="000D047D">
      <w:pPr>
        <w:pStyle w:val="FootnoteText"/>
        <w:jc w:val="both"/>
        <w:rPr>
          <w:lang w:val="en-US"/>
        </w:rPr>
      </w:pPr>
      <w:r w:rsidRPr="00BA4E9F">
        <w:rPr>
          <w:rStyle w:val="FootnoteReference"/>
        </w:rPr>
        <w:footnoteRef/>
      </w:r>
      <w:r w:rsidRPr="00BA4E9F">
        <w:t xml:space="preserve"> </w:t>
      </w:r>
      <w:r w:rsidR="002575A9">
        <w:t xml:space="preserve">In </w:t>
      </w:r>
      <w:r w:rsidR="0048285B" w:rsidRPr="0048285B">
        <w:rPr>
          <w:i/>
        </w:rPr>
        <w:t>Padi and Another v Botha N</w:t>
      </w:r>
      <w:r w:rsidR="00C41185">
        <w:rPr>
          <w:i/>
        </w:rPr>
        <w:t xml:space="preserve"> </w:t>
      </w:r>
      <w:r w:rsidR="0048285B" w:rsidRPr="0048285B">
        <w:rPr>
          <w:i/>
        </w:rPr>
        <w:t>O and Others</w:t>
      </w:r>
      <w:r w:rsidR="0048285B" w:rsidRPr="0048285B">
        <w:t xml:space="preserve"> 1996 (3) SA 732 (W); [1995] 3 All SA 457 (W)</w:t>
      </w:r>
      <w:r w:rsidR="004E4CA9" w:rsidRPr="00BA4E9F">
        <w:rPr>
          <w:lang w:val="en-US"/>
        </w:rPr>
        <w:t xml:space="preserve"> at 743</w:t>
      </w:r>
      <w:r w:rsidR="00214E14" w:rsidRPr="00BA4E9F">
        <w:rPr>
          <w:lang w:val="en-US"/>
        </w:rPr>
        <w:t>A-</w:t>
      </w:r>
      <w:r w:rsidR="00375339" w:rsidRPr="00BA4E9F">
        <w:rPr>
          <w:lang w:val="en-US"/>
        </w:rPr>
        <w:t>J</w:t>
      </w:r>
      <w:r w:rsidR="002575A9">
        <w:rPr>
          <w:lang w:val="en-US"/>
        </w:rPr>
        <w:t xml:space="preserve"> it was</w:t>
      </w:r>
      <w:r w:rsidRPr="00BA4E9F">
        <w:rPr>
          <w:lang w:val="en-US"/>
        </w:rPr>
        <w:t xml:space="preserve"> </w:t>
      </w:r>
      <w:r w:rsidR="00456115" w:rsidRPr="00BA4E9F">
        <w:rPr>
          <w:lang w:val="en-US"/>
        </w:rPr>
        <w:t xml:space="preserve">held that the predecessor of s 22 was not applicable in relation to </w:t>
      </w:r>
      <w:r w:rsidR="004E4CA9" w:rsidRPr="00BA4E9F">
        <w:rPr>
          <w:lang w:val="en-US"/>
        </w:rPr>
        <w:t>inquests and that a review of an inquest finding w</w:t>
      </w:r>
      <w:r w:rsidR="00214E14" w:rsidRPr="00BA4E9F">
        <w:rPr>
          <w:lang w:val="en-US"/>
        </w:rPr>
        <w:t>as one at common law</w:t>
      </w:r>
      <w:r w:rsidR="00456115" w:rsidRPr="00BA4E9F">
        <w:rPr>
          <w:lang w:val="en-US"/>
        </w:rPr>
        <w:t>. For present purposes, we need not dwell on that aspect.</w:t>
      </w:r>
    </w:p>
  </w:footnote>
  <w:footnote w:id="3">
    <w:p w14:paraId="0AEBF7A9" w14:textId="7EE81499" w:rsidR="00DA7A10" w:rsidRPr="00BA4E9F" w:rsidRDefault="00DA7A10" w:rsidP="000D047D">
      <w:pPr>
        <w:pStyle w:val="FootnoteText"/>
        <w:jc w:val="both"/>
      </w:pPr>
      <w:r w:rsidRPr="00BA4E9F">
        <w:rPr>
          <w:rStyle w:val="FootnoteReference"/>
        </w:rPr>
        <w:footnoteRef/>
      </w:r>
      <w:r w:rsidRPr="00BA4E9F">
        <w:t xml:space="preserve"> </w:t>
      </w:r>
      <w:r w:rsidRPr="00BA4E9F">
        <w:rPr>
          <w:i/>
          <w:iCs/>
        </w:rPr>
        <w:t>Pepcor Retirement Fund and Another v Financial Services Board and Another</w:t>
      </w:r>
      <w:r w:rsidRPr="00BA4E9F">
        <w:t xml:space="preserve"> </w:t>
      </w:r>
      <w:r w:rsidR="00B7650B" w:rsidRPr="00B7650B">
        <w:t>2003 (6) SA 38 (SCA)</w:t>
      </w:r>
      <w:r w:rsidR="00B7650B">
        <w:t xml:space="preserve">; </w:t>
      </w:r>
      <w:r w:rsidRPr="00BA4E9F">
        <w:t xml:space="preserve">[2003] 3 All SA 21 (SCA); </w:t>
      </w:r>
      <w:r w:rsidRPr="00BA4E9F">
        <w:rPr>
          <w:i/>
          <w:iCs/>
        </w:rPr>
        <w:t>Telcordia Technologies Inc v Telkom SA Ltd</w:t>
      </w:r>
      <w:r w:rsidRPr="00BA4E9F">
        <w:t xml:space="preserve"> 2007 (3) SA 266 (SCA); [2007] 2 All SA 243 (SCA); 2007 (5) BCLR 503 (SCA).</w:t>
      </w:r>
    </w:p>
  </w:footnote>
  <w:footnote w:id="4">
    <w:p w14:paraId="012FB3A4" w14:textId="5E20DAD4" w:rsidR="00590CED" w:rsidRPr="0045233B" w:rsidRDefault="00590CED" w:rsidP="000D047D">
      <w:pPr>
        <w:pStyle w:val="FootnoteText"/>
        <w:jc w:val="both"/>
        <w:rPr>
          <w:i/>
          <w:iCs/>
          <w:lang w:val="en-US"/>
        </w:rPr>
      </w:pPr>
      <w:r w:rsidRPr="00BA4E9F">
        <w:rPr>
          <w:rStyle w:val="FootnoteReference"/>
        </w:rPr>
        <w:footnoteRef/>
      </w:r>
      <w:r w:rsidRPr="00BA4E9F">
        <w:t xml:space="preserve"> </w:t>
      </w:r>
      <w:r w:rsidRPr="00BA4E9F">
        <w:rPr>
          <w:lang w:val="en-US"/>
        </w:rPr>
        <w:t xml:space="preserve">See also </w:t>
      </w:r>
      <w:r w:rsidR="00C8722C" w:rsidRPr="00C8722C">
        <w:rPr>
          <w:i/>
          <w:iCs/>
        </w:rPr>
        <w:t>Hira and Another v Booysen</w:t>
      </w:r>
      <w:r w:rsidR="00C8722C" w:rsidRPr="00C8722C">
        <w:t xml:space="preserve"> 1992 (4) SA 69</w:t>
      </w:r>
      <w:r w:rsidR="00C8722C">
        <w:t xml:space="preserve"> </w:t>
      </w:r>
      <w:r w:rsidR="00C8722C" w:rsidRPr="00C8722C">
        <w:t>(A)</w:t>
      </w:r>
      <w:r w:rsidR="00C8722C">
        <w:t>;</w:t>
      </w:r>
      <w:r w:rsidR="00C8722C" w:rsidRPr="00C8722C">
        <w:t xml:space="preserve"> [1992] 2 All SA 344 (A)</w:t>
      </w:r>
      <w:r w:rsidRPr="00BA4E9F">
        <w:rPr>
          <w:lang w:val="en-US"/>
        </w:rPr>
        <w:t xml:space="preserve"> at 83</w:t>
      </w:r>
      <w:r w:rsidR="00E242F0" w:rsidRPr="00BA4E9F">
        <w:rPr>
          <w:lang w:val="en-US"/>
        </w:rPr>
        <w:t xml:space="preserve"> and </w:t>
      </w:r>
      <w:r w:rsidR="00123803" w:rsidRPr="00BA4E9F">
        <w:rPr>
          <w:lang w:val="en-US"/>
        </w:rPr>
        <w:t>9</w:t>
      </w:r>
      <w:r w:rsidR="00C360A1" w:rsidRPr="00BA4E9F">
        <w:rPr>
          <w:lang w:val="en-US"/>
        </w:rPr>
        <w:t>3A-94A for a summary of the law in relation to common law review.</w:t>
      </w:r>
      <w:r w:rsidR="00296404" w:rsidRPr="00BA4E9F">
        <w:rPr>
          <w:lang w:val="en-US"/>
        </w:rPr>
        <w:t xml:space="preserve"> In </w:t>
      </w:r>
      <w:r w:rsidR="00FB07E0" w:rsidRPr="00BA4E9F">
        <w:rPr>
          <w:i/>
          <w:iCs/>
          <w:lang w:val="en-US"/>
        </w:rPr>
        <w:t>Johannesburg</w:t>
      </w:r>
      <w:r w:rsidR="00907620" w:rsidRPr="00BA4E9F">
        <w:rPr>
          <w:i/>
          <w:iCs/>
          <w:lang w:val="en-US"/>
        </w:rPr>
        <w:t xml:space="preserve"> Consolidated</w:t>
      </w:r>
      <w:r w:rsidR="00FB07E0" w:rsidRPr="00BA4E9F">
        <w:rPr>
          <w:i/>
          <w:iCs/>
          <w:lang w:val="en-US"/>
        </w:rPr>
        <w:t xml:space="preserve"> Investment</w:t>
      </w:r>
      <w:r w:rsidR="00907620" w:rsidRPr="00BA4E9F">
        <w:rPr>
          <w:i/>
          <w:iCs/>
          <w:lang w:val="en-US"/>
        </w:rPr>
        <w:t xml:space="preserve"> </w:t>
      </w:r>
      <w:r w:rsidR="00C00874" w:rsidRPr="00BA4E9F">
        <w:rPr>
          <w:i/>
          <w:iCs/>
          <w:lang w:val="en-US"/>
        </w:rPr>
        <w:t xml:space="preserve">Co v Johannesburg </w:t>
      </w:r>
      <w:r w:rsidR="00491098" w:rsidRPr="00BA4E9F">
        <w:rPr>
          <w:i/>
          <w:iCs/>
          <w:lang w:val="en-US"/>
        </w:rPr>
        <w:t>Town Council</w:t>
      </w:r>
      <w:r w:rsidR="00491098" w:rsidRPr="00BA4E9F">
        <w:rPr>
          <w:lang w:val="en-US"/>
        </w:rPr>
        <w:t xml:space="preserve"> 1903 TS </w:t>
      </w:r>
      <w:r w:rsidR="002B4F91" w:rsidRPr="00BA4E9F">
        <w:rPr>
          <w:lang w:val="en-US"/>
        </w:rPr>
        <w:t>11</w:t>
      </w:r>
      <w:r w:rsidR="00766923">
        <w:rPr>
          <w:lang w:val="en-US"/>
        </w:rPr>
        <w:t>1</w:t>
      </w:r>
      <w:r w:rsidR="00812D86" w:rsidRPr="00BA4E9F">
        <w:rPr>
          <w:lang w:val="en-US"/>
        </w:rPr>
        <w:t xml:space="preserve"> at 115-116</w:t>
      </w:r>
      <w:r w:rsidR="002B4F91" w:rsidRPr="00BA4E9F">
        <w:rPr>
          <w:lang w:val="en-US"/>
        </w:rPr>
        <w:t xml:space="preserve"> it was observed that common law</w:t>
      </w:r>
      <w:r w:rsidR="0085717C" w:rsidRPr="00BA4E9F">
        <w:rPr>
          <w:lang w:val="en-US"/>
        </w:rPr>
        <w:t xml:space="preserve"> grounds</w:t>
      </w:r>
      <w:r w:rsidR="002B4F91" w:rsidRPr="00BA4E9F">
        <w:rPr>
          <w:lang w:val="en-US"/>
        </w:rPr>
        <w:t xml:space="preserve"> of review w</w:t>
      </w:r>
      <w:r w:rsidR="00C44398" w:rsidRPr="00BA4E9F">
        <w:rPr>
          <w:lang w:val="en-US"/>
        </w:rPr>
        <w:t>ere</w:t>
      </w:r>
      <w:r w:rsidR="002B4F91" w:rsidRPr="00BA4E9F">
        <w:rPr>
          <w:lang w:val="en-US"/>
        </w:rPr>
        <w:t xml:space="preserve"> wider </w:t>
      </w:r>
      <w:r w:rsidR="0085717C" w:rsidRPr="00BA4E9F">
        <w:rPr>
          <w:lang w:val="en-US"/>
        </w:rPr>
        <w:t>than those</w:t>
      </w:r>
      <w:r w:rsidR="00C44398" w:rsidRPr="00BA4E9F">
        <w:rPr>
          <w:lang w:val="en-US"/>
        </w:rPr>
        <w:t xml:space="preserve"> upon</w:t>
      </w:r>
      <w:r w:rsidR="0085717C" w:rsidRPr="00BA4E9F">
        <w:rPr>
          <w:lang w:val="en-US"/>
        </w:rPr>
        <w:t xml:space="preserve"> which </w:t>
      </w:r>
      <w:r w:rsidR="000F4438" w:rsidRPr="00BA4E9F">
        <w:rPr>
          <w:lang w:val="en-US"/>
        </w:rPr>
        <w:t>review of judicial proceeding</w:t>
      </w:r>
      <w:r w:rsidR="00812D86" w:rsidRPr="00BA4E9F">
        <w:rPr>
          <w:lang w:val="en-US"/>
        </w:rPr>
        <w:t>s</w:t>
      </w:r>
      <w:r w:rsidR="000F4438" w:rsidRPr="00BA4E9F">
        <w:rPr>
          <w:lang w:val="en-US"/>
        </w:rPr>
        <w:t xml:space="preserve"> may be claimed in terms of the </w:t>
      </w:r>
      <w:r w:rsidR="00812D86" w:rsidRPr="00BA4E9F">
        <w:rPr>
          <w:lang w:val="en-US"/>
        </w:rPr>
        <w:t>legislation such as s 22 of the Superior</w:t>
      </w:r>
      <w:r w:rsidR="00295F8D">
        <w:rPr>
          <w:lang w:val="en-US"/>
        </w:rPr>
        <w:t> </w:t>
      </w:r>
      <w:r w:rsidR="00812D86" w:rsidRPr="00BA4E9F">
        <w:rPr>
          <w:lang w:val="en-US"/>
        </w:rPr>
        <w:t>Courts Act</w:t>
      </w:r>
      <w:r w:rsidR="00AF0430" w:rsidRPr="00BA4E9F">
        <w:rPr>
          <w:lang w:val="en-US"/>
        </w:rPr>
        <w:t xml:space="preserve"> 10 of 2013</w:t>
      </w:r>
      <w:r w:rsidR="00812D86" w:rsidRPr="00BA4E9F">
        <w:rPr>
          <w:lang w:val="en-US"/>
        </w:rPr>
        <w:t>.</w:t>
      </w:r>
      <w:r w:rsidR="00C44398" w:rsidRPr="00BA4E9F">
        <w:rPr>
          <w:lang w:val="en-US"/>
        </w:rPr>
        <w:t xml:space="preserve"> See also </w:t>
      </w:r>
      <w:r w:rsidR="00C44398" w:rsidRPr="00BA4E9F">
        <w:rPr>
          <w:i/>
          <w:iCs/>
          <w:lang w:val="en-US"/>
        </w:rPr>
        <w:t>Hira</w:t>
      </w:r>
      <w:r w:rsidR="00C44398" w:rsidRPr="00BA4E9F">
        <w:rPr>
          <w:lang w:val="en-US"/>
        </w:rPr>
        <w:t xml:space="preserve"> at </w:t>
      </w:r>
      <w:r w:rsidR="0086333D" w:rsidRPr="00BA4E9F">
        <w:rPr>
          <w:lang w:val="en-US"/>
        </w:rPr>
        <w:t>85J-86A</w:t>
      </w:r>
      <w:r w:rsidR="001950C1">
        <w:rPr>
          <w:lang w:val="en-US"/>
        </w:rPr>
        <w:t>.</w:t>
      </w:r>
      <w:r w:rsidR="00FB07E0">
        <w:rPr>
          <w:lang w:val="en-US"/>
        </w:rPr>
        <w:t xml:space="preserve"> </w:t>
      </w:r>
    </w:p>
  </w:footnote>
  <w:footnote w:id="5">
    <w:p w14:paraId="7E51F52B" w14:textId="7E3002D8" w:rsidR="00525B53" w:rsidRPr="0090343D" w:rsidRDefault="00525B53" w:rsidP="000D047D">
      <w:pPr>
        <w:pStyle w:val="FootnoteText"/>
        <w:jc w:val="both"/>
        <w:rPr>
          <w:lang w:val="en-US"/>
        </w:rPr>
      </w:pPr>
      <w:r w:rsidRPr="0045233B">
        <w:rPr>
          <w:rStyle w:val="FootnoteReference"/>
          <w:i/>
          <w:iCs/>
        </w:rPr>
        <w:footnoteRef/>
      </w:r>
      <w:r w:rsidRPr="0045233B">
        <w:rPr>
          <w:i/>
          <w:iCs/>
        </w:rPr>
        <w:t xml:space="preserve"> </w:t>
      </w:r>
      <w:r w:rsidRPr="000D047D">
        <w:rPr>
          <w:iCs/>
          <w:lang w:val="en-US"/>
        </w:rPr>
        <w:t>See</w:t>
      </w:r>
      <w:r w:rsidRPr="0045233B">
        <w:rPr>
          <w:i/>
          <w:iCs/>
          <w:lang w:val="en-US"/>
        </w:rPr>
        <w:t xml:space="preserve"> Hira</w:t>
      </w:r>
      <w:r>
        <w:rPr>
          <w:lang w:val="en-US"/>
        </w:rPr>
        <w:t xml:space="preserve"> </w:t>
      </w:r>
      <w:r w:rsidRPr="0045233B">
        <w:rPr>
          <w:i/>
          <w:iCs/>
          <w:lang w:val="en-US"/>
        </w:rPr>
        <w:t xml:space="preserve">at </w:t>
      </w:r>
      <w:r w:rsidRPr="000D047D">
        <w:rPr>
          <w:iCs/>
          <w:lang w:val="en-US"/>
        </w:rPr>
        <w:t>93G-I</w:t>
      </w:r>
      <w:r w:rsidRPr="0045233B">
        <w:rPr>
          <w:i/>
          <w:iCs/>
          <w:lang w:val="en-US"/>
        </w:rPr>
        <w:t xml:space="preserve"> </w:t>
      </w:r>
      <w:r w:rsidRPr="000D047D">
        <w:rPr>
          <w:iCs/>
          <w:lang w:val="en-US"/>
        </w:rPr>
        <w:t>and</w:t>
      </w:r>
      <w:r w:rsidRPr="0045233B">
        <w:rPr>
          <w:i/>
          <w:iCs/>
          <w:lang w:val="en-US"/>
        </w:rPr>
        <w:t xml:space="preserve"> Genesis Medical Aid Scheme v Registrar, Medical Schemes and Another </w:t>
      </w:r>
      <w:r w:rsidR="00CE7BDD" w:rsidRPr="000D047D">
        <w:rPr>
          <w:iCs/>
          <w:lang w:val="en-US"/>
        </w:rPr>
        <w:t>[2017] ZACC 16; 2017 (9) BCLR 1164 (CC);</w:t>
      </w:r>
      <w:r w:rsidR="00CE7BDD" w:rsidRPr="00B37B6D">
        <w:rPr>
          <w:i/>
          <w:iCs/>
          <w:lang w:val="en-US"/>
        </w:rPr>
        <w:t xml:space="preserve"> </w:t>
      </w:r>
      <w:r w:rsidRPr="000D047D">
        <w:rPr>
          <w:iCs/>
          <w:lang w:val="en-US"/>
        </w:rPr>
        <w:t xml:space="preserve">2017 (6) SA 1 </w:t>
      </w:r>
      <w:r w:rsidR="00B37B6D">
        <w:rPr>
          <w:iCs/>
          <w:lang w:val="en-US"/>
        </w:rPr>
        <w:t>(</w:t>
      </w:r>
      <w:r w:rsidRPr="000D047D">
        <w:rPr>
          <w:iCs/>
          <w:lang w:val="en-US"/>
        </w:rPr>
        <w:t>CC</w:t>
      </w:r>
      <w:r w:rsidR="00B37B6D">
        <w:rPr>
          <w:iCs/>
          <w:lang w:val="en-US"/>
        </w:rPr>
        <w:t>)</w:t>
      </w:r>
      <w:r w:rsidRPr="000D047D">
        <w:rPr>
          <w:iCs/>
          <w:lang w:val="en-US"/>
        </w:rPr>
        <w:t xml:space="preserve"> p</w:t>
      </w:r>
      <w:r w:rsidRPr="00DE7A84">
        <w:rPr>
          <w:lang w:val="en-US"/>
        </w:rPr>
        <w:t>aras 98-101</w:t>
      </w:r>
      <w:r>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972910"/>
      <w:docPartObj>
        <w:docPartGallery w:val="Page Numbers (Top of Page)"/>
        <w:docPartUnique/>
      </w:docPartObj>
    </w:sdtPr>
    <w:sdtEndPr>
      <w:rPr>
        <w:noProof/>
      </w:rPr>
    </w:sdtEndPr>
    <w:sdtContent>
      <w:p w14:paraId="0FCA7A62" w14:textId="328D7070" w:rsidR="00AD459E" w:rsidRDefault="00AD459E">
        <w:pPr>
          <w:pStyle w:val="Header"/>
          <w:jc w:val="right"/>
        </w:pPr>
        <w:r>
          <w:fldChar w:fldCharType="begin"/>
        </w:r>
        <w:r>
          <w:instrText xml:space="preserve"> PAGE   \* MERGEFORMAT </w:instrText>
        </w:r>
        <w:r>
          <w:fldChar w:fldCharType="separate"/>
        </w:r>
        <w:r w:rsidR="00792560">
          <w:rPr>
            <w:noProof/>
          </w:rPr>
          <w:t>15</w:t>
        </w:r>
        <w:r>
          <w:rPr>
            <w:noProof/>
          </w:rPr>
          <w:fldChar w:fldCharType="end"/>
        </w:r>
      </w:p>
    </w:sdtContent>
  </w:sdt>
  <w:p w14:paraId="772E2E97" w14:textId="77777777" w:rsidR="00F63FFA" w:rsidRDefault="00F63F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A7759"/>
    <w:multiLevelType w:val="hybridMultilevel"/>
    <w:tmpl w:val="D18EC660"/>
    <w:lvl w:ilvl="0" w:tplc="8E607430">
      <w:start w:val="4"/>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96B597F"/>
    <w:multiLevelType w:val="hybridMultilevel"/>
    <w:tmpl w:val="C62885A8"/>
    <w:lvl w:ilvl="0" w:tplc="51DCBE8E">
      <w:start w:val="8"/>
      <w:numFmt w:val="decimal"/>
      <w:lvlText w:val="%1"/>
      <w:lvlJc w:val="left"/>
      <w:pPr>
        <w:ind w:left="720" w:hanging="360"/>
      </w:pPr>
      <w:rPr>
        <w:rFonts w:asciiTheme="minorHAnsi" w:hAnsiTheme="minorHAnsi" w:cstheme="minorBidi"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B0A7E9D"/>
    <w:multiLevelType w:val="hybridMultilevel"/>
    <w:tmpl w:val="6D6AE144"/>
    <w:lvl w:ilvl="0" w:tplc="B94C2FD6">
      <w:start w:val="10"/>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2A417D4"/>
    <w:multiLevelType w:val="hybridMultilevel"/>
    <w:tmpl w:val="C9A8C4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D1769DC"/>
    <w:multiLevelType w:val="hybridMultilevel"/>
    <w:tmpl w:val="1B7EFE8C"/>
    <w:lvl w:ilvl="0" w:tplc="6D28140A">
      <w:start w:val="8"/>
      <w:numFmt w:val="decimal"/>
      <w:lvlText w:val="%1"/>
      <w:lvlJc w:val="left"/>
      <w:pPr>
        <w:ind w:left="720" w:hanging="360"/>
      </w:pPr>
      <w:rPr>
        <w:rFonts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4F"/>
    <w:rsid w:val="00000126"/>
    <w:rsid w:val="00004497"/>
    <w:rsid w:val="000067D1"/>
    <w:rsid w:val="000100E5"/>
    <w:rsid w:val="00015F2B"/>
    <w:rsid w:val="000168D7"/>
    <w:rsid w:val="00021211"/>
    <w:rsid w:val="00022640"/>
    <w:rsid w:val="0002416B"/>
    <w:rsid w:val="000258C7"/>
    <w:rsid w:val="0002619E"/>
    <w:rsid w:val="00032E32"/>
    <w:rsid w:val="00033173"/>
    <w:rsid w:val="00034976"/>
    <w:rsid w:val="000349D2"/>
    <w:rsid w:val="00035A63"/>
    <w:rsid w:val="00037639"/>
    <w:rsid w:val="00043CC4"/>
    <w:rsid w:val="00043DC8"/>
    <w:rsid w:val="00046457"/>
    <w:rsid w:val="00052A85"/>
    <w:rsid w:val="00054132"/>
    <w:rsid w:val="000569E7"/>
    <w:rsid w:val="00065117"/>
    <w:rsid w:val="0006756A"/>
    <w:rsid w:val="00067768"/>
    <w:rsid w:val="00070065"/>
    <w:rsid w:val="00072293"/>
    <w:rsid w:val="00081C21"/>
    <w:rsid w:val="0008406D"/>
    <w:rsid w:val="000876F1"/>
    <w:rsid w:val="00093D8D"/>
    <w:rsid w:val="00097532"/>
    <w:rsid w:val="000A5D78"/>
    <w:rsid w:val="000B2091"/>
    <w:rsid w:val="000B751F"/>
    <w:rsid w:val="000C19B5"/>
    <w:rsid w:val="000C219B"/>
    <w:rsid w:val="000C3A59"/>
    <w:rsid w:val="000C3FFA"/>
    <w:rsid w:val="000C4755"/>
    <w:rsid w:val="000D047D"/>
    <w:rsid w:val="000D3684"/>
    <w:rsid w:val="000D46D8"/>
    <w:rsid w:val="000D6509"/>
    <w:rsid w:val="000D6B68"/>
    <w:rsid w:val="000D7BFB"/>
    <w:rsid w:val="000E09BF"/>
    <w:rsid w:val="000E1748"/>
    <w:rsid w:val="000E6E7F"/>
    <w:rsid w:val="000F1BD4"/>
    <w:rsid w:val="000F207D"/>
    <w:rsid w:val="000F3028"/>
    <w:rsid w:val="000F4438"/>
    <w:rsid w:val="000F65B1"/>
    <w:rsid w:val="00101CAA"/>
    <w:rsid w:val="001033EF"/>
    <w:rsid w:val="001039FF"/>
    <w:rsid w:val="00104A1B"/>
    <w:rsid w:val="00112C6B"/>
    <w:rsid w:val="00113BD9"/>
    <w:rsid w:val="00114CA1"/>
    <w:rsid w:val="00114DB8"/>
    <w:rsid w:val="0012180E"/>
    <w:rsid w:val="00121873"/>
    <w:rsid w:val="00121F6C"/>
    <w:rsid w:val="00122243"/>
    <w:rsid w:val="00123803"/>
    <w:rsid w:val="00123B51"/>
    <w:rsid w:val="00123C45"/>
    <w:rsid w:val="001254C9"/>
    <w:rsid w:val="001305CB"/>
    <w:rsid w:val="00132868"/>
    <w:rsid w:val="00134C7B"/>
    <w:rsid w:val="00134C95"/>
    <w:rsid w:val="00136253"/>
    <w:rsid w:val="00141133"/>
    <w:rsid w:val="001448AB"/>
    <w:rsid w:val="00146694"/>
    <w:rsid w:val="001470F2"/>
    <w:rsid w:val="001541ED"/>
    <w:rsid w:val="001548FF"/>
    <w:rsid w:val="001615B0"/>
    <w:rsid w:val="00162730"/>
    <w:rsid w:val="00162B20"/>
    <w:rsid w:val="00166E80"/>
    <w:rsid w:val="00173CA8"/>
    <w:rsid w:val="001744DA"/>
    <w:rsid w:val="0017664F"/>
    <w:rsid w:val="001821EF"/>
    <w:rsid w:val="0018589E"/>
    <w:rsid w:val="00187646"/>
    <w:rsid w:val="00192D07"/>
    <w:rsid w:val="00192E86"/>
    <w:rsid w:val="00194857"/>
    <w:rsid w:val="001950C1"/>
    <w:rsid w:val="001A5DB7"/>
    <w:rsid w:val="001A7DA9"/>
    <w:rsid w:val="001B5F97"/>
    <w:rsid w:val="001B7260"/>
    <w:rsid w:val="001C4169"/>
    <w:rsid w:val="001C57A1"/>
    <w:rsid w:val="001C64E8"/>
    <w:rsid w:val="001C693A"/>
    <w:rsid w:val="001D0587"/>
    <w:rsid w:val="001D31B5"/>
    <w:rsid w:val="001E07F1"/>
    <w:rsid w:val="001E4FF4"/>
    <w:rsid w:val="001E5590"/>
    <w:rsid w:val="001F0D27"/>
    <w:rsid w:val="001F2EC0"/>
    <w:rsid w:val="001F4EBC"/>
    <w:rsid w:val="001F5E22"/>
    <w:rsid w:val="00200AE3"/>
    <w:rsid w:val="00205787"/>
    <w:rsid w:val="00205F39"/>
    <w:rsid w:val="002077EE"/>
    <w:rsid w:val="00207D82"/>
    <w:rsid w:val="00210774"/>
    <w:rsid w:val="00212718"/>
    <w:rsid w:val="00214E14"/>
    <w:rsid w:val="00216507"/>
    <w:rsid w:val="00220B73"/>
    <w:rsid w:val="00221B70"/>
    <w:rsid w:val="00235CBE"/>
    <w:rsid w:val="00236796"/>
    <w:rsid w:val="0023757B"/>
    <w:rsid w:val="002400F0"/>
    <w:rsid w:val="002414B7"/>
    <w:rsid w:val="00241D5D"/>
    <w:rsid w:val="002427D0"/>
    <w:rsid w:val="00247BCF"/>
    <w:rsid w:val="002575A9"/>
    <w:rsid w:val="00260A4E"/>
    <w:rsid w:val="00260F7D"/>
    <w:rsid w:val="00262C91"/>
    <w:rsid w:val="00263881"/>
    <w:rsid w:val="002758DF"/>
    <w:rsid w:val="00281940"/>
    <w:rsid w:val="00281A90"/>
    <w:rsid w:val="0028357D"/>
    <w:rsid w:val="002847C9"/>
    <w:rsid w:val="00284D2E"/>
    <w:rsid w:val="00290AD8"/>
    <w:rsid w:val="00294215"/>
    <w:rsid w:val="00294971"/>
    <w:rsid w:val="00295F8D"/>
    <w:rsid w:val="00296404"/>
    <w:rsid w:val="00297CDF"/>
    <w:rsid w:val="002A14DD"/>
    <w:rsid w:val="002A2695"/>
    <w:rsid w:val="002A2830"/>
    <w:rsid w:val="002A6744"/>
    <w:rsid w:val="002A696F"/>
    <w:rsid w:val="002B016E"/>
    <w:rsid w:val="002B135F"/>
    <w:rsid w:val="002B4446"/>
    <w:rsid w:val="002B4F91"/>
    <w:rsid w:val="002C1C14"/>
    <w:rsid w:val="002C1F71"/>
    <w:rsid w:val="002C2667"/>
    <w:rsid w:val="002C2DD9"/>
    <w:rsid w:val="002D005D"/>
    <w:rsid w:val="002D14A9"/>
    <w:rsid w:val="002D392B"/>
    <w:rsid w:val="002D569C"/>
    <w:rsid w:val="002E0325"/>
    <w:rsid w:val="002E16D3"/>
    <w:rsid w:val="002E33CC"/>
    <w:rsid w:val="002E50CD"/>
    <w:rsid w:val="002E6BD4"/>
    <w:rsid w:val="002F0D25"/>
    <w:rsid w:val="002F790C"/>
    <w:rsid w:val="0030271F"/>
    <w:rsid w:val="00302CE3"/>
    <w:rsid w:val="00303797"/>
    <w:rsid w:val="00306A21"/>
    <w:rsid w:val="0030755B"/>
    <w:rsid w:val="003077E2"/>
    <w:rsid w:val="00311748"/>
    <w:rsid w:val="00314CEA"/>
    <w:rsid w:val="003152BB"/>
    <w:rsid w:val="003229CD"/>
    <w:rsid w:val="003243A0"/>
    <w:rsid w:val="003256E3"/>
    <w:rsid w:val="00327186"/>
    <w:rsid w:val="00327A50"/>
    <w:rsid w:val="00327F84"/>
    <w:rsid w:val="00336EE2"/>
    <w:rsid w:val="003418CF"/>
    <w:rsid w:val="00342A0F"/>
    <w:rsid w:val="00355054"/>
    <w:rsid w:val="00357008"/>
    <w:rsid w:val="00361571"/>
    <w:rsid w:val="00363923"/>
    <w:rsid w:val="003664D8"/>
    <w:rsid w:val="00373171"/>
    <w:rsid w:val="003749C6"/>
    <w:rsid w:val="00374BB5"/>
    <w:rsid w:val="00375339"/>
    <w:rsid w:val="003755F0"/>
    <w:rsid w:val="00376B3D"/>
    <w:rsid w:val="003772FD"/>
    <w:rsid w:val="0038369F"/>
    <w:rsid w:val="00383EDC"/>
    <w:rsid w:val="003848F3"/>
    <w:rsid w:val="003852AE"/>
    <w:rsid w:val="00390C83"/>
    <w:rsid w:val="0039241C"/>
    <w:rsid w:val="0039268E"/>
    <w:rsid w:val="003944BB"/>
    <w:rsid w:val="003967AE"/>
    <w:rsid w:val="00396CA2"/>
    <w:rsid w:val="003974BE"/>
    <w:rsid w:val="003A1392"/>
    <w:rsid w:val="003A392C"/>
    <w:rsid w:val="003A3B48"/>
    <w:rsid w:val="003A51B2"/>
    <w:rsid w:val="003A653A"/>
    <w:rsid w:val="003A6540"/>
    <w:rsid w:val="003A66B1"/>
    <w:rsid w:val="003A6E56"/>
    <w:rsid w:val="003B0ED0"/>
    <w:rsid w:val="003B2ADB"/>
    <w:rsid w:val="003C1116"/>
    <w:rsid w:val="003C2FB9"/>
    <w:rsid w:val="003C5058"/>
    <w:rsid w:val="003C6472"/>
    <w:rsid w:val="003D10A8"/>
    <w:rsid w:val="003D35A1"/>
    <w:rsid w:val="003D474C"/>
    <w:rsid w:val="003D48E7"/>
    <w:rsid w:val="003D574A"/>
    <w:rsid w:val="003E314C"/>
    <w:rsid w:val="003E4CAC"/>
    <w:rsid w:val="003E67EC"/>
    <w:rsid w:val="003F1353"/>
    <w:rsid w:val="003F31F0"/>
    <w:rsid w:val="003F3242"/>
    <w:rsid w:val="003F3CF5"/>
    <w:rsid w:val="003F702F"/>
    <w:rsid w:val="004022E4"/>
    <w:rsid w:val="00403B2F"/>
    <w:rsid w:val="00405783"/>
    <w:rsid w:val="00405B36"/>
    <w:rsid w:val="00405FF7"/>
    <w:rsid w:val="00406726"/>
    <w:rsid w:val="004108E0"/>
    <w:rsid w:val="004109ED"/>
    <w:rsid w:val="00411AD2"/>
    <w:rsid w:val="00412C55"/>
    <w:rsid w:val="00413BEC"/>
    <w:rsid w:val="00415A8D"/>
    <w:rsid w:val="00421A7D"/>
    <w:rsid w:val="004239FE"/>
    <w:rsid w:val="004269FE"/>
    <w:rsid w:val="00427841"/>
    <w:rsid w:val="00431414"/>
    <w:rsid w:val="004332D5"/>
    <w:rsid w:val="00436BBB"/>
    <w:rsid w:val="0044031D"/>
    <w:rsid w:val="00440F9C"/>
    <w:rsid w:val="00443A72"/>
    <w:rsid w:val="004467F7"/>
    <w:rsid w:val="00446EE7"/>
    <w:rsid w:val="004470E2"/>
    <w:rsid w:val="0045233B"/>
    <w:rsid w:val="00455ED5"/>
    <w:rsid w:val="00456115"/>
    <w:rsid w:val="004567C1"/>
    <w:rsid w:val="00457317"/>
    <w:rsid w:val="0046013D"/>
    <w:rsid w:val="00463DF1"/>
    <w:rsid w:val="0046586A"/>
    <w:rsid w:val="004738F1"/>
    <w:rsid w:val="00475309"/>
    <w:rsid w:val="0048027F"/>
    <w:rsid w:val="0048285B"/>
    <w:rsid w:val="00482CC5"/>
    <w:rsid w:val="0048636C"/>
    <w:rsid w:val="00487C86"/>
    <w:rsid w:val="00490833"/>
    <w:rsid w:val="00491098"/>
    <w:rsid w:val="00495DE8"/>
    <w:rsid w:val="004A29CB"/>
    <w:rsid w:val="004B0074"/>
    <w:rsid w:val="004B2DBC"/>
    <w:rsid w:val="004B36C3"/>
    <w:rsid w:val="004B4978"/>
    <w:rsid w:val="004C0AF2"/>
    <w:rsid w:val="004C0AFB"/>
    <w:rsid w:val="004C3298"/>
    <w:rsid w:val="004C6336"/>
    <w:rsid w:val="004C6D8F"/>
    <w:rsid w:val="004E16E5"/>
    <w:rsid w:val="004E4CA9"/>
    <w:rsid w:val="004E5A8B"/>
    <w:rsid w:val="004E690F"/>
    <w:rsid w:val="004E7A16"/>
    <w:rsid w:val="004F2657"/>
    <w:rsid w:val="004F6135"/>
    <w:rsid w:val="00501373"/>
    <w:rsid w:val="0050308B"/>
    <w:rsid w:val="00504C2D"/>
    <w:rsid w:val="0050539C"/>
    <w:rsid w:val="005106D9"/>
    <w:rsid w:val="0051168D"/>
    <w:rsid w:val="00511F68"/>
    <w:rsid w:val="00512D7D"/>
    <w:rsid w:val="005136E9"/>
    <w:rsid w:val="005228BC"/>
    <w:rsid w:val="00525B53"/>
    <w:rsid w:val="005265F6"/>
    <w:rsid w:val="00532FB8"/>
    <w:rsid w:val="005358C5"/>
    <w:rsid w:val="0053768D"/>
    <w:rsid w:val="00540CA0"/>
    <w:rsid w:val="00554BF5"/>
    <w:rsid w:val="0056546B"/>
    <w:rsid w:val="00566A82"/>
    <w:rsid w:val="00567B81"/>
    <w:rsid w:val="005744E2"/>
    <w:rsid w:val="0057798A"/>
    <w:rsid w:val="00584ABA"/>
    <w:rsid w:val="00587215"/>
    <w:rsid w:val="00590CED"/>
    <w:rsid w:val="00593492"/>
    <w:rsid w:val="00596449"/>
    <w:rsid w:val="005A387E"/>
    <w:rsid w:val="005A5030"/>
    <w:rsid w:val="005A7FC0"/>
    <w:rsid w:val="005B328A"/>
    <w:rsid w:val="005C26A9"/>
    <w:rsid w:val="005C6B36"/>
    <w:rsid w:val="005D20DC"/>
    <w:rsid w:val="005D48A0"/>
    <w:rsid w:val="005D6835"/>
    <w:rsid w:val="005E0C81"/>
    <w:rsid w:val="005E2C18"/>
    <w:rsid w:val="005E6B2F"/>
    <w:rsid w:val="005E7F10"/>
    <w:rsid w:val="005F17C2"/>
    <w:rsid w:val="00605C32"/>
    <w:rsid w:val="0060679B"/>
    <w:rsid w:val="00613D24"/>
    <w:rsid w:val="00614840"/>
    <w:rsid w:val="00614AFD"/>
    <w:rsid w:val="006152AE"/>
    <w:rsid w:val="00616D4A"/>
    <w:rsid w:val="00617EC3"/>
    <w:rsid w:val="0062159A"/>
    <w:rsid w:val="00622499"/>
    <w:rsid w:val="00623227"/>
    <w:rsid w:val="0062714B"/>
    <w:rsid w:val="0062733D"/>
    <w:rsid w:val="00632E77"/>
    <w:rsid w:val="00636751"/>
    <w:rsid w:val="006422F3"/>
    <w:rsid w:val="00645FB8"/>
    <w:rsid w:val="006471C2"/>
    <w:rsid w:val="0065093D"/>
    <w:rsid w:val="00652E58"/>
    <w:rsid w:val="006600F6"/>
    <w:rsid w:val="00665ADB"/>
    <w:rsid w:val="006669EE"/>
    <w:rsid w:val="00671ADE"/>
    <w:rsid w:val="00672813"/>
    <w:rsid w:val="0067729B"/>
    <w:rsid w:val="00681996"/>
    <w:rsid w:val="00683F47"/>
    <w:rsid w:val="00686760"/>
    <w:rsid w:val="00690BBD"/>
    <w:rsid w:val="00691CD9"/>
    <w:rsid w:val="006944E6"/>
    <w:rsid w:val="00694F86"/>
    <w:rsid w:val="006966CB"/>
    <w:rsid w:val="00696832"/>
    <w:rsid w:val="006A1D2F"/>
    <w:rsid w:val="006B2656"/>
    <w:rsid w:val="006B2C75"/>
    <w:rsid w:val="006B5A85"/>
    <w:rsid w:val="006B6095"/>
    <w:rsid w:val="006B72BC"/>
    <w:rsid w:val="006C215C"/>
    <w:rsid w:val="006C27F5"/>
    <w:rsid w:val="006C3968"/>
    <w:rsid w:val="006C42DA"/>
    <w:rsid w:val="006C55CF"/>
    <w:rsid w:val="006C57F0"/>
    <w:rsid w:val="006D17F1"/>
    <w:rsid w:val="006D234B"/>
    <w:rsid w:val="006D31E6"/>
    <w:rsid w:val="006D48FB"/>
    <w:rsid w:val="006D7887"/>
    <w:rsid w:val="006E00A0"/>
    <w:rsid w:val="006E0867"/>
    <w:rsid w:val="006E1770"/>
    <w:rsid w:val="006E355D"/>
    <w:rsid w:val="006E5926"/>
    <w:rsid w:val="006E6CD4"/>
    <w:rsid w:val="006F2AF7"/>
    <w:rsid w:val="006F3F6D"/>
    <w:rsid w:val="006F404B"/>
    <w:rsid w:val="007032A7"/>
    <w:rsid w:val="007070B7"/>
    <w:rsid w:val="00711092"/>
    <w:rsid w:val="00723262"/>
    <w:rsid w:val="007233DB"/>
    <w:rsid w:val="00724937"/>
    <w:rsid w:val="00730AF0"/>
    <w:rsid w:val="00731CB9"/>
    <w:rsid w:val="00731FBD"/>
    <w:rsid w:val="00734897"/>
    <w:rsid w:val="00741BFF"/>
    <w:rsid w:val="00743388"/>
    <w:rsid w:val="007437C5"/>
    <w:rsid w:val="00746711"/>
    <w:rsid w:val="00746AF9"/>
    <w:rsid w:val="00746FD9"/>
    <w:rsid w:val="007471CF"/>
    <w:rsid w:val="0075129E"/>
    <w:rsid w:val="007534D9"/>
    <w:rsid w:val="00755178"/>
    <w:rsid w:val="00755C26"/>
    <w:rsid w:val="00761103"/>
    <w:rsid w:val="0076266C"/>
    <w:rsid w:val="00762E67"/>
    <w:rsid w:val="00766923"/>
    <w:rsid w:val="0077165E"/>
    <w:rsid w:val="00775625"/>
    <w:rsid w:val="007767DF"/>
    <w:rsid w:val="0078113E"/>
    <w:rsid w:val="00783653"/>
    <w:rsid w:val="00784DCE"/>
    <w:rsid w:val="00786C01"/>
    <w:rsid w:val="00792560"/>
    <w:rsid w:val="00792F45"/>
    <w:rsid w:val="007978C2"/>
    <w:rsid w:val="007A05B7"/>
    <w:rsid w:val="007A17C3"/>
    <w:rsid w:val="007A2917"/>
    <w:rsid w:val="007A45E7"/>
    <w:rsid w:val="007A5D5C"/>
    <w:rsid w:val="007B00B9"/>
    <w:rsid w:val="007B18B3"/>
    <w:rsid w:val="007B25EF"/>
    <w:rsid w:val="007B2839"/>
    <w:rsid w:val="007B4F5D"/>
    <w:rsid w:val="007B62E4"/>
    <w:rsid w:val="007B717E"/>
    <w:rsid w:val="007C52F3"/>
    <w:rsid w:val="007C6D81"/>
    <w:rsid w:val="007D0283"/>
    <w:rsid w:val="007D47F9"/>
    <w:rsid w:val="007D6ADE"/>
    <w:rsid w:val="007E1CBC"/>
    <w:rsid w:val="007E1ED2"/>
    <w:rsid w:val="007E63F8"/>
    <w:rsid w:val="007E6871"/>
    <w:rsid w:val="007F098D"/>
    <w:rsid w:val="0080477F"/>
    <w:rsid w:val="008052B0"/>
    <w:rsid w:val="0080759F"/>
    <w:rsid w:val="00812D86"/>
    <w:rsid w:val="008146FD"/>
    <w:rsid w:val="00816880"/>
    <w:rsid w:val="008205B2"/>
    <w:rsid w:val="00820693"/>
    <w:rsid w:val="00820762"/>
    <w:rsid w:val="008208B1"/>
    <w:rsid w:val="0083322D"/>
    <w:rsid w:val="00833F53"/>
    <w:rsid w:val="00836B95"/>
    <w:rsid w:val="0084033F"/>
    <w:rsid w:val="008425E2"/>
    <w:rsid w:val="00847D48"/>
    <w:rsid w:val="00850F22"/>
    <w:rsid w:val="008513D9"/>
    <w:rsid w:val="008516EF"/>
    <w:rsid w:val="00851933"/>
    <w:rsid w:val="008521DD"/>
    <w:rsid w:val="00855A87"/>
    <w:rsid w:val="00856901"/>
    <w:rsid w:val="00856E91"/>
    <w:rsid w:val="0085717C"/>
    <w:rsid w:val="008604E9"/>
    <w:rsid w:val="008620E4"/>
    <w:rsid w:val="0086333D"/>
    <w:rsid w:val="00871C21"/>
    <w:rsid w:val="00875C4E"/>
    <w:rsid w:val="00877BB6"/>
    <w:rsid w:val="0088213C"/>
    <w:rsid w:val="0088363A"/>
    <w:rsid w:val="00884506"/>
    <w:rsid w:val="008857C6"/>
    <w:rsid w:val="00886F1A"/>
    <w:rsid w:val="00891740"/>
    <w:rsid w:val="00891BA5"/>
    <w:rsid w:val="008958DF"/>
    <w:rsid w:val="008963AD"/>
    <w:rsid w:val="00896519"/>
    <w:rsid w:val="008A10AF"/>
    <w:rsid w:val="008A11F3"/>
    <w:rsid w:val="008A6A2C"/>
    <w:rsid w:val="008A7C91"/>
    <w:rsid w:val="008B1D71"/>
    <w:rsid w:val="008B24AD"/>
    <w:rsid w:val="008B3A6D"/>
    <w:rsid w:val="008B7645"/>
    <w:rsid w:val="008D15FE"/>
    <w:rsid w:val="008D3891"/>
    <w:rsid w:val="008D38A3"/>
    <w:rsid w:val="008E5E14"/>
    <w:rsid w:val="008F095D"/>
    <w:rsid w:val="008F78FC"/>
    <w:rsid w:val="009018B6"/>
    <w:rsid w:val="0090311C"/>
    <w:rsid w:val="0090343D"/>
    <w:rsid w:val="00907620"/>
    <w:rsid w:val="009127E8"/>
    <w:rsid w:val="00912E81"/>
    <w:rsid w:val="00913A3C"/>
    <w:rsid w:val="00917E48"/>
    <w:rsid w:val="00920CF9"/>
    <w:rsid w:val="00921B3C"/>
    <w:rsid w:val="00922813"/>
    <w:rsid w:val="00922A64"/>
    <w:rsid w:val="00922F73"/>
    <w:rsid w:val="009238A8"/>
    <w:rsid w:val="0092687B"/>
    <w:rsid w:val="009334DB"/>
    <w:rsid w:val="009447C7"/>
    <w:rsid w:val="009450D9"/>
    <w:rsid w:val="009459A8"/>
    <w:rsid w:val="00950567"/>
    <w:rsid w:val="0095391E"/>
    <w:rsid w:val="009564C8"/>
    <w:rsid w:val="00956521"/>
    <w:rsid w:val="00957838"/>
    <w:rsid w:val="00960273"/>
    <w:rsid w:val="00964043"/>
    <w:rsid w:val="009654B3"/>
    <w:rsid w:val="00971053"/>
    <w:rsid w:val="00971240"/>
    <w:rsid w:val="00972D93"/>
    <w:rsid w:val="00974ABF"/>
    <w:rsid w:val="009750A8"/>
    <w:rsid w:val="00990D05"/>
    <w:rsid w:val="009A0041"/>
    <w:rsid w:val="009A18CA"/>
    <w:rsid w:val="009A4F29"/>
    <w:rsid w:val="009B2F89"/>
    <w:rsid w:val="009B7828"/>
    <w:rsid w:val="009C2E82"/>
    <w:rsid w:val="009C40E0"/>
    <w:rsid w:val="009C4F3B"/>
    <w:rsid w:val="009C50E9"/>
    <w:rsid w:val="009C5329"/>
    <w:rsid w:val="009C5680"/>
    <w:rsid w:val="009C7DB6"/>
    <w:rsid w:val="009D277F"/>
    <w:rsid w:val="009D4A8B"/>
    <w:rsid w:val="009D686A"/>
    <w:rsid w:val="009D7B96"/>
    <w:rsid w:val="009E1451"/>
    <w:rsid w:val="009E68D4"/>
    <w:rsid w:val="009F1D3A"/>
    <w:rsid w:val="009F77F3"/>
    <w:rsid w:val="00A00114"/>
    <w:rsid w:val="00A0296D"/>
    <w:rsid w:val="00A03972"/>
    <w:rsid w:val="00A03DBA"/>
    <w:rsid w:val="00A07A7A"/>
    <w:rsid w:val="00A10F87"/>
    <w:rsid w:val="00A14908"/>
    <w:rsid w:val="00A204DF"/>
    <w:rsid w:val="00A20EA6"/>
    <w:rsid w:val="00A21BEC"/>
    <w:rsid w:val="00A228C4"/>
    <w:rsid w:val="00A2355B"/>
    <w:rsid w:val="00A24999"/>
    <w:rsid w:val="00A26083"/>
    <w:rsid w:val="00A261CE"/>
    <w:rsid w:val="00A30406"/>
    <w:rsid w:val="00A3085C"/>
    <w:rsid w:val="00A31B4A"/>
    <w:rsid w:val="00A33765"/>
    <w:rsid w:val="00A3376A"/>
    <w:rsid w:val="00A33F83"/>
    <w:rsid w:val="00A340AC"/>
    <w:rsid w:val="00A34E7A"/>
    <w:rsid w:val="00A35D00"/>
    <w:rsid w:val="00A36692"/>
    <w:rsid w:val="00A41A93"/>
    <w:rsid w:val="00A5156C"/>
    <w:rsid w:val="00A532B3"/>
    <w:rsid w:val="00A53732"/>
    <w:rsid w:val="00A53F43"/>
    <w:rsid w:val="00A555D4"/>
    <w:rsid w:val="00A576F1"/>
    <w:rsid w:val="00A65F18"/>
    <w:rsid w:val="00A66B25"/>
    <w:rsid w:val="00A71ABD"/>
    <w:rsid w:val="00A72E88"/>
    <w:rsid w:val="00A74CF3"/>
    <w:rsid w:val="00A804CB"/>
    <w:rsid w:val="00A827DE"/>
    <w:rsid w:val="00A83038"/>
    <w:rsid w:val="00A8337A"/>
    <w:rsid w:val="00A83718"/>
    <w:rsid w:val="00A84708"/>
    <w:rsid w:val="00A85C09"/>
    <w:rsid w:val="00A85DEB"/>
    <w:rsid w:val="00A8771C"/>
    <w:rsid w:val="00A911A1"/>
    <w:rsid w:val="00A92B2E"/>
    <w:rsid w:val="00A960A8"/>
    <w:rsid w:val="00AA1D89"/>
    <w:rsid w:val="00AA29F9"/>
    <w:rsid w:val="00AA4D78"/>
    <w:rsid w:val="00AB111E"/>
    <w:rsid w:val="00AB1324"/>
    <w:rsid w:val="00AB36D4"/>
    <w:rsid w:val="00AB70D4"/>
    <w:rsid w:val="00AC0ECE"/>
    <w:rsid w:val="00AC1B18"/>
    <w:rsid w:val="00AC390B"/>
    <w:rsid w:val="00AC7D26"/>
    <w:rsid w:val="00AD04C1"/>
    <w:rsid w:val="00AD1768"/>
    <w:rsid w:val="00AD459E"/>
    <w:rsid w:val="00AD4723"/>
    <w:rsid w:val="00AD7CB3"/>
    <w:rsid w:val="00AE0C32"/>
    <w:rsid w:val="00AE1C35"/>
    <w:rsid w:val="00AE4E18"/>
    <w:rsid w:val="00AF0430"/>
    <w:rsid w:val="00AF6E45"/>
    <w:rsid w:val="00B00809"/>
    <w:rsid w:val="00B014A8"/>
    <w:rsid w:val="00B016C2"/>
    <w:rsid w:val="00B01D7A"/>
    <w:rsid w:val="00B06427"/>
    <w:rsid w:val="00B07F9B"/>
    <w:rsid w:val="00B1251D"/>
    <w:rsid w:val="00B140D2"/>
    <w:rsid w:val="00B17325"/>
    <w:rsid w:val="00B205E9"/>
    <w:rsid w:val="00B2792F"/>
    <w:rsid w:val="00B31881"/>
    <w:rsid w:val="00B321B5"/>
    <w:rsid w:val="00B33A07"/>
    <w:rsid w:val="00B37B6D"/>
    <w:rsid w:val="00B40879"/>
    <w:rsid w:val="00B423A5"/>
    <w:rsid w:val="00B43250"/>
    <w:rsid w:val="00B45CA4"/>
    <w:rsid w:val="00B507C6"/>
    <w:rsid w:val="00B653F7"/>
    <w:rsid w:val="00B669A4"/>
    <w:rsid w:val="00B724B3"/>
    <w:rsid w:val="00B725D1"/>
    <w:rsid w:val="00B7293A"/>
    <w:rsid w:val="00B73198"/>
    <w:rsid w:val="00B7378D"/>
    <w:rsid w:val="00B7650B"/>
    <w:rsid w:val="00B80BC4"/>
    <w:rsid w:val="00B81A85"/>
    <w:rsid w:val="00B825A5"/>
    <w:rsid w:val="00B83C7D"/>
    <w:rsid w:val="00B85144"/>
    <w:rsid w:val="00B90DE0"/>
    <w:rsid w:val="00B91869"/>
    <w:rsid w:val="00B9421A"/>
    <w:rsid w:val="00B97DB7"/>
    <w:rsid w:val="00BA09C3"/>
    <w:rsid w:val="00BA0F6E"/>
    <w:rsid w:val="00BA4E9F"/>
    <w:rsid w:val="00BA5A70"/>
    <w:rsid w:val="00BB0386"/>
    <w:rsid w:val="00BB384B"/>
    <w:rsid w:val="00BB3A4A"/>
    <w:rsid w:val="00BB422A"/>
    <w:rsid w:val="00BC0E80"/>
    <w:rsid w:val="00BC21A3"/>
    <w:rsid w:val="00BC306C"/>
    <w:rsid w:val="00BC312A"/>
    <w:rsid w:val="00BC3476"/>
    <w:rsid w:val="00BC669D"/>
    <w:rsid w:val="00BD1075"/>
    <w:rsid w:val="00BD2517"/>
    <w:rsid w:val="00BE0F03"/>
    <w:rsid w:val="00BE2E9A"/>
    <w:rsid w:val="00BE3273"/>
    <w:rsid w:val="00BE7F6C"/>
    <w:rsid w:val="00BF1518"/>
    <w:rsid w:val="00BF2E6A"/>
    <w:rsid w:val="00C00874"/>
    <w:rsid w:val="00C02CEC"/>
    <w:rsid w:val="00C051C1"/>
    <w:rsid w:val="00C0780F"/>
    <w:rsid w:val="00C13215"/>
    <w:rsid w:val="00C13FCA"/>
    <w:rsid w:val="00C15A75"/>
    <w:rsid w:val="00C169B3"/>
    <w:rsid w:val="00C17649"/>
    <w:rsid w:val="00C20444"/>
    <w:rsid w:val="00C23ADD"/>
    <w:rsid w:val="00C24E73"/>
    <w:rsid w:val="00C303D7"/>
    <w:rsid w:val="00C31F3F"/>
    <w:rsid w:val="00C32C61"/>
    <w:rsid w:val="00C34995"/>
    <w:rsid w:val="00C360A1"/>
    <w:rsid w:val="00C365EA"/>
    <w:rsid w:val="00C41185"/>
    <w:rsid w:val="00C41AFA"/>
    <w:rsid w:val="00C44398"/>
    <w:rsid w:val="00C4568F"/>
    <w:rsid w:val="00C518D9"/>
    <w:rsid w:val="00C51DB6"/>
    <w:rsid w:val="00C5380E"/>
    <w:rsid w:val="00C57EE9"/>
    <w:rsid w:val="00C601D2"/>
    <w:rsid w:val="00C6181C"/>
    <w:rsid w:val="00C62254"/>
    <w:rsid w:val="00C62C43"/>
    <w:rsid w:val="00C63A0C"/>
    <w:rsid w:val="00C63D0C"/>
    <w:rsid w:val="00C64D1C"/>
    <w:rsid w:val="00C66551"/>
    <w:rsid w:val="00C6662A"/>
    <w:rsid w:val="00C71376"/>
    <w:rsid w:val="00C73C1C"/>
    <w:rsid w:val="00C74CE6"/>
    <w:rsid w:val="00C7694E"/>
    <w:rsid w:val="00C7784C"/>
    <w:rsid w:val="00C8722C"/>
    <w:rsid w:val="00C878E5"/>
    <w:rsid w:val="00C91938"/>
    <w:rsid w:val="00C94627"/>
    <w:rsid w:val="00CA2C53"/>
    <w:rsid w:val="00CA5CD0"/>
    <w:rsid w:val="00CA7D2A"/>
    <w:rsid w:val="00CB3FBC"/>
    <w:rsid w:val="00CC4ACD"/>
    <w:rsid w:val="00CC5A8E"/>
    <w:rsid w:val="00CD0CE4"/>
    <w:rsid w:val="00CD768B"/>
    <w:rsid w:val="00CE2EAC"/>
    <w:rsid w:val="00CE45DE"/>
    <w:rsid w:val="00CE48B0"/>
    <w:rsid w:val="00CE4D55"/>
    <w:rsid w:val="00CE5033"/>
    <w:rsid w:val="00CE7BDD"/>
    <w:rsid w:val="00CF130D"/>
    <w:rsid w:val="00CF4593"/>
    <w:rsid w:val="00CF5B74"/>
    <w:rsid w:val="00CF6D73"/>
    <w:rsid w:val="00CF701F"/>
    <w:rsid w:val="00CF76B4"/>
    <w:rsid w:val="00D019FA"/>
    <w:rsid w:val="00D03A43"/>
    <w:rsid w:val="00D0410B"/>
    <w:rsid w:val="00D0464F"/>
    <w:rsid w:val="00D14C29"/>
    <w:rsid w:val="00D223A3"/>
    <w:rsid w:val="00D236E6"/>
    <w:rsid w:val="00D23D1C"/>
    <w:rsid w:val="00D25DB3"/>
    <w:rsid w:val="00D2657E"/>
    <w:rsid w:val="00D26987"/>
    <w:rsid w:val="00D27D8A"/>
    <w:rsid w:val="00D304E2"/>
    <w:rsid w:val="00D30ADF"/>
    <w:rsid w:val="00D35A6F"/>
    <w:rsid w:val="00D36195"/>
    <w:rsid w:val="00D403C0"/>
    <w:rsid w:val="00D42CD7"/>
    <w:rsid w:val="00D43283"/>
    <w:rsid w:val="00D43459"/>
    <w:rsid w:val="00D4531C"/>
    <w:rsid w:val="00D52134"/>
    <w:rsid w:val="00D5241C"/>
    <w:rsid w:val="00D5472B"/>
    <w:rsid w:val="00D54EB6"/>
    <w:rsid w:val="00D5634A"/>
    <w:rsid w:val="00D65F31"/>
    <w:rsid w:val="00D67FE3"/>
    <w:rsid w:val="00D71FCB"/>
    <w:rsid w:val="00D72040"/>
    <w:rsid w:val="00D72A03"/>
    <w:rsid w:val="00D73176"/>
    <w:rsid w:val="00D74947"/>
    <w:rsid w:val="00D75479"/>
    <w:rsid w:val="00D7681A"/>
    <w:rsid w:val="00D771A8"/>
    <w:rsid w:val="00D81354"/>
    <w:rsid w:val="00D83719"/>
    <w:rsid w:val="00D85A32"/>
    <w:rsid w:val="00D86AFF"/>
    <w:rsid w:val="00D87A13"/>
    <w:rsid w:val="00D90961"/>
    <w:rsid w:val="00D93B08"/>
    <w:rsid w:val="00D93CF7"/>
    <w:rsid w:val="00D93CFF"/>
    <w:rsid w:val="00D9431E"/>
    <w:rsid w:val="00D96EFE"/>
    <w:rsid w:val="00D974C5"/>
    <w:rsid w:val="00D9788E"/>
    <w:rsid w:val="00DA36BB"/>
    <w:rsid w:val="00DA3B22"/>
    <w:rsid w:val="00DA5DD5"/>
    <w:rsid w:val="00DA7A10"/>
    <w:rsid w:val="00DB093D"/>
    <w:rsid w:val="00DB1824"/>
    <w:rsid w:val="00DB1CD7"/>
    <w:rsid w:val="00DB31D6"/>
    <w:rsid w:val="00DB3DFA"/>
    <w:rsid w:val="00DB7BFB"/>
    <w:rsid w:val="00DC4989"/>
    <w:rsid w:val="00DC69A9"/>
    <w:rsid w:val="00DD436F"/>
    <w:rsid w:val="00DD5364"/>
    <w:rsid w:val="00DE03E6"/>
    <w:rsid w:val="00DE285C"/>
    <w:rsid w:val="00DE3570"/>
    <w:rsid w:val="00DE7A84"/>
    <w:rsid w:val="00DF09BF"/>
    <w:rsid w:val="00DF2F94"/>
    <w:rsid w:val="00DF5E02"/>
    <w:rsid w:val="00DF6F67"/>
    <w:rsid w:val="00DF7BB0"/>
    <w:rsid w:val="00E012DF"/>
    <w:rsid w:val="00E0288E"/>
    <w:rsid w:val="00E032F2"/>
    <w:rsid w:val="00E07322"/>
    <w:rsid w:val="00E07864"/>
    <w:rsid w:val="00E11730"/>
    <w:rsid w:val="00E13F9C"/>
    <w:rsid w:val="00E1785B"/>
    <w:rsid w:val="00E20006"/>
    <w:rsid w:val="00E21EAF"/>
    <w:rsid w:val="00E22625"/>
    <w:rsid w:val="00E242F0"/>
    <w:rsid w:val="00E245AD"/>
    <w:rsid w:val="00E248C0"/>
    <w:rsid w:val="00E266B8"/>
    <w:rsid w:val="00E26AEB"/>
    <w:rsid w:val="00E27BB2"/>
    <w:rsid w:val="00E31B7C"/>
    <w:rsid w:val="00E32E42"/>
    <w:rsid w:val="00E36A9F"/>
    <w:rsid w:val="00E37257"/>
    <w:rsid w:val="00E40791"/>
    <w:rsid w:val="00E41C5E"/>
    <w:rsid w:val="00E42FBC"/>
    <w:rsid w:val="00E45262"/>
    <w:rsid w:val="00E542A0"/>
    <w:rsid w:val="00E5499A"/>
    <w:rsid w:val="00E57CA2"/>
    <w:rsid w:val="00E60451"/>
    <w:rsid w:val="00E60F2A"/>
    <w:rsid w:val="00E62135"/>
    <w:rsid w:val="00E63A22"/>
    <w:rsid w:val="00E64F93"/>
    <w:rsid w:val="00E72790"/>
    <w:rsid w:val="00E76109"/>
    <w:rsid w:val="00E8204F"/>
    <w:rsid w:val="00E85E43"/>
    <w:rsid w:val="00E862B1"/>
    <w:rsid w:val="00E8664F"/>
    <w:rsid w:val="00E874DD"/>
    <w:rsid w:val="00E93A3A"/>
    <w:rsid w:val="00EA158E"/>
    <w:rsid w:val="00EA362C"/>
    <w:rsid w:val="00EA4516"/>
    <w:rsid w:val="00EC3616"/>
    <w:rsid w:val="00EC5308"/>
    <w:rsid w:val="00EC6CFE"/>
    <w:rsid w:val="00ED0716"/>
    <w:rsid w:val="00ED077B"/>
    <w:rsid w:val="00ED1E8B"/>
    <w:rsid w:val="00ED31B2"/>
    <w:rsid w:val="00EE01D6"/>
    <w:rsid w:val="00EE08F2"/>
    <w:rsid w:val="00EE0A49"/>
    <w:rsid w:val="00EE2118"/>
    <w:rsid w:val="00EF143A"/>
    <w:rsid w:val="00EF3831"/>
    <w:rsid w:val="00F01331"/>
    <w:rsid w:val="00F13BDE"/>
    <w:rsid w:val="00F165BD"/>
    <w:rsid w:val="00F17C5E"/>
    <w:rsid w:val="00F22392"/>
    <w:rsid w:val="00F249B8"/>
    <w:rsid w:val="00F25CA3"/>
    <w:rsid w:val="00F263DF"/>
    <w:rsid w:val="00F348E9"/>
    <w:rsid w:val="00F43BDB"/>
    <w:rsid w:val="00F44155"/>
    <w:rsid w:val="00F44707"/>
    <w:rsid w:val="00F50E63"/>
    <w:rsid w:val="00F528BB"/>
    <w:rsid w:val="00F5349D"/>
    <w:rsid w:val="00F552EC"/>
    <w:rsid w:val="00F57978"/>
    <w:rsid w:val="00F579CE"/>
    <w:rsid w:val="00F608AE"/>
    <w:rsid w:val="00F6338B"/>
    <w:rsid w:val="00F63FFA"/>
    <w:rsid w:val="00F65D77"/>
    <w:rsid w:val="00F72119"/>
    <w:rsid w:val="00F72987"/>
    <w:rsid w:val="00F752AB"/>
    <w:rsid w:val="00F76357"/>
    <w:rsid w:val="00F76FAC"/>
    <w:rsid w:val="00F77595"/>
    <w:rsid w:val="00F87FDF"/>
    <w:rsid w:val="00F9260B"/>
    <w:rsid w:val="00F937CF"/>
    <w:rsid w:val="00FA2F43"/>
    <w:rsid w:val="00FA4D7B"/>
    <w:rsid w:val="00FA54A2"/>
    <w:rsid w:val="00FB07E0"/>
    <w:rsid w:val="00FB1B61"/>
    <w:rsid w:val="00FB4E21"/>
    <w:rsid w:val="00FB6866"/>
    <w:rsid w:val="00FB751D"/>
    <w:rsid w:val="00FC3870"/>
    <w:rsid w:val="00FC3C02"/>
    <w:rsid w:val="00FC452C"/>
    <w:rsid w:val="00FD2E11"/>
    <w:rsid w:val="00FD356D"/>
    <w:rsid w:val="00FE1093"/>
    <w:rsid w:val="00FE123F"/>
    <w:rsid w:val="00FE1B42"/>
    <w:rsid w:val="00FE2651"/>
    <w:rsid w:val="00FE5B9A"/>
    <w:rsid w:val="00FF7B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F4FA"/>
  <w15:chartTrackingRefBased/>
  <w15:docId w15:val="{504E1C53-AEEA-4936-A15E-A1DC067B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4F"/>
  </w:style>
  <w:style w:type="paragraph" w:styleId="Heading2">
    <w:name w:val="heading 2"/>
    <w:basedOn w:val="Normal"/>
    <w:next w:val="Normal"/>
    <w:link w:val="Heading2Char"/>
    <w:uiPriority w:val="9"/>
    <w:semiHidden/>
    <w:unhideWhenUsed/>
    <w:qFormat/>
    <w:rsid w:val="00840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17664F"/>
    <w:pPr>
      <w:keepNext/>
      <w:spacing w:after="0" w:line="360" w:lineRule="auto"/>
      <w:jc w:val="both"/>
      <w:outlineLvl w:val="2"/>
    </w:pPr>
    <w:rPr>
      <w:rFonts w:ascii="Arial" w:eastAsia="Times New Roman" w:hAnsi="Arial" w:cs="Arial"/>
      <w:i/>
      <w:i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7664F"/>
    <w:rPr>
      <w:rFonts w:ascii="Arial" w:eastAsia="Times New Roman" w:hAnsi="Arial" w:cs="Arial"/>
      <w:i/>
      <w:iCs/>
      <w:sz w:val="28"/>
      <w:szCs w:val="24"/>
      <w:lang w:val="en-GB"/>
    </w:rPr>
  </w:style>
  <w:style w:type="paragraph" w:styleId="FootnoteText">
    <w:name w:val="footnote text"/>
    <w:basedOn w:val="Normal"/>
    <w:link w:val="FootnoteTextChar"/>
    <w:uiPriority w:val="99"/>
    <w:unhideWhenUsed/>
    <w:rsid w:val="0017664F"/>
    <w:pPr>
      <w:spacing w:after="0" w:line="240" w:lineRule="auto"/>
    </w:pPr>
    <w:rPr>
      <w:sz w:val="20"/>
      <w:szCs w:val="20"/>
    </w:rPr>
  </w:style>
  <w:style w:type="character" w:customStyle="1" w:styleId="FootnoteTextChar">
    <w:name w:val="Footnote Text Char"/>
    <w:basedOn w:val="DefaultParagraphFont"/>
    <w:link w:val="FootnoteText"/>
    <w:uiPriority w:val="99"/>
    <w:rsid w:val="0017664F"/>
    <w:rPr>
      <w:sz w:val="20"/>
      <w:szCs w:val="20"/>
    </w:rPr>
  </w:style>
  <w:style w:type="character" w:styleId="FootnoteReference">
    <w:name w:val="footnote reference"/>
    <w:basedOn w:val="DefaultParagraphFont"/>
    <w:uiPriority w:val="99"/>
    <w:unhideWhenUsed/>
    <w:rsid w:val="00D26987"/>
    <w:rPr>
      <w:vertAlign w:val="superscript"/>
    </w:rPr>
  </w:style>
  <w:style w:type="character" w:customStyle="1" w:styleId="Heading2Char">
    <w:name w:val="Heading 2 Char"/>
    <w:basedOn w:val="DefaultParagraphFont"/>
    <w:link w:val="Heading2"/>
    <w:uiPriority w:val="9"/>
    <w:semiHidden/>
    <w:rsid w:val="0084033F"/>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91938"/>
    <w:rPr>
      <w:sz w:val="16"/>
      <w:szCs w:val="16"/>
    </w:rPr>
  </w:style>
  <w:style w:type="paragraph" w:styleId="CommentText">
    <w:name w:val="annotation text"/>
    <w:basedOn w:val="Normal"/>
    <w:link w:val="CommentTextChar"/>
    <w:uiPriority w:val="99"/>
    <w:semiHidden/>
    <w:unhideWhenUsed/>
    <w:rsid w:val="00C91938"/>
    <w:pPr>
      <w:spacing w:line="240" w:lineRule="auto"/>
    </w:pPr>
    <w:rPr>
      <w:sz w:val="20"/>
      <w:szCs w:val="20"/>
    </w:rPr>
  </w:style>
  <w:style w:type="character" w:customStyle="1" w:styleId="CommentTextChar">
    <w:name w:val="Comment Text Char"/>
    <w:basedOn w:val="DefaultParagraphFont"/>
    <w:link w:val="CommentText"/>
    <w:uiPriority w:val="99"/>
    <w:semiHidden/>
    <w:rsid w:val="00C91938"/>
    <w:rPr>
      <w:sz w:val="20"/>
      <w:szCs w:val="20"/>
    </w:rPr>
  </w:style>
  <w:style w:type="paragraph" w:styleId="CommentSubject">
    <w:name w:val="annotation subject"/>
    <w:basedOn w:val="CommentText"/>
    <w:next w:val="CommentText"/>
    <w:link w:val="CommentSubjectChar"/>
    <w:uiPriority w:val="99"/>
    <w:semiHidden/>
    <w:unhideWhenUsed/>
    <w:rsid w:val="00C91938"/>
    <w:rPr>
      <w:b/>
      <w:bCs/>
    </w:rPr>
  </w:style>
  <w:style w:type="character" w:customStyle="1" w:styleId="CommentSubjectChar">
    <w:name w:val="Comment Subject Char"/>
    <w:basedOn w:val="CommentTextChar"/>
    <w:link w:val="CommentSubject"/>
    <w:uiPriority w:val="99"/>
    <w:semiHidden/>
    <w:rsid w:val="00C91938"/>
    <w:rPr>
      <w:b/>
      <w:bCs/>
      <w:sz w:val="20"/>
      <w:szCs w:val="20"/>
    </w:rPr>
  </w:style>
  <w:style w:type="character" w:styleId="Hyperlink">
    <w:name w:val="Hyperlink"/>
    <w:basedOn w:val="DefaultParagraphFont"/>
    <w:uiPriority w:val="99"/>
    <w:unhideWhenUsed/>
    <w:rsid w:val="00D7681A"/>
    <w:rPr>
      <w:color w:val="0563C1" w:themeColor="hyperlink"/>
      <w:u w:val="single"/>
    </w:rPr>
  </w:style>
  <w:style w:type="character" w:customStyle="1" w:styleId="UnresolvedMention1">
    <w:name w:val="Unresolved Mention1"/>
    <w:basedOn w:val="DefaultParagraphFont"/>
    <w:uiPriority w:val="99"/>
    <w:semiHidden/>
    <w:unhideWhenUsed/>
    <w:rsid w:val="00D7681A"/>
    <w:rPr>
      <w:color w:val="605E5C"/>
      <w:shd w:val="clear" w:color="auto" w:fill="E1DFDD"/>
    </w:rPr>
  </w:style>
  <w:style w:type="paragraph" w:styleId="BalloonText">
    <w:name w:val="Balloon Text"/>
    <w:basedOn w:val="Normal"/>
    <w:link w:val="BalloonTextChar"/>
    <w:uiPriority w:val="99"/>
    <w:semiHidden/>
    <w:unhideWhenUsed/>
    <w:rsid w:val="00690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BBD"/>
    <w:rPr>
      <w:rFonts w:ascii="Segoe UI" w:hAnsi="Segoe UI" w:cs="Segoe UI"/>
      <w:sz w:val="18"/>
      <w:szCs w:val="18"/>
    </w:rPr>
  </w:style>
  <w:style w:type="paragraph" w:styleId="Header">
    <w:name w:val="header"/>
    <w:basedOn w:val="Normal"/>
    <w:link w:val="HeaderChar"/>
    <w:uiPriority w:val="99"/>
    <w:unhideWhenUsed/>
    <w:rsid w:val="00F63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FFA"/>
  </w:style>
  <w:style w:type="paragraph" w:styleId="Footer">
    <w:name w:val="footer"/>
    <w:basedOn w:val="Normal"/>
    <w:link w:val="FooterChar"/>
    <w:uiPriority w:val="99"/>
    <w:unhideWhenUsed/>
    <w:rsid w:val="00F63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FFA"/>
  </w:style>
  <w:style w:type="table" w:styleId="TableGrid">
    <w:name w:val="Table Grid"/>
    <w:basedOn w:val="TableNormal"/>
    <w:uiPriority w:val="39"/>
    <w:rsid w:val="00A2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7A84"/>
    <w:pPr>
      <w:spacing w:after="0" w:line="240" w:lineRule="auto"/>
    </w:pPr>
  </w:style>
  <w:style w:type="paragraph" w:styleId="ListParagraph">
    <w:name w:val="List Paragraph"/>
    <w:basedOn w:val="Normal"/>
    <w:uiPriority w:val="34"/>
    <w:qFormat/>
    <w:rsid w:val="00DF5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56813">
      <w:bodyDiv w:val="1"/>
      <w:marLeft w:val="0"/>
      <w:marRight w:val="0"/>
      <w:marTop w:val="0"/>
      <w:marBottom w:val="0"/>
      <w:divBdr>
        <w:top w:val="none" w:sz="0" w:space="0" w:color="auto"/>
        <w:left w:val="none" w:sz="0" w:space="0" w:color="auto"/>
        <w:bottom w:val="none" w:sz="0" w:space="0" w:color="auto"/>
        <w:right w:val="none" w:sz="0" w:space="0" w:color="auto"/>
      </w:divBdr>
    </w:div>
    <w:div w:id="1910916363">
      <w:bodyDiv w:val="1"/>
      <w:marLeft w:val="0"/>
      <w:marRight w:val="0"/>
      <w:marTop w:val="0"/>
      <w:marBottom w:val="0"/>
      <w:divBdr>
        <w:top w:val="none" w:sz="0" w:space="0" w:color="auto"/>
        <w:left w:val="none" w:sz="0" w:space="0" w:color="auto"/>
        <w:bottom w:val="none" w:sz="0" w:space="0" w:color="auto"/>
        <w:right w:val="none" w:sz="0" w:space="0" w:color="auto"/>
      </w:divBdr>
    </w:div>
    <w:div w:id="198596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3395A-917E-4FA6-A8FA-6A4C0781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4218</Words>
  <Characters>24045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Judge-Sulet Potterill</dc:creator>
  <cp:lastModifiedBy>Ayanda Mdletshe</cp:lastModifiedBy>
  <cp:revision>2</cp:revision>
  <cp:lastPrinted>2021-06-18T07:36:00Z</cp:lastPrinted>
  <dcterms:created xsi:type="dcterms:W3CDTF">2021-06-18T08:28:00Z</dcterms:created>
  <dcterms:modified xsi:type="dcterms:W3CDTF">2021-06-18T08:28:00Z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property>
  <property fmtid="{D5CDD505-2E9C-101B-9397-08002B2CF9AE}" pid="3" name="Matter">
    <vt:lpwstr/>
  </property>
  <property fmtid="{D5CDD505-2E9C-101B-9397-08002B2CF9AE}" pid="4" name="cpClientMatter">
    <vt:lpwstr/>
  </property>
  <property fmtid="{D5CDD505-2E9C-101B-9397-08002B2CF9AE}" pid="5" name="cpDocRef">
    <vt:lpwstr>HIRT AND CARTER (PTY) LTD v IT ARNTSEN NO. ^0 10 OTHERS (1) (00000003).docx</vt:lpwstr>
  </property>
  <property fmtid="{D5CDD505-2E9C-101B-9397-08002B2CF9AE}" pid="6" name="MSIP_Label_42e67a54-274b-43d7-8098-b3ba5f50e576_Enabled">
    <vt:lpwstr>True</vt:lpwstr>
  </property>
  <property fmtid="{D5CDD505-2E9C-101B-9397-08002B2CF9AE}" pid="7" name="MSIP_Label_42e67a54-274b-43d7-8098-b3ba5f50e576_SiteId">
    <vt:lpwstr>7f0b44d2-04f8-4672-bf5d-4676796468a3</vt:lpwstr>
  </property>
  <property fmtid="{D5CDD505-2E9C-101B-9397-08002B2CF9AE}" pid="8" name="MSIP_Label_42e67a54-274b-43d7-8098-b3ba5f50e576_Owner">
    <vt:lpwstr>Ashleigh.Potterill@allenovery.com</vt:lpwstr>
  </property>
  <property fmtid="{D5CDD505-2E9C-101B-9397-08002B2CF9AE}" pid="9" name="MSIP_Label_42e67a54-274b-43d7-8098-b3ba5f50e576_SetDate">
    <vt:lpwstr>2021-06-08T12:33:30.1583099Z</vt:lpwstr>
  </property>
  <property fmtid="{D5CDD505-2E9C-101B-9397-08002B2CF9AE}" pid="10" name="MSIP_Label_42e67a54-274b-43d7-8098-b3ba5f50e576_Name">
    <vt:lpwstr>Restricted</vt:lpwstr>
  </property>
  <property fmtid="{D5CDD505-2E9C-101B-9397-08002B2CF9AE}" pid="11" name="MSIP_Label_42e67a54-274b-43d7-8098-b3ba5f50e576_Application">
    <vt:lpwstr>Microsoft Azure Information Protection</vt:lpwstr>
  </property>
  <property fmtid="{D5CDD505-2E9C-101B-9397-08002B2CF9AE}" pid="12" name="MSIP_Label_42e67a54-274b-43d7-8098-b3ba5f50e576_ActionId">
    <vt:lpwstr>f451c2b4-1dc9-4f45-8071-b498c867003d</vt:lpwstr>
  </property>
  <property fmtid="{D5CDD505-2E9C-101B-9397-08002B2CF9AE}" pid="13" name="MSIP_Label_42e67a54-274b-43d7-8098-b3ba5f50e576_Extended_MSFT_Method">
    <vt:lpwstr>Automatic</vt:lpwstr>
  </property>
</Properties>
</file>