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98D85" w14:textId="77777777" w:rsidR="00682031" w:rsidRDefault="00682031" w:rsidP="004906B9">
      <w:pPr>
        <w:rPr>
          <w:bCs/>
          <w:sz w:val="28"/>
          <w:szCs w:val="28"/>
        </w:rPr>
      </w:pPr>
    </w:p>
    <w:p w14:paraId="16A8D612" w14:textId="6D014539" w:rsidR="00ED4C63" w:rsidRPr="007A37E1" w:rsidRDefault="002963C5" w:rsidP="004906B9">
      <w:pPr>
        <w:rPr>
          <w:bCs/>
          <w:sz w:val="28"/>
          <w:szCs w:val="28"/>
        </w:rPr>
      </w:pPr>
      <w:r w:rsidRPr="007A37E1">
        <w:rPr>
          <w:noProof/>
          <w:lang w:eastAsia="en-ZA"/>
        </w:rPr>
        <w:drawing>
          <wp:anchor distT="0" distB="0" distL="114300" distR="114300" simplePos="0" relativeHeight="251666432" behindDoc="0" locked="0" layoutInCell="1" allowOverlap="1" wp14:anchorId="3BC73704" wp14:editId="3F92656B">
            <wp:simplePos x="0" y="0"/>
            <wp:positionH relativeFrom="column">
              <wp:posOffset>2494280</wp:posOffset>
            </wp:positionH>
            <wp:positionV relativeFrom="paragraph">
              <wp:posOffset>0</wp:posOffset>
            </wp:positionV>
            <wp:extent cx="800100" cy="914400"/>
            <wp:effectExtent l="0" t="0" r="0" b="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pic:spPr>
                </pic:pic>
              </a:graphicData>
            </a:graphic>
            <wp14:sizeRelH relativeFrom="page">
              <wp14:pctWidth>0</wp14:pctWidth>
            </wp14:sizeRelH>
            <wp14:sizeRelV relativeFrom="page">
              <wp14:pctHeight>0</wp14:pctHeight>
            </wp14:sizeRelV>
          </wp:anchor>
        </w:drawing>
      </w:r>
    </w:p>
    <w:p w14:paraId="66293B04" w14:textId="77777777" w:rsidR="00ED4C63" w:rsidRPr="007A37E1" w:rsidRDefault="00ED4C63" w:rsidP="004906B9">
      <w:pPr>
        <w:jc w:val="center"/>
        <w:rPr>
          <w:b/>
          <w:bCs/>
          <w:sz w:val="28"/>
          <w:szCs w:val="28"/>
        </w:rPr>
      </w:pPr>
    </w:p>
    <w:p w14:paraId="56C9F76C" w14:textId="77777777" w:rsidR="00ED4C63" w:rsidRPr="007A37E1" w:rsidRDefault="00ED4C63" w:rsidP="004906B9">
      <w:pPr>
        <w:jc w:val="center"/>
        <w:rPr>
          <w:b/>
          <w:bCs/>
          <w:sz w:val="28"/>
          <w:szCs w:val="28"/>
        </w:rPr>
      </w:pPr>
    </w:p>
    <w:p w14:paraId="1D25C473" w14:textId="33E5AE34" w:rsidR="00ED4C63" w:rsidRPr="007A37E1" w:rsidRDefault="00ED4C63" w:rsidP="004906B9">
      <w:pPr>
        <w:jc w:val="center"/>
        <w:rPr>
          <w:b/>
          <w:bCs/>
          <w:sz w:val="28"/>
          <w:szCs w:val="28"/>
        </w:rPr>
      </w:pPr>
    </w:p>
    <w:p w14:paraId="4CEE3DED" w14:textId="77777777" w:rsidR="00093030" w:rsidRPr="007A37E1" w:rsidRDefault="00093030" w:rsidP="004906B9">
      <w:pPr>
        <w:spacing w:line="360" w:lineRule="auto"/>
        <w:jc w:val="center"/>
        <w:rPr>
          <w:b/>
          <w:bCs/>
          <w:sz w:val="28"/>
          <w:szCs w:val="28"/>
        </w:rPr>
      </w:pPr>
    </w:p>
    <w:p w14:paraId="6ACA983E" w14:textId="77777777" w:rsidR="00093030" w:rsidRPr="007A37E1" w:rsidRDefault="00093030" w:rsidP="009F5DE2">
      <w:pPr>
        <w:spacing w:line="276" w:lineRule="auto"/>
        <w:jc w:val="center"/>
        <w:rPr>
          <w:rFonts w:ascii="Arial" w:hAnsi="Arial" w:cs="Arial"/>
          <w:b/>
          <w:bCs/>
        </w:rPr>
      </w:pPr>
      <w:r w:rsidRPr="007A37E1">
        <w:rPr>
          <w:rFonts w:ascii="Arial" w:hAnsi="Arial" w:cs="Arial"/>
          <w:b/>
          <w:bCs/>
        </w:rPr>
        <w:t>THE SUPREME COURT OF APPEAL OF SOUTH AFRICA</w:t>
      </w:r>
    </w:p>
    <w:p w14:paraId="793F78FB" w14:textId="77777777" w:rsidR="00093030" w:rsidRPr="007A37E1" w:rsidRDefault="00093030" w:rsidP="009F5DE2">
      <w:pPr>
        <w:pStyle w:val="Heading3"/>
        <w:spacing w:line="276" w:lineRule="auto"/>
        <w:jc w:val="center"/>
        <w:rPr>
          <w:rFonts w:ascii="Times New Roman" w:hAnsi="Times New Roman" w:cs="Times New Roman"/>
          <w:b/>
          <w:i w:val="0"/>
          <w:szCs w:val="28"/>
        </w:rPr>
      </w:pPr>
      <w:r w:rsidRPr="007A37E1">
        <w:rPr>
          <w:b/>
          <w:i w:val="0"/>
          <w:sz w:val="24"/>
        </w:rPr>
        <w:t>JUDGMENT</w:t>
      </w:r>
    </w:p>
    <w:p w14:paraId="13113C22" w14:textId="6D2FE45C" w:rsidR="00093030" w:rsidRPr="007A37E1" w:rsidRDefault="00A10592" w:rsidP="009F5DE2">
      <w:pPr>
        <w:tabs>
          <w:tab w:val="left" w:pos="3594"/>
          <w:tab w:val="center" w:pos="4344"/>
          <w:tab w:val="left" w:pos="5106"/>
          <w:tab w:val="left" w:pos="5625"/>
        </w:tabs>
        <w:spacing w:line="276" w:lineRule="auto"/>
        <w:rPr>
          <w:rFonts w:ascii="Arial" w:hAnsi="Arial" w:cs="Arial"/>
          <w:b/>
          <w:bCs/>
          <w:sz w:val="16"/>
          <w:szCs w:val="16"/>
        </w:rPr>
      </w:pPr>
      <w:r w:rsidRPr="007A37E1">
        <w:rPr>
          <w:rFonts w:ascii="Arial" w:hAnsi="Arial" w:cs="Arial"/>
        </w:rPr>
        <w:tab/>
      </w:r>
      <w:r w:rsidRPr="007A37E1">
        <w:rPr>
          <w:rFonts w:ascii="Arial" w:hAnsi="Arial" w:cs="Arial"/>
        </w:rPr>
        <w:tab/>
      </w:r>
    </w:p>
    <w:p w14:paraId="173C9D13" w14:textId="47013512" w:rsidR="00093030" w:rsidRDefault="00093030" w:rsidP="009F5DE2">
      <w:pPr>
        <w:spacing w:line="276" w:lineRule="auto"/>
        <w:jc w:val="right"/>
        <w:rPr>
          <w:rFonts w:ascii="Arial" w:hAnsi="Arial" w:cs="Arial"/>
          <w:b/>
        </w:rPr>
      </w:pPr>
      <w:r w:rsidRPr="007A37E1">
        <w:rPr>
          <w:rFonts w:ascii="Arial" w:hAnsi="Arial" w:cs="Arial"/>
          <w:b/>
        </w:rPr>
        <w:t>Reportable</w:t>
      </w:r>
    </w:p>
    <w:p w14:paraId="145DD04E" w14:textId="77777777" w:rsidR="00D60127" w:rsidRPr="007A37E1" w:rsidRDefault="00D60127" w:rsidP="009F5DE2">
      <w:pPr>
        <w:spacing w:line="276" w:lineRule="auto"/>
        <w:jc w:val="right"/>
        <w:rPr>
          <w:rFonts w:ascii="Arial" w:hAnsi="Arial" w:cs="Arial"/>
          <w:b/>
        </w:rPr>
      </w:pPr>
    </w:p>
    <w:p w14:paraId="0B62A8A3" w14:textId="0F1BEFE2" w:rsidR="001910E7" w:rsidRPr="007A37E1" w:rsidRDefault="000F13E9" w:rsidP="009F5DE2">
      <w:pPr>
        <w:spacing w:line="276" w:lineRule="auto"/>
        <w:jc w:val="right"/>
        <w:rPr>
          <w:rFonts w:ascii="Arial" w:hAnsi="Arial" w:cs="Arial"/>
        </w:rPr>
      </w:pPr>
      <w:r w:rsidRPr="007A37E1">
        <w:rPr>
          <w:rFonts w:ascii="Arial" w:hAnsi="Arial" w:cs="Arial"/>
        </w:rPr>
        <w:t xml:space="preserve">Case no: </w:t>
      </w:r>
      <w:r w:rsidR="008C5587" w:rsidRPr="007A37E1">
        <w:rPr>
          <w:rFonts w:ascii="Arial" w:hAnsi="Arial" w:cs="Arial"/>
        </w:rPr>
        <w:t>538</w:t>
      </w:r>
      <w:r w:rsidR="006C2ED4" w:rsidRPr="007A37E1">
        <w:rPr>
          <w:rFonts w:ascii="Arial" w:hAnsi="Arial" w:cs="Arial"/>
        </w:rPr>
        <w:t>/2020</w:t>
      </w:r>
    </w:p>
    <w:p w14:paraId="62EC3AAC" w14:textId="77777777" w:rsidR="001910E7" w:rsidRPr="007A37E1" w:rsidRDefault="001910E7" w:rsidP="009F5DE2">
      <w:pPr>
        <w:spacing w:line="276" w:lineRule="auto"/>
        <w:rPr>
          <w:rFonts w:ascii="Arial" w:hAnsi="Arial" w:cs="Arial"/>
        </w:rPr>
      </w:pPr>
    </w:p>
    <w:p w14:paraId="1B93C0F0" w14:textId="77777777" w:rsidR="001910E7" w:rsidRPr="007A37E1" w:rsidRDefault="001910E7" w:rsidP="009F5DE2">
      <w:pPr>
        <w:spacing w:line="276" w:lineRule="auto"/>
        <w:jc w:val="both"/>
        <w:rPr>
          <w:rFonts w:ascii="Arial" w:hAnsi="Arial" w:cs="Arial"/>
        </w:rPr>
      </w:pPr>
      <w:r w:rsidRPr="007A37E1">
        <w:rPr>
          <w:rFonts w:ascii="Arial" w:hAnsi="Arial" w:cs="Arial"/>
        </w:rPr>
        <w:t>In the matter between:</w:t>
      </w:r>
    </w:p>
    <w:p w14:paraId="0E5D729C" w14:textId="77777777" w:rsidR="006E2774" w:rsidRPr="007A37E1" w:rsidRDefault="006E2774" w:rsidP="009F5DE2">
      <w:pPr>
        <w:widowControl w:val="0"/>
        <w:tabs>
          <w:tab w:val="right" w:pos="9360"/>
        </w:tabs>
        <w:autoSpaceDE w:val="0"/>
        <w:autoSpaceDN w:val="0"/>
        <w:adjustRightInd w:val="0"/>
        <w:spacing w:line="276" w:lineRule="auto"/>
        <w:jc w:val="both"/>
        <w:rPr>
          <w:rFonts w:ascii="Arial" w:hAnsi="Arial" w:cs="Arial"/>
          <w:b/>
          <w:bCs/>
        </w:rPr>
      </w:pPr>
    </w:p>
    <w:p w14:paraId="022D929D" w14:textId="6C22D381" w:rsidR="008C5587" w:rsidRPr="007A37E1" w:rsidRDefault="008C5587" w:rsidP="009F5DE2">
      <w:pPr>
        <w:widowControl w:val="0"/>
        <w:tabs>
          <w:tab w:val="right" w:pos="9360"/>
        </w:tabs>
        <w:autoSpaceDE w:val="0"/>
        <w:autoSpaceDN w:val="0"/>
        <w:adjustRightInd w:val="0"/>
        <w:spacing w:line="276" w:lineRule="auto"/>
        <w:jc w:val="both"/>
        <w:rPr>
          <w:rFonts w:ascii="Arial" w:hAnsi="Arial" w:cs="Arial"/>
          <w:b/>
          <w:bCs/>
        </w:rPr>
      </w:pPr>
      <w:r w:rsidRPr="007A37E1">
        <w:rPr>
          <w:rFonts w:ascii="Arial" w:hAnsi="Arial" w:cs="Arial"/>
          <w:b/>
          <w:bCs/>
        </w:rPr>
        <w:t>MINISTER OF CO</w:t>
      </w:r>
      <w:r w:rsidR="00311EFA" w:rsidRPr="007A37E1">
        <w:rPr>
          <w:rFonts w:ascii="Arial" w:hAnsi="Arial" w:cs="Arial"/>
          <w:b/>
          <w:bCs/>
        </w:rPr>
        <w:t>-</w:t>
      </w:r>
      <w:r w:rsidRPr="007A37E1">
        <w:rPr>
          <w:rFonts w:ascii="Arial" w:hAnsi="Arial" w:cs="Arial"/>
          <w:b/>
          <w:bCs/>
        </w:rPr>
        <w:t xml:space="preserve">OPERATIVE GOVERNANCE </w:t>
      </w:r>
    </w:p>
    <w:p w14:paraId="7373D170" w14:textId="12AB2CE9" w:rsidR="00236C2D" w:rsidRPr="007A37E1" w:rsidRDefault="008C5587" w:rsidP="009F5DE2">
      <w:pPr>
        <w:widowControl w:val="0"/>
        <w:tabs>
          <w:tab w:val="right" w:pos="9360"/>
        </w:tabs>
        <w:autoSpaceDE w:val="0"/>
        <w:autoSpaceDN w:val="0"/>
        <w:adjustRightInd w:val="0"/>
        <w:spacing w:line="276" w:lineRule="auto"/>
        <w:jc w:val="both"/>
        <w:rPr>
          <w:rFonts w:ascii="Arial" w:hAnsi="Arial" w:cs="Arial"/>
          <w:b/>
          <w:bCs/>
        </w:rPr>
      </w:pPr>
      <w:r w:rsidRPr="007A37E1">
        <w:rPr>
          <w:rFonts w:ascii="Arial" w:hAnsi="Arial" w:cs="Arial"/>
          <w:b/>
          <w:bCs/>
        </w:rPr>
        <w:t xml:space="preserve">AND TRADITIONAL AFFAIRS                                   </w:t>
      </w:r>
      <w:r w:rsidR="00A438C3" w:rsidRPr="007A37E1">
        <w:rPr>
          <w:rFonts w:ascii="Arial" w:hAnsi="Arial" w:cs="Arial"/>
          <w:b/>
          <w:bCs/>
        </w:rPr>
        <w:t xml:space="preserve">                        </w:t>
      </w:r>
      <w:r w:rsidRPr="007A37E1">
        <w:rPr>
          <w:rFonts w:ascii="Arial" w:hAnsi="Arial" w:cs="Arial"/>
          <w:b/>
          <w:bCs/>
        </w:rPr>
        <w:t xml:space="preserve">   </w:t>
      </w:r>
      <w:r w:rsidR="008B1090" w:rsidRPr="007A37E1">
        <w:rPr>
          <w:rFonts w:ascii="Arial" w:hAnsi="Arial" w:cs="Arial"/>
          <w:b/>
          <w:bCs/>
        </w:rPr>
        <w:t xml:space="preserve">                  </w:t>
      </w:r>
      <w:r w:rsidR="004906B9" w:rsidRPr="007A37E1">
        <w:rPr>
          <w:rFonts w:ascii="Arial" w:hAnsi="Arial" w:cs="Arial"/>
          <w:b/>
          <w:bCs/>
        </w:rPr>
        <w:t xml:space="preserve"> </w:t>
      </w:r>
      <w:r w:rsidR="0064285C" w:rsidRPr="007A37E1">
        <w:rPr>
          <w:rFonts w:ascii="Arial" w:hAnsi="Arial" w:cs="Arial"/>
          <w:b/>
          <w:bCs/>
        </w:rPr>
        <w:t xml:space="preserve">   </w:t>
      </w:r>
      <w:r w:rsidR="006C2ED4" w:rsidRPr="007A37E1">
        <w:rPr>
          <w:rFonts w:ascii="Arial" w:hAnsi="Arial" w:cs="Arial"/>
          <w:b/>
          <w:bCs/>
        </w:rPr>
        <w:t xml:space="preserve">        </w:t>
      </w:r>
      <w:r w:rsidR="00B625EE" w:rsidRPr="007A37E1">
        <w:rPr>
          <w:rFonts w:ascii="Arial" w:hAnsi="Arial" w:cs="Arial"/>
          <w:b/>
          <w:bCs/>
        </w:rPr>
        <w:t>APPELLANT</w:t>
      </w:r>
    </w:p>
    <w:p w14:paraId="518495E3" w14:textId="77CC2B75" w:rsidR="008B1090" w:rsidRPr="007A37E1" w:rsidRDefault="008B1090" w:rsidP="009F5DE2">
      <w:pPr>
        <w:widowControl w:val="0"/>
        <w:tabs>
          <w:tab w:val="right" w:pos="9360"/>
        </w:tabs>
        <w:autoSpaceDE w:val="0"/>
        <w:autoSpaceDN w:val="0"/>
        <w:adjustRightInd w:val="0"/>
        <w:spacing w:line="276" w:lineRule="auto"/>
        <w:jc w:val="both"/>
        <w:rPr>
          <w:rFonts w:ascii="Arial" w:hAnsi="Arial" w:cs="Arial"/>
          <w:b/>
          <w:bCs/>
        </w:rPr>
      </w:pPr>
    </w:p>
    <w:p w14:paraId="77F251E1" w14:textId="77777777" w:rsidR="007A0413" w:rsidRPr="007A37E1" w:rsidRDefault="007A0413" w:rsidP="009F5DE2">
      <w:pPr>
        <w:widowControl w:val="0"/>
        <w:autoSpaceDE w:val="0"/>
        <w:autoSpaceDN w:val="0"/>
        <w:adjustRightInd w:val="0"/>
        <w:spacing w:line="276" w:lineRule="auto"/>
        <w:jc w:val="both"/>
        <w:rPr>
          <w:rFonts w:ascii="Arial" w:hAnsi="Arial" w:cs="Arial"/>
          <w:bCs/>
          <w:iCs/>
        </w:rPr>
      </w:pPr>
      <w:r w:rsidRPr="007A37E1">
        <w:rPr>
          <w:rFonts w:ascii="Arial" w:hAnsi="Arial" w:cs="Arial"/>
          <w:bCs/>
          <w:iCs/>
        </w:rPr>
        <w:t>and</w:t>
      </w:r>
    </w:p>
    <w:p w14:paraId="00BFBEDD" w14:textId="77777777" w:rsidR="00B84DB2" w:rsidRPr="007A37E1" w:rsidRDefault="00B84DB2" w:rsidP="009F5DE2">
      <w:pPr>
        <w:widowControl w:val="0"/>
        <w:autoSpaceDE w:val="0"/>
        <w:autoSpaceDN w:val="0"/>
        <w:adjustRightInd w:val="0"/>
        <w:spacing w:line="276" w:lineRule="auto"/>
        <w:jc w:val="both"/>
        <w:rPr>
          <w:rFonts w:ascii="Arial" w:hAnsi="Arial" w:cs="Arial"/>
        </w:rPr>
      </w:pPr>
    </w:p>
    <w:p w14:paraId="248C32BD" w14:textId="4BE69ED7" w:rsidR="00B625EE" w:rsidRPr="007A37E1" w:rsidRDefault="008C5587" w:rsidP="009F5DE2">
      <w:pPr>
        <w:widowControl w:val="0"/>
        <w:tabs>
          <w:tab w:val="right" w:pos="9360"/>
        </w:tabs>
        <w:autoSpaceDE w:val="0"/>
        <w:autoSpaceDN w:val="0"/>
        <w:adjustRightInd w:val="0"/>
        <w:spacing w:line="276" w:lineRule="auto"/>
        <w:jc w:val="both"/>
        <w:rPr>
          <w:rFonts w:ascii="Arial" w:hAnsi="Arial" w:cs="Arial"/>
          <w:b/>
          <w:bCs/>
        </w:rPr>
      </w:pPr>
      <w:r w:rsidRPr="007A37E1">
        <w:rPr>
          <w:rFonts w:ascii="Arial" w:hAnsi="Arial" w:cs="Arial"/>
          <w:b/>
          <w:bCs/>
        </w:rPr>
        <w:t xml:space="preserve">REYNO DAWID DE BEER        </w:t>
      </w:r>
      <w:r w:rsidR="008B1090" w:rsidRPr="007A37E1">
        <w:rPr>
          <w:rFonts w:ascii="Arial" w:hAnsi="Arial" w:cs="Arial"/>
          <w:b/>
          <w:bCs/>
        </w:rPr>
        <w:t xml:space="preserve">                                             </w:t>
      </w:r>
      <w:r w:rsidR="004906B9" w:rsidRPr="007A37E1">
        <w:rPr>
          <w:rFonts w:ascii="Arial" w:hAnsi="Arial" w:cs="Arial"/>
          <w:b/>
          <w:bCs/>
        </w:rPr>
        <w:t xml:space="preserve"> </w:t>
      </w:r>
      <w:r w:rsidR="00CA6027" w:rsidRPr="007A37E1">
        <w:rPr>
          <w:rFonts w:ascii="Arial" w:hAnsi="Arial" w:cs="Arial"/>
          <w:b/>
          <w:bCs/>
        </w:rPr>
        <w:t xml:space="preserve"> </w:t>
      </w:r>
      <w:r w:rsidR="00A438C3" w:rsidRPr="007A37E1">
        <w:rPr>
          <w:rFonts w:ascii="Arial" w:hAnsi="Arial" w:cs="Arial"/>
          <w:b/>
          <w:bCs/>
        </w:rPr>
        <w:t xml:space="preserve">    </w:t>
      </w:r>
      <w:r w:rsidR="00CA6027" w:rsidRPr="007A37E1">
        <w:rPr>
          <w:rFonts w:ascii="Arial" w:hAnsi="Arial" w:cs="Arial"/>
          <w:b/>
          <w:bCs/>
        </w:rPr>
        <w:t xml:space="preserve">    </w:t>
      </w:r>
      <w:r w:rsidR="00C875B3" w:rsidRPr="007A37E1">
        <w:rPr>
          <w:rFonts w:ascii="Arial" w:hAnsi="Arial" w:cs="Arial"/>
          <w:b/>
          <w:bCs/>
        </w:rPr>
        <w:t xml:space="preserve"> </w:t>
      </w:r>
      <w:r w:rsidR="008B1090" w:rsidRPr="007A37E1">
        <w:rPr>
          <w:rFonts w:ascii="Arial" w:hAnsi="Arial" w:cs="Arial"/>
          <w:b/>
          <w:bCs/>
        </w:rPr>
        <w:t>FIRST RESP</w:t>
      </w:r>
      <w:r w:rsidR="00B625EE" w:rsidRPr="007A37E1">
        <w:rPr>
          <w:rFonts w:ascii="Arial" w:hAnsi="Arial" w:cs="Arial"/>
          <w:b/>
          <w:bCs/>
        </w:rPr>
        <w:t>ONDENT</w:t>
      </w:r>
    </w:p>
    <w:p w14:paraId="4402D0A4" w14:textId="674AAB1E" w:rsidR="008B1090" w:rsidRPr="007A37E1" w:rsidRDefault="008B1090" w:rsidP="009F5DE2">
      <w:pPr>
        <w:widowControl w:val="0"/>
        <w:tabs>
          <w:tab w:val="right" w:pos="9360"/>
        </w:tabs>
        <w:autoSpaceDE w:val="0"/>
        <w:autoSpaceDN w:val="0"/>
        <w:adjustRightInd w:val="0"/>
        <w:spacing w:line="276" w:lineRule="auto"/>
        <w:jc w:val="both"/>
        <w:rPr>
          <w:rFonts w:ascii="Arial" w:hAnsi="Arial" w:cs="Arial"/>
          <w:b/>
          <w:bCs/>
        </w:rPr>
      </w:pPr>
    </w:p>
    <w:p w14:paraId="3693975C" w14:textId="15812601" w:rsidR="008B1090" w:rsidRPr="007A37E1" w:rsidRDefault="008C5587" w:rsidP="009F5DE2">
      <w:pPr>
        <w:widowControl w:val="0"/>
        <w:tabs>
          <w:tab w:val="right" w:pos="9356"/>
        </w:tabs>
        <w:autoSpaceDE w:val="0"/>
        <w:autoSpaceDN w:val="0"/>
        <w:adjustRightInd w:val="0"/>
        <w:spacing w:line="276" w:lineRule="auto"/>
        <w:jc w:val="both"/>
        <w:rPr>
          <w:rFonts w:ascii="Arial" w:hAnsi="Arial" w:cs="Arial"/>
          <w:b/>
          <w:bCs/>
        </w:rPr>
      </w:pPr>
      <w:r w:rsidRPr="007A37E1">
        <w:rPr>
          <w:rFonts w:ascii="Arial" w:hAnsi="Arial" w:cs="Arial"/>
          <w:b/>
          <w:bCs/>
        </w:rPr>
        <w:t xml:space="preserve">LIBERTY FIGHTERS NETWORK                        </w:t>
      </w:r>
      <w:r w:rsidR="006C2ED4" w:rsidRPr="007A37E1">
        <w:rPr>
          <w:rFonts w:ascii="Arial" w:hAnsi="Arial" w:cs="Arial"/>
          <w:b/>
          <w:bCs/>
        </w:rPr>
        <w:t xml:space="preserve">  </w:t>
      </w:r>
      <w:r w:rsidR="008B1090" w:rsidRPr="007A37E1">
        <w:rPr>
          <w:rFonts w:ascii="Arial" w:hAnsi="Arial" w:cs="Arial"/>
          <w:b/>
          <w:bCs/>
        </w:rPr>
        <w:t xml:space="preserve">               </w:t>
      </w:r>
      <w:r w:rsidR="0064285C" w:rsidRPr="007A37E1">
        <w:rPr>
          <w:rFonts w:ascii="Arial" w:hAnsi="Arial" w:cs="Arial"/>
          <w:b/>
          <w:bCs/>
        </w:rPr>
        <w:t xml:space="preserve">  </w:t>
      </w:r>
      <w:r w:rsidR="00A438C3" w:rsidRPr="007A37E1">
        <w:rPr>
          <w:rFonts w:ascii="Arial" w:hAnsi="Arial" w:cs="Arial"/>
          <w:b/>
          <w:bCs/>
        </w:rPr>
        <w:t xml:space="preserve">  </w:t>
      </w:r>
      <w:r w:rsidR="0064285C" w:rsidRPr="007A37E1">
        <w:rPr>
          <w:rFonts w:ascii="Arial" w:hAnsi="Arial" w:cs="Arial"/>
          <w:b/>
          <w:bCs/>
        </w:rPr>
        <w:t xml:space="preserve"> </w:t>
      </w:r>
      <w:r w:rsidR="008B1090" w:rsidRPr="007A37E1">
        <w:rPr>
          <w:rFonts w:ascii="Arial" w:hAnsi="Arial" w:cs="Arial"/>
          <w:b/>
          <w:bCs/>
        </w:rPr>
        <w:t>SECOND RESPONDENT</w:t>
      </w:r>
    </w:p>
    <w:p w14:paraId="169BA42C" w14:textId="77777777" w:rsidR="00D95112" w:rsidRPr="007A37E1" w:rsidRDefault="00D95112" w:rsidP="009F5DE2">
      <w:pPr>
        <w:widowControl w:val="0"/>
        <w:tabs>
          <w:tab w:val="right" w:pos="9356"/>
        </w:tabs>
        <w:autoSpaceDE w:val="0"/>
        <w:autoSpaceDN w:val="0"/>
        <w:adjustRightInd w:val="0"/>
        <w:spacing w:line="276" w:lineRule="auto"/>
        <w:jc w:val="both"/>
        <w:rPr>
          <w:rFonts w:ascii="Arial" w:hAnsi="Arial" w:cs="Arial"/>
          <w:b/>
          <w:bCs/>
        </w:rPr>
      </w:pPr>
    </w:p>
    <w:p w14:paraId="3C8F9B41" w14:textId="77777777" w:rsidR="00A438C3" w:rsidRPr="007A37E1" w:rsidRDefault="00311EFA" w:rsidP="009F5DE2">
      <w:pPr>
        <w:widowControl w:val="0"/>
        <w:tabs>
          <w:tab w:val="right" w:pos="9360"/>
        </w:tabs>
        <w:autoSpaceDE w:val="0"/>
        <w:autoSpaceDN w:val="0"/>
        <w:adjustRightInd w:val="0"/>
        <w:spacing w:line="276" w:lineRule="auto"/>
        <w:jc w:val="both"/>
        <w:rPr>
          <w:rFonts w:ascii="Arial" w:hAnsi="Arial" w:cs="Arial"/>
          <w:b/>
          <w:bCs/>
        </w:rPr>
      </w:pPr>
      <w:r w:rsidRPr="007A37E1">
        <w:rPr>
          <w:rFonts w:ascii="Arial" w:hAnsi="Arial" w:cs="Arial"/>
          <w:b/>
          <w:bCs/>
        </w:rPr>
        <w:t xml:space="preserve">COUNCIL FOR THE ADVANCEMENT OF </w:t>
      </w:r>
    </w:p>
    <w:p w14:paraId="7B0EB77B" w14:textId="4C1FCD27" w:rsidR="00311EFA" w:rsidRPr="007A37E1" w:rsidRDefault="00311EFA" w:rsidP="009F5DE2">
      <w:pPr>
        <w:widowControl w:val="0"/>
        <w:tabs>
          <w:tab w:val="right" w:pos="9360"/>
        </w:tabs>
        <w:autoSpaceDE w:val="0"/>
        <w:autoSpaceDN w:val="0"/>
        <w:adjustRightInd w:val="0"/>
        <w:spacing w:line="276" w:lineRule="auto"/>
        <w:jc w:val="both"/>
        <w:rPr>
          <w:rFonts w:ascii="Arial" w:hAnsi="Arial" w:cs="Arial"/>
          <w:b/>
          <w:bCs/>
        </w:rPr>
      </w:pPr>
      <w:r w:rsidRPr="007A37E1">
        <w:rPr>
          <w:rFonts w:ascii="Arial" w:hAnsi="Arial" w:cs="Arial"/>
          <w:b/>
          <w:bCs/>
        </w:rPr>
        <w:t>THE</w:t>
      </w:r>
      <w:r w:rsidR="00A438C3" w:rsidRPr="007A37E1">
        <w:rPr>
          <w:rFonts w:ascii="Arial" w:hAnsi="Arial" w:cs="Arial"/>
          <w:b/>
          <w:bCs/>
        </w:rPr>
        <w:t xml:space="preserve"> </w:t>
      </w:r>
      <w:r w:rsidRPr="007A37E1">
        <w:rPr>
          <w:rFonts w:ascii="Arial" w:hAnsi="Arial" w:cs="Arial"/>
          <w:b/>
          <w:bCs/>
        </w:rPr>
        <w:t xml:space="preserve">SOUTH AFRICAN CONSTITUTION                </w:t>
      </w:r>
      <w:r w:rsidR="00A438C3" w:rsidRPr="007A37E1">
        <w:rPr>
          <w:rFonts w:ascii="Arial" w:hAnsi="Arial" w:cs="Arial"/>
          <w:b/>
          <w:bCs/>
        </w:rPr>
        <w:t xml:space="preserve"> </w:t>
      </w:r>
      <w:r w:rsidRPr="007A37E1">
        <w:rPr>
          <w:rFonts w:ascii="Arial" w:hAnsi="Arial" w:cs="Arial"/>
          <w:b/>
          <w:bCs/>
        </w:rPr>
        <w:t xml:space="preserve">                   </w:t>
      </w:r>
      <w:r w:rsidR="00A438C3" w:rsidRPr="007A37E1">
        <w:rPr>
          <w:rFonts w:ascii="Arial" w:hAnsi="Arial" w:cs="Arial"/>
          <w:b/>
          <w:bCs/>
        </w:rPr>
        <w:t xml:space="preserve"> </w:t>
      </w:r>
      <w:r w:rsidRPr="007A37E1">
        <w:rPr>
          <w:rFonts w:ascii="Arial" w:hAnsi="Arial" w:cs="Arial"/>
          <w:b/>
          <w:bCs/>
        </w:rPr>
        <w:t xml:space="preserve">  FIRST AMICUS CURIAE</w:t>
      </w:r>
    </w:p>
    <w:p w14:paraId="7B0E210A" w14:textId="77777777" w:rsidR="00D95112" w:rsidRPr="007A37E1" w:rsidRDefault="00D95112" w:rsidP="009F5DE2">
      <w:pPr>
        <w:widowControl w:val="0"/>
        <w:tabs>
          <w:tab w:val="right" w:pos="9360"/>
        </w:tabs>
        <w:autoSpaceDE w:val="0"/>
        <w:autoSpaceDN w:val="0"/>
        <w:adjustRightInd w:val="0"/>
        <w:spacing w:line="276" w:lineRule="auto"/>
        <w:jc w:val="both"/>
        <w:rPr>
          <w:rFonts w:ascii="Arial" w:hAnsi="Arial" w:cs="Arial"/>
          <w:b/>
          <w:bCs/>
        </w:rPr>
      </w:pPr>
    </w:p>
    <w:p w14:paraId="5231FEEE" w14:textId="456B32FB" w:rsidR="008C5587" w:rsidRPr="007A37E1" w:rsidRDefault="008C5587" w:rsidP="009F5DE2">
      <w:pPr>
        <w:widowControl w:val="0"/>
        <w:tabs>
          <w:tab w:val="right" w:pos="9360"/>
        </w:tabs>
        <w:autoSpaceDE w:val="0"/>
        <w:autoSpaceDN w:val="0"/>
        <w:adjustRightInd w:val="0"/>
        <w:spacing w:line="276" w:lineRule="auto"/>
        <w:jc w:val="both"/>
        <w:rPr>
          <w:rFonts w:ascii="Arial" w:hAnsi="Arial" w:cs="Arial"/>
          <w:b/>
          <w:bCs/>
        </w:rPr>
      </w:pPr>
      <w:r w:rsidRPr="007A37E1">
        <w:rPr>
          <w:rFonts w:ascii="Arial" w:hAnsi="Arial" w:cs="Arial"/>
          <w:b/>
          <w:bCs/>
        </w:rPr>
        <w:t>HOLA BON RENAISSANCE FOUND</w:t>
      </w:r>
      <w:r w:rsidR="00311EFA" w:rsidRPr="007A37E1">
        <w:rPr>
          <w:rFonts w:ascii="Arial" w:hAnsi="Arial" w:cs="Arial"/>
          <w:b/>
          <w:bCs/>
        </w:rPr>
        <w:t xml:space="preserve">ATION                      </w:t>
      </w:r>
      <w:r w:rsidR="00A438C3" w:rsidRPr="007A37E1">
        <w:rPr>
          <w:rFonts w:ascii="Arial" w:hAnsi="Arial" w:cs="Arial"/>
          <w:b/>
          <w:bCs/>
        </w:rPr>
        <w:t xml:space="preserve">  </w:t>
      </w:r>
      <w:r w:rsidR="00311EFA" w:rsidRPr="007A37E1">
        <w:rPr>
          <w:rFonts w:ascii="Arial" w:hAnsi="Arial" w:cs="Arial"/>
          <w:b/>
          <w:bCs/>
        </w:rPr>
        <w:t xml:space="preserve"> SECOND </w:t>
      </w:r>
      <w:r w:rsidRPr="007A37E1">
        <w:rPr>
          <w:rFonts w:ascii="Arial" w:hAnsi="Arial" w:cs="Arial"/>
          <w:b/>
          <w:bCs/>
        </w:rPr>
        <w:t>AMICUS CURIAE</w:t>
      </w:r>
    </w:p>
    <w:p w14:paraId="75FE945A" w14:textId="59514E6D" w:rsidR="00B84DB2" w:rsidRPr="007A37E1" w:rsidRDefault="00B84DB2" w:rsidP="00A438C3">
      <w:pPr>
        <w:widowControl w:val="0"/>
        <w:tabs>
          <w:tab w:val="right" w:pos="9360"/>
        </w:tabs>
        <w:autoSpaceDE w:val="0"/>
        <w:autoSpaceDN w:val="0"/>
        <w:adjustRightInd w:val="0"/>
        <w:jc w:val="both"/>
        <w:rPr>
          <w:rFonts w:ascii="Arial" w:hAnsi="Arial" w:cs="Arial"/>
          <w:bCs/>
        </w:rPr>
      </w:pPr>
    </w:p>
    <w:p w14:paraId="1F3A8584" w14:textId="77777777" w:rsidR="009F5DE2" w:rsidRPr="007A37E1" w:rsidRDefault="009F5DE2" w:rsidP="00A438C3">
      <w:pPr>
        <w:widowControl w:val="0"/>
        <w:tabs>
          <w:tab w:val="right" w:pos="9360"/>
        </w:tabs>
        <w:autoSpaceDE w:val="0"/>
        <w:autoSpaceDN w:val="0"/>
        <w:adjustRightInd w:val="0"/>
        <w:jc w:val="both"/>
        <w:rPr>
          <w:rFonts w:ascii="Arial" w:hAnsi="Arial" w:cs="Arial"/>
          <w:bCs/>
        </w:rPr>
      </w:pPr>
    </w:p>
    <w:p w14:paraId="3C216BB4" w14:textId="477FCD3B" w:rsidR="009F5DE2" w:rsidRPr="007A37E1" w:rsidRDefault="001910E7" w:rsidP="00CB4859">
      <w:pPr>
        <w:spacing w:after="120" w:line="360" w:lineRule="auto"/>
        <w:ind w:left="2382" w:hanging="2382"/>
        <w:jc w:val="both"/>
        <w:rPr>
          <w:rFonts w:ascii="Arial" w:hAnsi="Arial" w:cs="Arial"/>
          <w:bCs/>
        </w:rPr>
      </w:pPr>
      <w:r w:rsidRPr="007A37E1">
        <w:rPr>
          <w:rFonts w:ascii="Arial" w:hAnsi="Arial" w:cs="Arial"/>
          <w:b/>
          <w:bCs/>
        </w:rPr>
        <w:t>Neutral citation:</w:t>
      </w:r>
      <w:r w:rsidRPr="007A37E1">
        <w:rPr>
          <w:rFonts w:ascii="Arial" w:hAnsi="Arial" w:cs="Arial"/>
          <w:b/>
          <w:bCs/>
        </w:rPr>
        <w:tab/>
      </w:r>
      <w:r w:rsidR="008C5587" w:rsidRPr="007A37E1">
        <w:rPr>
          <w:rFonts w:ascii="Arial" w:hAnsi="Arial" w:cs="Arial"/>
          <w:bCs/>
          <w:i/>
        </w:rPr>
        <w:t xml:space="preserve">Minister of </w:t>
      </w:r>
      <w:r w:rsidR="00311EFA" w:rsidRPr="007A37E1">
        <w:rPr>
          <w:rFonts w:ascii="Arial" w:hAnsi="Arial" w:cs="Arial"/>
          <w:bCs/>
          <w:i/>
        </w:rPr>
        <w:t xml:space="preserve">Cooperative Governance and Traditional Affairs </w:t>
      </w:r>
      <w:r w:rsidR="008C5587" w:rsidRPr="007A37E1">
        <w:rPr>
          <w:rFonts w:ascii="Arial" w:hAnsi="Arial" w:cs="Arial"/>
          <w:bCs/>
          <w:i/>
        </w:rPr>
        <w:t>v De Beer and Another</w:t>
      </w:r>
      <w:r w:rsidR="006C2ED4" w:rsidRPr="007A37E1">
        <w:rPr>
          <w:rFonts w:ascii="Arial" w:hAnsi="Arial" w:cs="Arial"/>
          <w:bCs/>
          <w:i/>
        </w:rPr>
        <w:t xml:space="preserve"> </w:t>
      </w:r>
      <w:r w:rsidRPr="007A37E1">
        <w:rPr>
          <w:rFonts w:ascii="Arial" w:hAnsi="Arial" w:cs="Arial"/>
          <w:bCs/>
        </w:rPr>
        <w:t>(</w:t>
      </w:r>
      <w:r w:rsidR="004E1FAA" w:rsidRPr="007A37E1">
        <w:rPr>
          <w:rFonts w:ascii="Arial" w:hAnsi="Arial" w:cs="Arial"/>
          <w:bCs/>
        </w:rPr>
        <w:t xml:space="preserve">Case no </w:t>
      </w:r>
      <w:r w:rsidR="00E507F3" w:rsidRPr="007A37E1">
        <w:rPr>
          <w:rFonts w:ascii="Arial" w:hAnsi="Arial" w:cs="Arial"/>
          <w:bCs/>
        </w:rPr>
        <w:t>538</w:t>
      </w:r>
      <w:r w:rsidR="006C2ED4" w:rsidRPr="007A37E1">
        <w:rPr>
          <w:rFonts w:ascii="Arial" w:hAnsi="Arial" w:cs="Arial"/>
          <w:bCs/>
        </w:rPr>
        <w:t>/2020</w:t>
      </w:r>
      <w:r w:rsidR="00BD108B" w:rsidRPr="007A37E1">
        <w:rPr>
          <w:rFonts w:ascii="Arial" w:hAnsi="Arial" w:cs="Arial"/>
          <w:bCs/>
        </w:rPr>
        <w:t>) [202</w:t>
      </w:r>
      <w:r w:rsidR="008B1090" w:rsidRPr="007A37E1">
        <w:rPr>
          <w:rFonts w:ascii="Arial" w:hAnsi="Arial" w:cs="Arial"/>
          <w:bCs/>
        </w:rPr>
        <w:t>1</w:t>
      </w:r>
      <w:r w:rsidR="00BD108B" w:rsidRPr="007A37E1">
        <w:rPr>
          <w:rFonts w:ascii="Arial" w:hAnsi="Arial" w:cs="Arial"/>
          <w:bCs/>
        </w:rPr>
        <w:t xml:space="preserve">] ZASCA </w:t>
      </w:r>
      <w:r w:rsidR="00445C8D">
        <w:rPr>
          <w:rFonts w:ascii="Arial" w:hAnsi="Arial" w:cs="Arial"/>
          <w:bCs/>
        </w:rPr>
        <w:t>95</w:t>
      </w:r>
      <w:r w:rsidR="00CB4859">
        <w:rPr>
          <w:rFonts w:ascii="Arial" w:hAnsi="Arial" w:cs="Arial"/>
          <w:bCs/>
        </w:rPr>
        <w:t xml:space="preserve"> </w:t>
      </w:r>
      <w:bookmarkStart w:id="0" w:name="_GoBack"/>
      <w:bookmarkEnd w:id="0"/>
      <w:r w:rsidRPr="007A37E1">
        <w:rPr>
          <w:rFonts w:ascii="Arial" w:hAnsi="Arial" w:cs="Arial"/>
          <w:bCs/>
        </w:rPr>
        <w:t>(</w:t>
      </w:r>
      <w:r w:rsidR="00CB5318" w:rsidRPr="007A37E1">
        <w:rPr>
          <w:rFonts w:ascii="Arial" w:hAnsi="Arial" w:cs="Arial"/>
          <w:bCs/>
        </w:rPr>
        <w:t>1 July</w:t>
      </w:r>
      <w:r w:rsidR="008B1090" w:rsidRPr="007A37E1">
        <w:rPr>
          <w:rFonts w:ascii="Arial" w:hAnsi="Arial" w:cs="Arial"/>
          <w:bCs/>
        </w:rPr>
        <w:t xml:space="preserve"> 2021</w:t>
      </w:r>
      <w:r w:rsidRPr="007A37E1">
        <w:rPr>
          <w:rFonts w:ascii="Arial" w:hAnsi="Arial" w:cs="Arial"/>
          <w:bCs/>
        </w:rPr>
        <w:t>)</w:t>
      </w:r>
    </w:p>
    <w:p w14:paraId="0A840705" w14:textId="56614CFE" w:rsidR="001910E7" w:rsidRPr="007A37E1" w:rsidRDefault="001910E7" w:rsidP="009F5DE2">
      <w:pPr>
        <w:spacing w:after="120" w:line="360" w:lineRule="auto"/>
        <w:ind w:left="1588" w:hanging="1588"/>
        <w:jc w:val="both"/>
        <w:rPr>
          <w:rFonts w:ascii="Arial" w:hAnsi="Arial" w:cs="Arial"/>
          <w:b/>
          <w:bCs/>
          <w:i/>
          <w:iCs/>
        </w:rPr>
      </w:pPr>
      <w:r w:rsidRPr="007A37E1">
        <w:rPr>
          <w:rFonts w:ascii="Arial" w:hAnsi="Arial" w:cs="Arial"/>
          <w:b/>
          <w:bCs/>
        </w:rPr>
        <w:t>Coram:</w:t>
      </w:r>
      <w:r w:rsidR="002963C5" w:rsidRPr="007A37E1">
        <w:rPr>
          <w:rFonts w:ascii="Arial" w:hAnsi="Arial" w:cs="Arial"/>
        </w:rPr>
        <w:tab/>
      </w:r>
      <w:r w:rsidR="008C5587" w:rsidRPr="007A37E1">
        <w:rPr>
          <w:rFonts w:ascii="Arial" w:hAnsi="Arial" w:cs="Arial"/>
          <w:bCs/>
        </w:rPr>
        <w:t xml:space="preserve">NAVSA, PONNAN AND MBATHA JJA AND ROGERS AND UNTERHALTER </w:t>
      </w:r>
      <w:r w:rsidR="006C2ED4" w:rsidRPr="007A37E1">
        <w:rPr>
          <w:rFonts w:ascii="Arial" w:hAnsi="Arial" w:cs="Arial"/>
          <w:bCs/>
        </w:rPr>
        <w:t>AJJA</w:t>
      </w:r>
    </w:p>
    <w:p w14:paraId="60DBC0AF" w14:textId="37FC141B" w:rsidR="001910E7" w:rsidRPr="007A37E1" w:rsidRDefault="001910E7" w:rsidP="009F5DE2">
      <w:pPr>
        <w:tabs>
          <w:tab w:val="left" w:pos="851"/>
        </w:tabs>
        <w:spacing w:after="120" w:line="360" w:lineRule="auto"/>
        <w:jc w:val="both"/>
        <w:rPr>
          <w:rFonts w:ascii="Arial" w:hAnsi="Arial" w:cs="Arial"/>
          <w:b/>
          <w:bCs/>
        </w:rPr>
      </w:pPr>
      <w:r w:rsidRPr="007A37E1">
        <w:rPr>
          <w:rFonts w:ascii="Arial" w:hAnsi="Arial" w:cs="Arial"/>
          <w:b/>
          <w:bCs/>
        </w:rPr>
        <w:t>Heard</w:t>
      </w:r>
      <w:r w:rsidR="00D35C26" w:rsidRPr="007A37E1">
        <w:rPr>
          <w:rFonts w:ascii="Arial" w:hAnsi="Arial" w:cs="Arial"/>
          <w:b/>
        </w:rPr>
        <w:t xml:space="preserve">: </w:t>
      </w:r>
      <w:r w:rsidR="00D35C26" w:rsidRPr="007A37E1">
        <w:rPr>
          <w:rFonts w:ascii="Arial" w:hAnsi="Arial" w:cs="Arial"/>
        </w:rPr>
        <w:t xml:space="preserve">           </w:t>
      </w:r>
      <w:r w:rsidR="008C5587" w:rsidRPr="007A37E1">
        <w:rPr>
          <w:rFonts w:ascii="Arial" w:hAnsi="Arial" w:cs="Arial"/>
        </w:rPr>
        <w:t xml:space="preserve"> 26</w:t>
      </w:r>
      <w:r w:rsidR="006C2ED4" w:rsidRPr="007A37E1">
        <w:rPr>
          <w:rFonts w:ascii="Arial" w:hAnsi="Arial" w:cs="Arial"/>
        </w:rPr>
        <w:t xml:space="preserve"> May</w:t>
      </w:r>
      <w:r w:rsidR="004D3C80" w:rsidRPr="007A37E1">
        <w:rPr>
          <w:rFonts w:ascii="Arial" w:hAnsi="Arial" w:cs="Arial"/>
        </w:rPr>
        <w:t xml:space="preserve"> 2021</w:t>
      </w:r>
      <w:r w:rsidRPr="007A37E1">
        <w:rPr>
          <w:rFonts w:ascii="Arial" w:hAnsi="Arial" w:cs="Arial"/>
        </w:rPr>
        <w:t xml:space="preserve"> </w:t>
      </w:r>
    </w:p>
    <w:p w14:paraId="52CE489D" w14:textId="6284975F" w:rsidR="001910E7" w:rsidRPr="007A37E1" w:rsidRDefault="001910E7" w:rsidP="009F5DE2">
      <w:pPr>
        <w:spacing w:after="120" w:line="360" w:lineRule="auto"/>
        <w:ind w:left="1588" w:hanging="1588"/>
        <w:jc w:val="both"/>
        <w:rPr>
          <w:rFonts w:ascii="Arial" w:hAnsi="Arial" w:cs="Arial"/>
        </w:rPr>
      </w:pPr>
      <w:r w:rsidRPr="007A37E1">
        <w:rPr>
          <w:rFonts w:ascii="Arial" w:hAnsi="Arial" w:cs="Arial"/>
          <w:b/>
          <w:bCs/>
        </w:rPr>
        <w:t>Delivered</w:t>
      </w:r>
      <w:r w:rsidR="000F325E" w:rsidRPr="007A37E1">
        <w:rPr>
          <w:rFonts w:ascii="Arial" w:hAnsi="Arial" w:cs="Arial"/>
          <w:b/>
        </w:rPr>
        <w:t>:</w:t>
      </w:r>
      <w:r w:rsidR="002963C5" w:rsidRPr="007A37E1">
        <w:rPr>
          <w:rFonts w:ascii="Arial" w:hAnsi="Arial" w:cs="Arial"/>
        </w:rPr>
        <w:tab/>
      </w:r>
      <w:r w:rsidR="000F325E" w:rsidRPr="007A37E1">
        <w:rPr>
          <w:rFonts w:ascii="Arial" w:hAnsi="Arial" w:cs="Arial"/>
        </w:rPr>
        <w:t>This judgment was handed down electronically by circulation to the parties’ legal representatives by email</w:t>
      </w:r>
      <w:r w:rsidR="00733634" w:rsidRPr="007A37E1">
        <w:rPr>
          <w:rFonts w:ascii="Arial" w:hAnsi="Arial" w:cs="Arial"/>
        </w:rPr>
        <w:t xml:space="preserve">. It has been </w:t>
      </w:r>
      <w:r w:rsidR="000F325E" w:rsidRPr="007A37E1">
        <w:rPr>
          <w:rFonts w:ascii="Arial" w:hAnsi="Arial" w:cs="Arial"/>
        </w:rPr>
        <w:t>publi</w:t>
      </w:r>
      <w:r w:rsidR="00733634" w:rsidRPr="007A37E1">
        <w:rPr>
          <w:rFonts w:ascii="Arial" w:hAnsi="Arial" w:cs="Arial"/>
        </w:rPr>
        <w:t>shed</w:t>
      </w:r>
      <w:r w:rsidR="000F325E" w:rsidRPr="007A37E1">
        <w:rPr>
          <w:rFonts w:ascii="Arial" w:hAnsi="Arial" w:cs="Arial"/>
        </w:rPr>
        <w:t xml:space="preserve"> on the Supreme Court of Appeal website and release</w:t>
      </w:r>
      <w:r w:rsidR="00733634" w:rsidRPr="007A37E1">
        <w:rPr>
          <w:rFonts w:ascii="Arial" w:hAnsi="Arial" w:cs="Arial"/>
        </w:rPr>
        <w:t>d</w:t>
      </w:r>
      <w:r w:rsidR="000F325E" w:rsidRPr="007A37E1">
        <w:rPr>
          <w:rFonts w:ascii="Arial" w:hAnsi="Arial" w:cs="Arial"/>
        </w:rPr>
        <w:t xml:space="preserve"> to SAFLII. The date and time for hand-down is deemed to be</w:t>
      </w:r>
      <w:r w:rsidR="007A3936" w:rsidRPr="007A37E1">
        <w:rPr>
          <w:rFonts w:ascii="Arial" w:hAnsi="Arial" w:cs="Arial"/>
        </w:rPr>
        <w:t xml:space="preserve"> </w:t>
      </w:r>
      <w:r w:rsidR="00CB5318" w:rsidRPr="007A37E1">
        <w:rPr>
          <w:rFonts w:ascii="Arial" w:hAnsi="Arial" w:cs="Arial"/>
        </w:rPr>
        <w:t>09h45</w:t>
      </w:r>
      <w:r w:rsidR="00EE36D5" w:rsidRPr="007A37E1">
        <w:rPr>
          <w:rFonts w:ascii="Arial" w:hAnsi="Arial" w:cs="Arial"/>
        </w:rPr>
        <w:t xml:space="preserve"> on </w:t>
      </w:r>
      <w:r w:rsidR="00CB5318" w:rsidRPr="007A37E1">
        <w:rPr>
          <w:rFonts w:ascii="Arial" w:hAnsi="Arial" w:cs="Arial"/>
        </w:rPr>
        <w:t>1 July</w:t>
      </w:r>
      <w:r w:rsidR="008613F7" w:rsidRPr="007A37E1">
        <w:rPr>
          <w:rFonts w:ascii="Arial" w:hAnsi="Arial" w:cs="Arial"/>
        </w:rPr>
        <w:t xml:space="preserve"> </w:t>
      </w:r>
      <w:r w:rsidR="004D3C80" w:rsidRPr="007A37E1">
        <w:rPr>
          <w:rFonts w:ascii="Arial" w:hAnsi="Arial" w:cs="Arial"/>
        </w:rPr>
        <w:t>2021</w:t>
      </w:r>
      <w:r w:rsidR="000F325E" w:rsidRPr="007A37E1">
        <w:rPr>
          <w:rFonts w:ascii="Arial" w:hAnsi="Arial" w:cs="Arial"/>
        </w:rPr>
        <w:t>.</w:t>
      </w:r>
    </w:p>
    <w:p w14:paraId="4F6A496B" w14:textId="57948425" w:rsidR="00485E45" w:rsidRPr="007A37E1" w:rsidRDefault="001910E7" w:rsidP="005A4F3D">
      <w:pPr>
        <w:tabs>
          <w:tab w:val="left" w:pos="709"/>
          <w:tab w:val="left" w:pos="1134"/>
          <w:tab w:val="left" w:pos="1418"/>
        </w:tabs>
        <w:spacing w:after="120" w:line="360" w:lineRule="auto"/>
        <w:jc w:val="both"/>
        <w:rPr>
          <w:rFonts w:ascii="Arial" w:hAnsi="Arial" w:cs="Arial"/>
          <w:bCs/>
        </w:rPr>
      </w:pPr>
      <w:r w:rsidRPr="007A37E1">
        <w:rPr>
          <w:rFonts w:ascii="Arial" w:hAnsi="Arial" w:cs="Arial"/>
          <w:b/>
          <w:bCs/>
        </w:rPr>
        <w:lastRenderedPageBreak/>
        <w:t>Summary:</w:t>
      </w:r>
      <w:r w:rsidR="00B91C2D" w:rsidRPr="007A37E1">
        <w:rPr>
          <w:rFonts w:ascii="Arial" w:hAnsi="Arial" w:cs="Arial"/>
          <w:b/>
          <w:bCs/>
        </w:rPr>
        <w:tab/>
      </w:r>
      <w:r w:rsidR="004364B0" w:rsidRPr="007A37E1">
        <w:rPr>
          <w:rFonts w:ascii="Arial" w:hAnsi="Arial" w:cs="Arial"/>
        </w:rPr>
        <w:t xml:space="preserve">Regulations promulgated under s 27(2) of the Disaster Management Act 57 of 2002 – regulations challenged as unconstitutional and irrational </w:t>
      </w:r>
      <w:r w:rsidR="00607997" w:rsidRPr="007A37E1">
        <w:rPr>
          <w:rFonts w:ascii="Arial" w:hAnsi="Arial" w:cs="Arial"/>
        </w:rPr>
        <w:t xml:space="preserve">– </w:t>
      </w:r>
      <w:r w:rsidR="004364B0" w:rsidRPr="007A37E1">
        <w:rPr>
          <w:rFonts w:ascii="Arial" w:hAnsi="Arial" w:cs="Arial"/>
        </w:rPr>
        <w:t>virtual</w:t>
      </w:r>
      <w:r w:rsidR="00607997" w:rsidRPr="007A37E1">
        <w:rPr>
          <w:rFonts w:ascii="Arial" w:hAnsi="Arial" w:cs="Arial"/>
        </w:rPr>
        <w:t xml:space="preserve"> </w:t>
      </w:r>
      <w:r w:rsidR="004364B0" w:rsidRPr="007A37E1">
        <w:rPr>
          <w:rFonts w:ascii="Arial" w:hAnsi="Arial" w:cs="Arial"/>
        </w:rPr>
        <w:t>hearing challenged as contrary to open justice – need to plead a</w:t>
      </w:r>
      <w:r w:rsidR="00607997" w:rsidRPr="007A37E1">
        <w:rPr>
          <w:rFonts w:ascii="Arial" w:hAnsi="Arial" w:cs="Arial"/>
        </w:rPr>
        <w:t xml:space="preserve"> </w:t>
      </w:r>
      <w:r w:rsidR="00485E45" w:rsidRPr="007A37E1">
        <w:rPr>
          <w:rFonts w:ascii="Arial" w:hAnsi="Arial" w:cs="Arial"/>
        </w:rPr>
        <w:t>c</w:t>
      </w:r>
      <w:r w:rsidR="004364B0" w:rsidRPr="007A37E1">
        <w:rPr>
          <w:rFonts w:ascii="Arial" w:hAnsi="Arial" w:cs="Arial"/>
        </w:rPr>
        <w:t>onstitutional challenge with specificity and clarity – rationality</w:t>
      </w:r>
      <w:r w:rsidR="00F8275B" w:rsidRPr="007A37E1">
        <w:rPr>
          <w:rFonts w:ascii="Arial" w:hAnsi="Arial" w:cs="Arial"/>
        </w:rPr>
        <w:t>,</w:t>
      </w:r>
      <w:r w:rsidR="004364B0" w:rsidRPr="007A37E1">
        <w:rPr>
          <w:rFonts w:ascii="Arial" w:hAnsi="Arial" w:cs="Arial"/>
        </w:rPr>
        <w:t xml:space="preserve"> </w:t>
      </w:r>
      <w:r w:rsidR="004364B0" w:rsidRPr="007A37E1">
        <w:rPr>
          <w:rFonts w:ascii="Arial" w:hAnsi="Arial" w:cs="Arial"/>
          <w:bCs/>
        </w:rPr>
        <w:t xml:space="preserve">arbitrariness and equality challenges distinguished – </w:t>
      </w:r>
      <w:r w:rsidR="00485E45" w:rsidRPr="007A37E1">
        <w:rPr>
          <w:rFonts w:ascii="Arial" w:hAnsi="Arial" w:cs="Arial"/>
          <w:bCs/>
        </w:rPr>
        <w:t>rationality review</w:t>
      </w:r>
      <w:r w:rsidR="00882193" w:rsidRPr="007A37E1">
        <w:rPr>
          <w:rFonts w:ascii="Arial" w:hAnsi="Arial" w:cs="Arial"/>
          <w:bCs/>
        </w:rPr>
        <w:t xml:space="preserve"> must be</w:t>
      </w:r>
      <w:r w:rsidR="00485E45" w:rsidRPr="007A37E1">
        <w:rPr>
          <w:rFonts w:ascii="Arial" w:hAnsi="Arial" w:cs="Arial"/>
          <w:bCs/>
        </w:rPr>
        <w:t xml:space="preserve"> circumscribed –</w:t>
      </w:r>
      <w:r w:rsidR="00882193" w:rsidRPr="007A37E1">
        <w:rPr>
          <w:rFonts w:ascii="Arial" w:hAnsi="Arial" w:cs="Arial"/>
          <w:bCs/>
        </w:rPr>
        <w:t xml:space="preserve"> </w:t>
      </w:r>
      <w:r w:rsidR="00294BF1" w:rsidRPr="007A37E1">
        <w:rPr>
          <w:rFonts w:ascii="Arial" w:hAnsi="Arial" w:cs="Arial"/>
          <w:bCs/>
        </w:rPr>
        <w:t xml:space="preserve">high </w:t>
      </w:r>
      <w:r w:rsidR="00485E45" w:rsidRPr="007A37E1">
        <w:rPr>
          <w:rFonts w:ascii="Arial" w:hAnsi="Arial" w:cs="Arial"/>
          <w:bCs/>
        </w:rPr>
        <w:t xml:space="preserve">court order vague </w:t>
      </w:r>
      <w:r w:rsidR="00882193" w:rsidRPr="007A37E1">
        <w:rPr>
          <w:rFonts w:ascii="Arial" w:hAnsi="Arial" w:cs="Arial"/>
          <w:bCs/>
        </w:rPr>
        <w:t>and unenforceable</w:t>
      </w:r>
      <w:r w:rsidR="008C7F7D" w:rsidRPr="007A37E1">
        <w:rPr>
          <w:rFonts w:ascii="Arial" w:hAnsi="Arial" w:cs="Arial"/>
          <w:bCs/>
        </w:rPr>
        <w:t xml:space="preserve"> –unfounded and scandalous attacks on courts unacceptable</w:t>
      </w:r>
      <w:r w:rsidR="00485E45" w:rsidRPr="007A37E1">
        <w:rPr>
          <w:rFonts w:ascii="Arial" w:hAnsi="Arial" w:cs="Arial"/>
          <w:bCs/>
        </w:rPr>
        <w:t>.</w:t>
      </w:r>
    </w:p>
    <w:p w14:paraId="75FD6301" w14:textId="1B706388" w:rsidR="00362387" w:rsidRPr="007A37E1" w:rsidRDefault="00362387" w:rsidP="009F5DE2">
      <w:pPr>
        <w:tabs>
          <w:tab w:val="left" w:pos="709"/>
          <w:tab w:val="left" w:pos="1134"/>
          <w:tab w:val="left" w:pos="1418"/>
        </w:tabs>
        <w:spacing w:line="360" w:lineRule="auto"/>
        <w:jc w:val="both"/>
        <w:rPr>
          <w:rFonts w:ascii="Arial" w:hAnsi="Arial" w:cs="Arial"/>
          <w:bCs/>
        </w:rPr>
      </w:pPr>
    </w:p>
    <w:p w14:paraId="41A72A74" w14:textId="137BDF79" w:rsidR="00362387" w:rsidRPr="007A37E1" w:rsidRDefault="00362387" w:rsidP="00607997">
      <w:pPr>
        <w:tabs>
          <w:tab w:val="left" w:pos="709"/>
          <w:tab w:val="left" w:pos="1134"/>
          <w:tab w:val="left" w:pos="1418"/>
        </w:tabs>
        <w:spacing w:line="360" w:lineRule="auto"/>
        <w:jc w:val="both"/>
        <w:rPr>
          <w:rFonts w:ascii="Arial" w:hAnsi="Arial" w:cs="Arial"/>
          <w:bCs/>
        </w:rPr>
      </w:pPr>
    </w:p>
    <w:p w14:paraId="1238EAB8" w14:textId="2CDC4C95" w:rsidR="00362387" w:rsidRPr="007A37E1" w:rsidRDefault="00362387" w:rsidP="00607997">
      <w:pPr>
        <w:tabs>
          <w:tab w:val="left" w:pos="709"/>
          <w:tab w:val="left" w:pos="1134"/>
          <w:tab w:val="left" w:pos="1418"/>
        </w:tabs>
        <w:spacing w:line="360" w:lineRule="auto"/>
        <w:jc w:val="both"/>
        <w:rPr>
          <w:rFonts w:ascii="Arial" w:hAnsi="Arial" w:cs="Arial"/>
          <w:bCs/>
        </w:rPr>
      </w:pPr>
    </w:p>
    <w:p w14:paraId="1A72CACB" w14:textId="6E8DA72F" w:rsidR="00362387" w:rsidRPr="007A37E1" w:rsidRDefault="00362387" w:rsidP="00607997">
      <w:pPr>
        <w:tabs>
          <w:tab w:val="left" w:pos="709"/>
          <w:tab w:val="left" w:pos="1134"/>
          <w:tab w:val="left" w:pos="1418"/>
        </w:tabs>
        <w:spacing w:line="360" w:lineRule="auto"/>
        <w:jc w:val="both"/>
        <w:rPr>
          <w:rFonts w:ascii="Arial" w:hAnsi="Arial" w:cs="Arial"/>
          <w:bCs/>
        </w:rPr>
      </w:pPr>
    </w:p>
    <w:p w14:paraId="4B5398AE" w14:textId="6D4779C6" w:rsidR="00362387" w:rsidRPr="007A37E1" w:rsidRDefault="00362387" w:rsidP="00607997">
      <w:pPr>
        <w:tabs>
          <w:tab w:val="left" w:pos="709"/>
          <w:tab w:val="left" w:pos="1134"/>
          <w:tab w:val="left" w:pos="1418"/>
        </w:tabs>
        <w:spacing w:line="360" w:lineRule="auto"/>
        <w:jc w:val="both"/>
        <w:rPr>
          <w:rFonts w:ascii="Arial" w:hAnsi="Arial" w:cs="Arial"/>
          <w:bCs/>
        </w:rPr>
      </w:pPr>
    </w:p>
    <w:p w14:paraId="6A1788EE" w14:textId="2964A2DD" w:rsidR="00362387" w:rsidRPr="007A37E1" w:rsidRDefault="00362387" w:rsidP="00607997">
      <w:pPr>
        <w:tabs>
          <w:tab w:val="left" w:pos="709"/>
          <w:tab w:val="left" w:pos="1134"/>
          <w:tab w:val="left" w:pos="1418"/>
        </w:tabs>
        <w:spacing w:line="360" w:lineRule="auto"/>
        <w:jc w:val="both"/>
        <w:rPr>
          <w:rFonts w:ascii="Arial" w:hAnsi="Arial" w:cs="Arial"/>
          <w:bCs/>
        </w:rPr>
      </w:pPr>
    </w:p>
    <w:p w14:paraId="14C8C70A" w14:textId="78287818" w:rsidR="00362387" w:rsidRPr="007A37E1" w:rsidRDefault="00362387" w:rsidP="00607997">
      <w:pPr>
        <w:tabs>
          <w:tab w:val="left" w:pos="709"/>
          <w:tab w:val="left" w:pos="1134"/>
          <w:tab w:val="left" w:pos="1418"/>
        </w:tabs>
        <w:spacing w:line="360" w:lineRule="auto"/>
        <w:jc w:val="both"/>
        <w:rPr>
          <w:rFonts w:ascii="Arial" w:hAnsi="Arial" w:cs="Arial"/>
          <w:bCs/>
        </w:rPr>
      </w:pPr>
    </w:p>
    <w:p w14:paraId="4394374A" w14:textId="4ECFC48A" w:rsidR="00362387" w:rsidRPr="007A37E1" w:rsidRDefault="00362387" w:rsidP="00607997">
      <w:pPr>
        <w:tabs>
          <w:tab w:val="left" w:pos="709"/>
          <w:tab w:val="left" w:pos="1134"/>
          <w:tab w:val="left" w:pos="1418"/>
        </w:tabs>
        <w:spacing w:line="360" w:lineRule="auto"/>
        <w:jc w:val="both"/>
        <w:rPr>
          <w:rFonts w:ascii="Arial" w:hAnsi="Arial" w:cs="Arial"/>
          <w:bCs/>
        </w:rPr>
      </w:pPr>
    </w:p>
    <w:p w14:paraId="13B3CDF5" w14:textId="6331D9D4" w:rsidR="00362387" w:rsidRPr="007A37E1" w:rsidRDefault="00362387" w:rsidP="00607997">
      <w:pPr>
        <w:tabs>
          <w:tab w:val="left" w:pos="709"/>
          <w:tab w:val="left" w:pos="1134"/>
          <w:tab w:val="left" w:pos="1418"/>
        </w:tabs>
        <w:spacing w:line="360" w:lineRule="auto"/>
        <w:jc w:val="both"/>
        <w:rPr>
          <w:rFonts w:ascii="Arial" w:hAnsi="Arial" w:cs="Arial"/>
          <w:bCs/>
        </w:rPr>
      </w:pPr>
    </w:p>
    <w:p w14:paraId="0A7E92BB" w14:textId="68567A58" w:rsidR="00362387" w:rsidRPr="007A37E1" w:rsidRDefault="00362387" w:rsidP="00607997">
      <w:pPr>
        <w:tabs>
          <w:tab w:val="left" w:pos="709"/>
          <w:tab w:val="left" w:pos="1134"/>
          <w:tab w:val="left" w:pos="1418"/>
        </w:tabs>
        <w:spacing w:line="360" w:lineRule="auto"/>
        <w:jc w:val="both"/>
        <w:rPr>
          <w:rFonts w:ascii="Arial" w:hAnsi="Arial" w:cs="Arial"/>
          <w:bCs/>
        </w:rPr>
      </w:pPr>
    </w:p>
    <w:p w14:paraId="58A0805F" w14:textId="25DE81FD" w:rsidR="00362387" w:rsidRPr="007A37E1" w:rsidRDefault="00362387" w:rsidP="00607997">
      <w:pPr>
        <w:tabs>
          <w:tab w:val="left" w:pos="709"/>
          <w:tab w:val="left" w:pos="1134"/>
          <w:tab w:val="left" w:pos="1418"/>
        </w:tabs>
        <w:spacing w:line="360" w:lineRule="auto"/>
        <w:jc w:val="both"/>
        <w:rPr>
          <w:rFonts w:ascii="Arial" w:hAnsi="Arial" w:cs="Arial"/>
          <w:bCs/>
        </w:rPr>
      </w:pPr>
    </w:p>
    <w:p w14:paraId="642D91E9" w14:textId="6949D508" w:rsidR="00362387" w:rsidRPr="007A37E1" w:rsidRDefault="00362387" w:rsidP="00607997">
      <w:pPr>
        <w:tabs>
          <w:tab w:val="left" w:pos="709"/>
          <w:tab w:val="left" w:pos="1134"/>
          <w:tab w:val="left" w:pos="1418"/>
        </w:tabs>
        <w:spacing w:line="360" w:lineRule="auto"/>
        <w:jc w:val="both"/>
        <w:rPr>
          <w:rFonts w:ascii="Arial" w:hAnsi="Arial" w:cs="Arial"/>
          <w:bCs/>
        </w:rPr>
      </w:pPr>
    </w:p>
    <w:p w14:paraId="507E7670" w14:textId="671BDDDE" w:rsidR="00362387" w:rsidRPr="007A37E1" w:rsidRDefault="00362387" w:rsidP="00607997">
      <w:pPr>
        <w:tabs>
          <w:tab w:val="left" w:pos="709"/>
          <w:tab w:val="left" w:pos="1134"/>
          <w:tab w:val="left" w:pos="1418"/>
        </w:tabs>
        <w:spacing w:line="360" w:lineRule="auto"/>
        <w:jc w:val="both"/>
        <w:rPr>
          <w:rFonts w:ascii="Arial" w:hAnsi="Arial" w:cs="Arial"/>
          <w:bCs/>
        </w:rPr>
      </w:pPr>
    </w:p>
    <w:p w14:paraId="331B8503" w14:textId="7E1B4B2C" w:rsidR="00362387" w:rsidRPr="007A37E1" w:rsidRDefault="00362387" w:rsidP="00607997">
      <w:pPr>
        <w:tabs>
          <w:tab w:val="left" w:pos="709"/>
          <w:tab w:val="left" w:pos="1134"/>
          <w:tab w:val="left" w:pos="1418"/>
        </w:tabs>
        <w:spacing w:line="360" w:lineRule="auto"/>
        <w:jc w:val="both"/>
        <w:rPr>
          <w:rFonts w:ascii="Arial" w:hAnsi="Arial" w:cs="Arial"/>
          <w:bCs/>
        </w:rPr>
      </w:pPr>
    </w:p>
    <w:p w14:paraId="781FCAE5" w14:textId="3F8F4309" w:rsidR="00362387" w:rsidRPr="007A37E1" w:rsidRDefault="00362387" w:rsidP="00607997">
      <w:pPr>
        <w:tabs>
          <w:tab w:val="left" w:pos="709"/>
          <w:tab w:val="left" w:pos="1134"/>
          <w:tab w:val="left" w:pos="1418"/>
        </w:tabs>
        <w:spacing w:line="360" w:lineRule="auto"/>
        <w:jc w:val="both"/>
        <w:rPr>
          <w:rFonts w:ascii="Arial" w:hAnsi="Arial" w:cs="Arial"/>
          <w:bCs/>
        </w:rPr>
      </w:pPr>
    </w:p>
    <w:p w14:paraId="760B81A4" w14:textId="5B97F4B6" w:rsidR="00362387" w:rsidRPr="007A37E1" w:rsidRDefault="00362387" w:rsidP="00607997">
      <w:pPr>
        <w:tabs>
          <w:tab w:val="left" w:pos="709"/>
          <w:tab w:val="left" w:pos="1134"/>
          <w:tab w:val="left" w:pos="1418"/>
        </w:tabs>
        <w:spacing w:line="360" w:lineRule="auto"/>
        <w:jc w:val="both"/>
        <w:rPr>
          <w:rFonts w:ascii="Arial" w:hAnsi="Arial" w:cs="Arial"/>
          <w:bCs/>
        </w:rPr>
      </w:pPr>
    </w:p>
    <w:p w14:paraId="6F93DD48" w14:textId="6C4051D5" w:rsidR="00362387" w:rsidRPr="007A37E1" w:rsidRDefault="00362387" w:rsidP="00607997">
      <w:pPr>
        <w:tabs>
          <w:tab w:val="left" w:pos="709"/>
          <w:tab w:val="left" w:pos="1134"/>
          <w:tab w:val="left" w:pos="1418"/>
        </w:tabs>
        <w:spacing w:line="360" w:lineRule="auto"/>
        <w:jc w:val="both"/>
        <w:rPr>
          <w:rFonts w:ascii="Arial" w:hAnsi="Arial" w:cs="Arial"/>
          <w:bCs/>
        </w:rPr>
      </w:pPr>
    </w:p>
    <w:p w14:paraId="7A9050A3" w14:textId="0D1F74D4" w:rsidR="00362387" w:rsidRPr="007A37E1" w:rsidRDefault="00362387" w:rsidP="00607997">
      <w:pPr>
        <w:tabs>
          <w:tab w:val="left" w:pos="709"/>
          <w:tab w:val="left" w:pos="1134"/>
          <w:tab w:val="left" w:pos="1418"/>
        </w:tabs>
        <w:spacing w:line="360" w:lineRule="auto"/>
        <w:jc w:val="both"/>
        <w:rPr>
          <w:rFonts w:ascii="Arial" w:hAnsi="Arial" w:cs="Arial"/>
          <w:bCs/>
        </w:rPr>
      </w:pPr>
    </w:p>
    <w:p w14:paraId="0AD1906F" w14:textId="1BD8F372" w:rsidR="00362387" w:rsidRPr="007A37E1" w:rsidRDefault="00362387" w:rsidP="00607997">
      <w:pPr>
        <w:tabs>
          <w:tab w:val="left" w:pos="709"/>
          <w:tab w:val="left" w:pos="1134"/>
          <w:tab w:val="left" w:pos="1418"/>
        </w:tabs>
        <w:spacing w:line="360" w:lineRule="auto"/>
        <w:jc w:val="both"/>
        <w:rPr>
          <w:rFonts w:ascii="Arial" w:hAnsi="Arial" w:cs="Arial"/>
          <w:bCs/>
        </w:rPr>
      </w:pPr>
    </w:p>
    <w:p w14:paraId="6D002F35" w14:textId="35A215DC" w:rsidR="00362387" w:rsidRPr="007A37E1" w:rsidRDefault="00362387" w:rsidP="00607997">
      <w:pPr>
        <w:tabs>
          <w:tab w:val="left" w:pos="709"/>
          <w:tab w:val="left" w:pos="1134"/>
          <w:tab w:val="left" w:pos="1418"/>
        </w:tabs>
        <w:spacing w:line="360" w:lineRule="auto"/>
        <w:jc w:val="both"/>
        <w:rPr>
          <w:rFonts w:ascii="Arial" w:hAnsi="Arial" w:cs="Arial"/>
          <w:bCs/>
        </w:rPr>
      </w:pPr>
    </w:p>
    <w:p w14:paraId="262D6979" w14:textId="25F450D9" w:rsidR="00362387" w:rsidRPr="007A37E1" w:rsidRDefault="00362387" w:rsidP="00607997">
      <w:pPr>
        <w:tabs>
          <w:tab w:val="left" w:pos="709"/>
          <w:tab w:val="left" w:pos="1134"/>
          <w:tab w:val="left" w:pos="1418"/>
        </w:tabs>
        <w:spacing w:line="360" w:lineRule="auto"/>
        <w:jc w:val="both"/>
        <w:rPr>
          <w:rFonts w:ascii="Arial" w:hAnsi="Arial" w:cs="Arial"/>
          <w:bCs/>
        </w:rPr>
      </w:pPr>
    </w:p>
    <w:p w14:paraId="28CE6E73" w14:textId="6B239EF2" w:rsidR="00362387" w:rsidRPr="007A37E1" w:rsidRDefault="00362387" w:rsidP="00607997">
      <w:pPr>
        <w:tabs>
          <w:tab w:val="left" w:pos="709"/>
          <w:tab w:val="left" w:pos="1134"/>
          <w:tab w:val="left" w:pos="1418"/>
        </w:tabs>
        <w:spacing w:line="360" w:lineRule="auto"/>
        <w:jc w:val="both"/>
        <w:rPr>
          <w:rFonts w:ascii="Arial" w:hAnsi="Arial" w:cs="Arial"/>
          <w:bCs/>
        </w:rPr>
      </w:pPr>
    </w:p>
    <w:p w14:paraId="5095A4B9" w14:textId="6A8AE5D3" w:rsidR="00362387" w:rsidRPr="007A37E1" w:rsidRDefault="00362387" w:rsidP="00607997">
      <w:pPr>
        <w:tabs>
          <w:tab w:val="left" w:pos="709"/>
          <w:tab w:val="left" w:pos="1134"/>
          <w:tab w:val="left" w:pos="1418"/>
        </w:tabs>
        <w:spacing w:line="360" w:lineRule="auto"/>
        <w:jc w:val="both"/>
        <w:rPr>
          <w:rFonts w:ascii="Arial" w:hAnsi="Arial" w:cs="Arial"/>
          <w:bCs/>
        </w:rPr>
      </w:pPr>
    </w:p>
    <w:p w14:paraId="6D9FB434" w14:textId="16E924E7" w:rsidR="00362387" w:rsidRPr="007A37E1" w:rsidRDefault="00362387" w:rsidP="00607997">
      <w:pPr>
        <w:tabs>
          <w:tab w:val="left" w:pos="709"/>
          <w:tab w:val="left" w:pos="1134"/>
          <w:tab w:val="left" w:pos="1418"/>
        </w:tabs>
        <w:spacing w:line="360" w:lineRule="auto"/>
        <w:jc w:val="both"/>
        <w:rPr>
          <w:rFonts w:ascii="Arial" w:hAnsi="Arial" w:cs="Arial"/>
          <w:bCs/>
        </w:rPr>
      </w:pPr>
    </w:p>
    <w:p w14:paraId="4396CF33" w14:textId="77777777" w:rsidR="00362387" w:rsidRPr="007A37E1" w:rsidRDefault="00362387" w:rsidP="00607997">
      <w:pPr>
        <w:tabs>
          <w:tab w:val="left" w:pos="709"/>
          <w:tab w:val="left" w:pos="1134"/>
          <w:tab w:val="left" w:pos="1418"/>
        </w:tabs>
        <w:spacing w:line="360" w:lineRule="auto"/>
        <w:jc w:val="both"/>
        <w:rPr>
          <w:rFonts w:ascii="Arial" w:hAnsi="Arial" w:cs="Arial"/>
          <w:bCs/>
        </w:rPr>
      </w:pPr>
    </w:p>
    <w:p w14:paraId="06240156" w14:textId="77777777" w:rsidR="00607997" w:rsidRPr="007A37E1" w:rsidRDefault="00607997" w:rsidP="0001101D">
      <w:pPr>
        <w:pBdr>
          <w:bottom w:val="single" w:sz="12" w:space="1" w:color="auto"/>
        </w:pBdr>
        <w:rPr>
          <w:rFonts w:ascii="Arial" w:hAnsi="Arial" w:cs="Arial"/>
          <w:bCs/>
        </w:rPr>
      </w:pPr>
    </w:p>
    <w:p w14:paraId="45357C03" w14:textId="069BA982" w:rsidR="00607997" w:rsidRPr="007A37E1" w:rsidRDefault="00607997" w:rsidP="00607997">
      <w:pPr>
        <w:tabs>
          <w:tab w:val="left" w:pos="0"/>
        </w:tabs>
        <w:spacing w:after="120"/>
        <w:rPr>
          <w:rFonts w:ascii="Arial" w:hAnsi="Arial" w:cs="Arial"/>
          <w:bCs/>
        </w:rPr>
      </w:pPr>
      <w:r w:rsidRPr="007A37E1">
        <w:rPr>
          <w:rFonts w:ascii="Arial" w:hAnsi="Arial" w:cs="Arial"/>
          <w:bCs/>
        </w:rPr>
        <w:tab/>
      </w:r>
    </w:p>
    <w:p w14:paraId="42BECD88" w14:textId="77777777" w:rsidR="00B625EE" w:rsidRPr="007A37E1" w:rsidRDefault="00B625EE" w:rsidP="00607997">
      <w:pPr>
        <w:pBdr>
          <w:bottom w:val="single" w:sz="12" w:space="1" w:color="auto"/>
        </w:pBdr>
        <w:spacing w:line="360" w:lineRule="auto"/>
        <w:jc w:val="center"/>
        <w:rPr>
          <w:rFonts w:ascii="Arial" w:eastAsia="MS Mincho" w:hAnsi="Arial" w:cs="Arial"/>
          <w:b/>
        </w:rPr>
      </w:pPr>
      <w:r w:rsidRPr="007A37E1">
        <w:rPr>
          <w:rFonts w:ascii="Arial" w:eastAsia="MS Mincho" w:hAnsi="Arial" w:cs="Arial"/>
          <w:b/>
        </w:rPr>
        <w:t xml:space="preserve">ORDER </w:t>
      </w:r>
    </w:p>
    <w:p w14:paraId="2CDFC555" w14:textId="77777777" w:rsidR="00B625EE" w:rsidRPr="007A37E1" w:rsidRDefault="00B625EE" w:rsidP="004906B9">
      <w:pPr>
        <w:pBdr>
          <w:bottom w:val="single" w:sz="12" w:space="1" w:color="auto"/>
        </w:pBdr>
        <w:spacing w:line="360" w:lineRule="auto"/>
        <w:jc w:val="center"/>
        <w:rPr>
          <w:rFonts w:ascii="Arial" w:eastAsia="MS Mincho" w:hAnsi="Arial" w:cs="Arial"/>
          <w:b/>
          <w:sz w:val="16"/>
          <w:szCs w:val="16"/>
        </w:rPr>
      </w:pPr>
    </w:p>
    <w:p w14:paraId="1FA20913" w14:textId="77777777" w:rsidR="00B625EE" w:rsidRPr="007A37E1" w:rsidRDefault="00B625EE" w:rsidP="004906B9">
      <w:pPr>
        <w:spacing w:line="360" w:lineRule="auto"/>
        <w:jc w:val="both"/>
        <w:rPr>
          <w:rFonts w:ascii="Arial" w:eastAsia="MS Mincho" w:hAnsi="Arial" w:cs="Arial"/>
          <w:b/>
        </w:rPr>
      </w:pPr>
    </w:p>
    <w:p w14:paraId="0D3BBB59" w14:textId="10E4C7B6" w:rsidR="00B625EE" w:rsidRPr="007A37E1" w:rsidRDefault="00B625EE" w:rsidP="004906B9">
      <w:pPr>
        <w:spacing w:after="120" w:line="360" w:lineRule="auto"/>
        <w:jc w:val="both"/>
        <w:rPr>
          <w:rFonts w:ascii="Arial" w:hAnsi="Arial" w:cs="Arial"/>
          <w:bCs/>
        </w:rPr>
      </w:pPr>
      <w:r w:rsidRPr="007A37E1">
        <w:rPr>
          <w:rFonts w:ascii="Arial" w:hAnsi="Arial" w:cs="Arial"/>
          <w:b/>
          <w:bCs/>
        </w:rPr>
        <w:t xml:space="preserve">On appeal from: </w:t>
      </w:r>
      <w:r w:rsidR="006C2ED4" w:rsidRPr="007A37E1">
        <w:rPr>
          <w:rFonts w:ascii="Arial" w:hAnsi="Arial" w:cs="Arial"/>
          <w:bCs/>
        </w:rPr>
        <w:t>Gauteng</w:t>
      </w:r>
      <w:r w:rsidRPr="007A37E1">
        <w:rPr>
          <w:rFonts w:ascii="Arial" w:hAnsi="Arial" w:cs="Arial"/>
          <w:bCs/>
        </w:rPr>
        <w:t xml:space="preserve"> Division of the High Court, </w:t>
      </w:r>
      <w:r w:rsidR="008C5587" w:rsidRPr="007A37E1">
        <w:rPr>
          <w:rFonts w:ascii="Arial" w:hAnsi="Arial" w:cs="Arial"/>
          <w:bCs/>
        </w:rPr>
        <w:t>Pretoria</w:t>
      </w:r>
      <w:r w:rsidRPr="007A37E1">
        <w:rPr>
          <w:rFonts w:ascii="Arial" w:hAnsi="Arial" w:cs="Arial"/>
          <w:bCs/>
        </w:rPr>
        <w:t xml:space="preserve"> (</w:t>
      </w:r>
      <w:r w:rsidR="008C5587" w:rsidRPr="007A37E1">
        <w:rPr>
          <w:rFonts w:ascii="Arial" w:hAnsi="Arial" w:cs="Arial"/>
          <w:bCs/>
        </w:rPr>
        <w:t>Davis</w:t>
      </w:r>
      <w:r w:rsidR="006C2ED4" w:rsidRPr="007A37E1">
        <w:rPr>
          <w:rFonts w:ascii="Arial" w:hAnsi="Arial" w:cs="Arial"/>
          <w:bCs/>
        </w:rPr>
        <w:t xml:space="preserve"> </w:t>
      </w:r>
      <w:r w:rsidRPr="007A37E1">
        <w:rPr>
          <w:rFonts w:ascii="Arial" w:hAnsi="Arial" w:cs="Arial"/>
          <w:bCs/>
        </w:rPr>
        <w:t xml:space="preserve">J sitting as court of first instance): </w:t>
      </w:r>
    </w:p>
    <w:p w14:paraId="6497A599" w14:textId="41213F9F" w:rsidR="00D62D08" w:rsidRPr="007A37E1" w:rsidRDefault="00D62D08" w:rsidP="00D62D08">
      <w:pPr>
        <w:spacing w:line="360" w:lineRule="auto"/>
        <w:jc w:val="both"/>
        <w:rPr>
          <w:rFonts w:ascii="Arial" w:hAnsi="Arial" w:cs="Arial"/>
          <w:bCs/>
        </w:rPr>
      </w:pPr>
      <w:r w:rsidRPr="007A37E1">
        <w:rPr>
          <w:rFonts w:ascii="Arial" w:hAnsi="Arial" w:cs="Arial"/>
          <w:bCs/>
        </w:rPr>
        <w:t>1  The appeal is upheld</w:t>
      </w:r>
      <w:r w:rsidR="009626FF" w:rsidRPr="007A37E1">
        <w:rPr>
          <w:rFonts w:ascii="Arial" w:hAnsi="Arial" w:cs="Arial"/>
          <w:bCs/>
        </w:rPr>
        <w:t>.</w:t>
      </w:r>
    </w:p>
    <w:p w14:paraId="28B8DCB0" w14:textId="6EE24823" w:rsidR="00D62D08" w:rsidRPr="007A37E1" w:rsidRDefault="00D62D08" w:rsidP="00D62D08">
      <w:pPr>
        <w:spacing w:line="360" w:lineRule="auto"/>
        <w:jc w:val="both"/>
        <w:rPr>
          <w:rFonts w:ascii="Arial" w:hAnsi="Arial" w:cs="Arial"/>
          <w:bCs/>
        </w:rPr>
      </w:pPr>
      <w:r w:rsidRPr="007A37E1">
        <w:rPr>
          <w:rFonts w:ascii="Arial" w:hAnsi="Arial" w:cs="Arial"/>
          <w:bCs/>
        </w:rPr>
        <w:t>2  The high court’s orders are set aside and replaced with the following order:</w:t>
      </w:r>
    </w:p>
    <w:p w14:paraId="776948FE" w14:textId="053FA3D4" w:rsidR="000605B3" w:rsidRPr="007A37E1" w:rsidRDefault="00D62D08" w:rsidP="005A4F3D">
      <w:pPr>
        <w:spacing w:line="360" w:lineRule="auto"/>
        <w:jc w:val="both"/>
        <w:rPr>
          <w:rFonts w:ascii="Arial" w:hAnsi="Arial" w:cs="Arial"/>
          <w:bCs/>
        </w:rPr>
      </w:pPr>
      <w:r w:rsidRPr="007A37E1">
        <w:rPr>
          <w:rFonts w:ascii="Arial" w:hAnsi="Arial" w:cs="Arial"/>
          <w:bCs/>
        </w:rPr>
        <w:t>‘The application is dismissed</w:t>
      </w:r>
      <w:r w:rsidR="00E07B8C" w:rsidRPr="007A37E1">
        <w:rPr>
          <w:rFonts w:ascii="Arial" w:hAnsi="Arial" w:cs="Arial"/>
          <w:bCs/>
        </w:rPr>
        <w:t>.</w:t>
      </w:r>
      <w:r w:rsidRPr="007A37E1">
        <w:rPr>
          <w:rFonts w:ascii="Arial" w:hAnsi="Arial" w:cs="Arial"/>
          <w:bCs/>
        </w:rPr>
        <w:t>’</w:t>
      </w:r>
    </w:p>
    <w:p w14:paraId="5E152EE6" w14:textId="77777777" w:rsidR="004D3C80" w:rsidRPr="007A37E1" w:rsidRDefault="004D3C80" w:rsidP="004906B9">
      <w:pPr>
        <w:pBdr>
          <w:bottom w:val="single" w:sz="12" w:space="1" w:color="auto"/>
        </w:pBdr>
        <w:spacing w:line="360" w:lineRule="auto"/>
        <w:contextualSpacing/>
        <w:jc w:val="both"/>
        <w:rPr>
          <w:rFonts w:ascii="Arial" w:hAnsi="Arial" w:cs="Arial"/>
          <w:sz w:val="16"/>
          <w:szCs w:val="16"/>
        </w:rPr>
      </w:pPr>
    </w:p>
    <w:p w14:paraId="4757D57C" w14:textId="77777777" w:rsidR="00B625EE" w:rsidRPr="007A37E1" w:rsidRDefault="00B625EE" w:rsidP="004906B9">
      <w:pPr>
        <w:spacing w:line="360" w:lineRule="auto"/>
        <w:jc w:val="both"/>
        <w:rPr>
          <w:rFonts w:ascii="Arial" w:eastAsia="MS Mincho" w:hAnsi="Arial" w:cs="Arial"/>
          <w:b/>
          <w:sz w:val="16"/>
          <w:szCs w:val="16"/>
        </w:rPr>
      </w:pPr>
    </w:p>
    <w:p w14:paraId="0FA5D3EF" w14:textId="77777777" w:rsidR="00B625EE" w:rsidRPr="007A37E1" w:rsidRDefault="00B625EE" w:rsidP="00607997">
      <w:pPr>
        <w:pBdr>
          <w:bottom w:val="single" w:sz="12" w:space="1" w:color="auto"/>
        </w:pBdr>
        <w:spacing w:before="120" w:line="360" w:lineRule="auto"/>
        <w:jc w:val="center"/>
        <w:rPr>
          <w:rFonts w:ascii="Arial" w:hAnsi="Arial" w:cs="Arial"/>
          <w:b/>
        </w:rPr>
      </w:pPr>
      <w:r w:rsidRPr="007A37E1">
        <w:rPr>
          <w:rFonts w:ascii="Arial" w:hAnsi="Arial" w:cs="Arial"/>
          <w:b/>
        </w:rPr>
        <w:t>JUDGMENT</w:t>
      </w:r>
    </w:p>
    <w:p w14:paraId="67C04227" w14:textId="77777777" w:rsidR="00B625EE" w:rsidRPr="007A37E1" w:rsidRDefault="00B625EE" w:rsidP="004906B9">
      <w:pPr>
        <w:pBdr>
          <w:bottom w:val="single" w:sz="12" w:space="1" w:color="auto"/>
        </w:pBdr>
        <w:spacing w:line="360" w:lineRule="auto"/>
        <w:jc w:val="center"/>
        <w:rPr>
          <w:rFonts w:ascii="Arial" w:hAnsi="Arial" w:cs="Arial"/>
          <w:b/>
          <w:sz w:val="16"/>
          <w:szCs w:val="16"/>
        </w:rPr>
      </w:pPr>
    </w:p>
    <w:p w14:paraId="55B6B333" w14:textId="4742761F" w:rsidR="00B625EE" w:rsidRPr="007A37E1" w:rsidRDefault="00592592" w:rsidP="00607997">
      <w:pPr>
        <w:spacing w:before="240" w:line="360" w:lineRule="auto"/>
        <w:jc w:val="both"/>
        <w:rPr>
          <w:rFonts w:ascii="Arial" w:eastAsia="MS Mincho" w:hAnsi="Arial" w:cs="Arial"/>
          <w:b/>
          <w:u w:val="single"/>
        </w:rPr>
      </w:pPr>
      <w:r w:rsidRPr="007A37E1">
        <w:rPr>
          <w:rFonts w:ascii="Arial" w:eastAsia="MS Mincho" w:hAnsi="Arial" w:cs="Arial"/>
          <w:b/>
          <w:u w:val="single"/>
        </w:rPr>
        <w:t>THE COURT</w:t>
      </w:r>
      <w:r w:rsidRPr="007A37E1">
        <w:rPr>
          <w:rFonts w:ascii="Arial" w:eastAsia="MS Mincho" w:hAnsi="Arial" w:cs="Arial"/>
          <w:b/>
        </w:rPr>
        <w:t>:</w:t>
      </w:r>
    </w:p>
    <w:p w14:paraId="7F462105" w14:textId="58AB7E0F" w:rsidR="001D0B0A" w:rsidRPr="007A37E1" w:rsidRDefault="00592592" w:rsidP="00AD3424">
      <w:pPr>
        <w:spacing w:line="360" w:lineRule="auto"/>
        <w:ind w:left="1588" w:hanging="1588"/>
        <w:jc w:val="both"/>
        <w:rPr>
          <w:rFonts w:ascii="Arial" w:hAnsi="Arial" w:cs="Arial"/>
          <w:b/>
        </w:rPr>
      </w:pPr>
      <w:r w:rsidRPr="007A37E1">
        <w:rPr>
          <w:rFonts w:ascii="Arial" w:hAnsi="Arial" w:cs="Arial"/>
          <w:b/>
        </w:rPr>
        <w:t>Navsa, Ponnan and Mbatha JJA and Rogers and Unterhalter AJJA</w:t>
      </w:r>
    </w:p>
    <w:p w14:paraId="3639F7EA" w14:textId="2AD86D70" w:rsidR="00B70BB5" w:rsidRPr="007A37E1" w:rsidRDefault="00B70BB5" w:rsidP="00592592">
      <w:pPr>
        <w:spacing w:before="120" w:line="360" w:lineRule="auto"/>
        <w:ind w:left="1588" w:hanging="1588"/>
        <w:jc w:val="both"/>
        <w:rPr>
          <w:rFonts w:ascii="Arial" w:hAnsi="Arial" w:cs="Arial"/>
          <w:b/>
        </w:rPr>
      </w:pPr>
      <w:r w:rsidRPr="007A37E1">
        <w:rPr>
          <w:rFonts w:ascii="Arial" w:hAnsi="Arial" w:cs="Arial"/>
          <w:b/>
        </w:rPr>
        <w:t>Background</w:t>
      </w:r>
    </w:p>
    <w:p w14:paraId="14BBE6C5" w14:textId="45F8AD4F" w:rsidR="00B70BB5" w:rsidRPr="007A37E1" w:rsidRDefault="00B70BB5" w:rsidP="006748FE">
      <w:pPr>
        <w:tabs>
          <w:tab w:val="left" w:pos="284"/>
          <w:tab w:val="left" w:pos="851"/>
        </w:tabs>
        <w:spacing w:line="360" w:lineRule="auto"/>
        <w:jc w:val="both"/>
        <w:rPr>
          <w:rFonts w:ascii="Arial" w:hAnsi="Arial" w:cs="Arial"/>
        </w:rPr>
      </w:pPr>
      <w:r w:rsidRPr="007A37E1">
        <w:rPr>
          <w:rFonts w:ascii="Arial" w:hAnsi="Arial" w:cs="Arial"/>
        </w:rPr>
        <w:t>[1]</w:t>
      </w:r>
      <w:r w:rsidRPr="007A37E1">
        <w:rPr>
          <w:rFonts w:ascii="Arial" w:hAnsi="Arial" w:cs="Arial"/>
        </w:rPr>
        <w:tab/>
      </w:r>
      <w:r w:rsidRPr="007A37E1">
        <w:rPr>
          <w:rFonts w:ascii="Arial" w:hAnsi="Arial" w:cs="Arial"/>
        </w:rPr>
        <w:tab/>
        <w:t>This is an appeal against an order of the Gauteng Division of the High Court, Pretoria (Davis J), declaring</w:t>
      </w:r>
      <w:r w:rsidR="00655A0E" w:rsidRPr="007A37E1">
        <w:rPr>
          <w:rFonts w:ascii="Arial" w:hAnsi="Arial" w:cs="Arial"/>
        </w:rPr>
        <w:t xml:space="preserve"> </w:t>
      </w:r>
      <w:r w:rsidR="00311EFA" w:rsidRPr="007A37E1">
        <w:rPr>
          <w:rFonts w:ascii="Arial" w:hAnsi="Arial" w:cs="Arial"/>
        </w:rPr>
        <w:t xml:space="preserve">almost all of </w:t>
      </w:r>
      <w:r w:rsidRPr="007A37E1">
        <w:rPr>
          <w:rFonts w:ascii="Arial" w:hAnsi="Arial" w:cs="Arial"/>
        </w:rPr>
        <w:t xml:space="preserve">the regulations that the appellant, the </w:t>
      </w:r>
      <w:r w:rsidR="00ED5794" w:rsidRPr="007A37E1">
        <w:rPr>
          <w:rFonts w:ascii="Arial" w:hAnsi="Arial" w:cs="Arial"/>
        </w:rPr>
        <w:t>Minister of Cooperative Governance and Traditional Affairs (the Minister)</w:t>
      </w:r>
      <w:r w:rsidR="00DA3AE5" w:rsidRPr="007A37E1">
        <w:rPr>
          <w:rFonts w:ascii="Arial" w:hAnsi="Arial" w:cs="Arial"/>
        </w:rPr>
        <w:t>,</w:t>
      </w:r>
      <w:r w:rsidR="00ED5794" w:rsidRPr="007A37E1">
        <w:rPr>
          <w:rFonts w:ascii="Arial" w:hAnsi="Arial" w:cs="Arial"/>
        </w:rPr>
        <w:t xml:space="preserve"> promulgated under </w:t>
      </w:r>
      <w:r w:rsidR="00FE357D" w:rsidRPr="007A37E1">
        <w:rPr>
          <w:rFonts w:ascii="Arial" w:hAnsi="Arial" w:cs="Arial"/>
        </w:rPr>
        <w:t xml:space="preserve">        </w:t>
      </w:r>
      <w:r w:rsidR="00ED5794" w:rsidRPr="007A37E1">
        <w:rPr>
          <w:rFonts w:ascii="Arial" w:hAnsi="Arial" w:cs="Arial"/>
        </w:rPr>
        <w:t>s</w:t>
      </w:r>
      <w:r w:rsidRPr="007A37E1">
        <w:rPr>
          <w:rFonts w:ascii="Arial" w:hAnsi="Arial" w:cs="Arial"/>
        </w:rPr>
        <w:t xml:space="preserve"> 27(2) of the Disaster Management Act 57 of 2002 (the Act), unconstitutional and invalid. The first respondent is Mr Dawid </w:t>
      </w:r>
      <w:r w:rsidR="0001101D" w:rsidRPr="007A37E1">
        <w:rPr>
          <w:rFonts w:ascii="Arial" w:hAnsi="Arial" w:cs="Arial"/>
        </w:rPr>
        <w:t>d</w:t>
      </w:r>
      <w:r w:rsidRPr="007A37E1">
        <w:rPr>
          <w:rFonts w:ascii="Arial" w:hAnsi="Arial" w:cs="Arial"/>
        </w:rPr>
        <w:t xml:space="preserve">e Beer, who is a member and </w:t>
      </w:r>
      <w:r w:rsidR="007C4AD0" w:rsidRPr="007A37E1">
        <w:rPr>
          <w:rFonts w:ascii="Arial" w:hAnsi="Arial" w:cs="Arial"/>
        </w:rPr>
        <w:t>p</w:t>
      </w:r>
      <w:r w:rsidRPr="007A37E1">
        <w:rPr>
          <w:rFonts w:ascii="Arial" w:hAnsi="Arial" w:cs="Arial"/>
        </w:rPr>
        <w:t>resident of the second respondent, Liberty Fighters Network (the LFN), a non-governmental organi</w:t>
      </w:r>
      <w:r w:rsidR="0001101D" w:rsidRPr="007A37E1">
        <w:rPr>
          <w:rFonts w:ascii="Arial" w:hAnsi="Arial" w:cs="Arial"/>
        </w:rPr>
        <w:t>s</w:t>
      </w:r>
      <w:r w:rsidRPr="007A37E1">
        <w:rPr>
          <w:rFonts w:ascii="Arial" w:hAnsi="Arial" w:cs="Arial"/>
        </w:rPr>
        <w:t>ation, which acts primarily</w:t>
      </w:r>
      <w:r w:rsidR="00EB04CD" w:rsidRPr="007A37E1">
        <w:rPr>
          <w:rFonts w:ascii="Arial" w:hAnsi="Arial" w:cs="Arial"/>
        </w:rPr>
        <w:t xml:space="preserve"> as a tenants’ association. Mr d</w:t>
      </w:r>
      <w:r w:rsidRPr="007A37E1">
        <w:rPr>
          <w:rFonts w:ascii="Arial" w:hAnsi="Arial" w:cs="Arial"/>
        </w:rPr>
        <w:t>e Beer and the LFN engaged in the litigation culminating in the present appeal in their own interests as well as in the interests of members of the LFN and, purportedly</w:t>
      </w:r>
      <w:r w:rsidR="00FA5535" w:rsidRPr="007A37E1">
        <w:rPr>
          <w:rFonts w:ascii="Arial" w:hAnsi="Arial" w:cs="Arial"/>
        </w:rPr>
        <w:t>,</w:t>
      </w:r>
      <w:r w:rsidRPr="007A37E1">
        <w:rPr>
          <w:rFonts w:ascii="Arial" w:hAnsi="Arial" w:cs="Arial"/>
        </w:rPr>
        <w:t xml:space="preserve"> in the public interest. </w:t>
      </w:r>
      <w:r w:rsidR="00CC7600" w:rsidRPr="007A37E1">
        <w:rPr>
          <w:rFonts w:ascii="Arial" w:hAnsi="Arial" w:cs="Arial"/>
          <w:lang w:val="en-US"/>
        </w:rPr>
        <w:t>The Hola Bon Renaissance Foundation (HBF)</w:t>
      </w:r>
      <w:r w:rsidR="005A4F3D" w:rsidRPr="007A37E1">
        <w:rPr>
          <w:rFonts w:ascii="Arial" w:hAnsi="Arial" w:cs="Arial"/>
          <w:lang w:val="en-US"/>
        </w:rPr>
        <w:t xml:space="preserve"> participated </w:t>
      </w:r>
      <w:r w:rsidR="00D35AB7" w:rsidRPr="007A37E1">
        <w:rPr>
          <w:rFonts w:ascii="Arial" w:hAnsi="Arial" w:cs="Arial"/>
          <w:lang w:val="en-US"/>
        </w:rPr>
        <w:t xml:space="preserve">as an amicus </w:t>
      </w:r>
      <w:r w:rsidR="00CC7600" w:rsidRPr="007A37E1">
        <w:rPr>
          <w:rFonts w:ascii="Arial" w:hAnsi="Arial" w:cs="Arial"/>
          <w:lang w:val="en-US"/>
        </w:rPr>
        <w:t>curiae in the court below.</w:t>
      </w:r>
      <w:r w:rsidR="007867CC" w:rsidRPr="007A37E1">
        <w:rPr>
          <w:rFonts w:ascii="Arial" w:hAnsi="Arial" w:cs="Arial"/>
          <w:lang w:val="en-US"/>
        </w:rPr>
        <w:t xml:space="preserve"> </w:t>
      </w:r>
      <w:r w:rsidRPr="007A37E1">
        <w:rPr>
          <w:rFonts w:ascii="Arial" w:hAnsi="Arial" w:cs="Arial"/>
        </w:rPr>
        <w:t>The Council for the Advancement of the</w:t>
      </w:r>
      <w:r w:rsidR="00643B45" w:rsidRPr="007A37E1">
        <w:rPr>
          <w:rFonts w:ascii="Arial" w:hAnsi="Arial" w:cs="Arial"/>
        </w:rPr>
        <w:t xml:space="preserve"> </w:t>
      </w:r>
      <w:r w:rsidR="009857D2" w:rsidRPr="007A37E1">
        <w:rPr>
          <w:rFonts w:ascii="Arial" w:hAnsi="Arial" w:cs="Arial"/>
        </w:rPr>
        <w:t>South African</w:t>
      </w:r>
      <w:r w:rsidRPr="007A37E1">
        <w:rPr>
          <w:rFonts w:ascii="Arial" w:hAnsi="Arial" w:cs="Arial"/>
        </w:rPr>
        <w:t xml:space="preserve"> Constitution </w:t>
      </w:r>
      <w:r w:rsidR="009857D2" w:rsidRPr="007A37E1">
        <w:rPr>
          <w:rFonts w:ascii="Arial" w:hAnsi="Arial" w:cs="Arial"/>
        </w:rPr>
        <w:t>(</w:t>
      </w:r>
      <w:r w:rsidRPr="007A37E1">
        <w:rPr>
          <w:rFonts w:ascii="Arial" w:hAnsi="Arial" w:cs="Arial"/>
        </w:rPr>
        <w:t>CA</w:t>
      </w:r>
      <w:r w:rsidR="009857D2" w:rsidRPr="007A37E1">
        <w:rPr>
          <w:rFonts w:ascii="Arial" w:hAnsi="Arial" w:cs="Arial"/>
        </w:rPr>
        <w:t>SA</w:t>
      </w:r>
      <w:r w:rsidRPr="007A37E1">
        <w:rPr>
          <w:rFonts w:ascii="Arial" w:hAnsi="Arial" w:cs="Arial"/>
        </w:rPr>
        <w:t>C) was admitted to this appeal as amicus curiae</w:t>
      </w:r>
      <w:r w:rsidR="00CC7600" w:rsidRPr="007A37E1">
        <w:rPr>
          <w:rFonts w:ascii="Arial" w:hAnsi="Arial" w:cs="Arial"/>
        </w:rPr>
        <w:t>.</w:t>
      </w:r>
    </w:p>
    <w:p w14:paraId="0790D5CF" w14:textId="5DE6E3BB" w:rsidR="00B70BB5" w:rsidRPr="007A37E1" w:rsidRDefault="00B70BB5" w:rsidP="00B70BB5">
      <w:pPr>
        <w:tabs>
          <w:tab w:val="left" w:pos="284"/>
        </w:tabs>
        <w:spacing w:line="360" w:lineRule="auto"/>
        <w:jc w:val="both"/>
        <w:rPr>
          <w:rFonts w:ascii="Arial" w:hAnsi="Arial" w:cs="Arial"/>
        </w:rPr>
      </w:pPr>
    </w:p>
    <w:p w14:paraId="7DBB5FD6" w14:textId="35D27000" w:rsidR="004F6A46" w:rsidRPr="007A37E1" w:rsidRDefault="004F6A46" w:rsidP="007759EF">
      <w:pPr>
        <w:tabs>
          <w:tab w:val="left" w:pos="284"/>
          <w:tab w:val="left" w:pos="851"/>
        </w:tabs>
        <w:spacing w:line="360" w:lineRule="auto"/>
        <w:jc w:val="both"/>
        <w:rPr>
          <w:rFonts w:ascii="Arial" w:hAnsi="Arial" w:cs="Arial"/>
        </w:rPr>
      </w:pPr>
      <w:r w:rsidRPr="007A37E1">
        <w:rPr>
          <w:rFonts w:ascii="Arial" w:hAnsi="Arial" w:cs="Arial"/>
        </w:rPr>
        <w:lastRenderedPageBreak/>
        <w:t>[2]</w:t>
      </w:r>
      <w:r w:rsidRPr="007A37E1">
        <w:rPr>
          <w:rFonts w:ascii="Arial" w:hAnsi="Arial" w:cs="Arial"/>
        </w:rPr>
        <w:tab/>
      </w:r>
      <w:r w:rsidRPr="007A37E1">
        <w:rPr>
          <w:rFonts w:ascii="Arial" w:hAnsi="Arial" w:cs="Arial"/>
        </w:rPr>
        <w:tab/>
      </w:r>
      <w:r w:rsidR="00FA5535" w:rsidRPr="007A37E1">
        <w:rPr>
          <w:rFonts w:ascii="Arial" w:hAnsi="Arial" w:cs="Arial"/>
        </w:rPr>
        <w:t>T</w:t>
      </w:r>
      <w:r w:rsidR="00214A44" w:rsidRPr="007A37E1">
        <w:rPr>
          <w:rFonts w:ascii="Arial" w:hAnsi="Arial" w:cs="Arial"/>
        </w:rPr>
        <w:t>his case</w:t>
      </w:r>
      <w:r w:rsidR="007071E4" w:rsidRPr="007A37E1">
        <w:rPr>
          <w:rFonts w:ascii="Arial" w:hAnsi="Arial" w:cs="Arial"/>
        </w:rPr>
        <w:t>, as we will show,</w:t>
      </w:r>
      <w:r w:rsidR="00214A44" w:rsidRPr="007A37E1">
        <w:rPr>
          <w:rFonts w:ascii="Arial" w:hAnsi="Arial" w:cs="Arial"/>
        </w:rPr>
        <w:t xml:space="preserve"> is an </w:t>
      </w:r>
      <w:r w:rsidR="008C7F7D" w:rsidRPr="007A37E1">
        <w:rPr>
          <w:rFonts w:ascii="Arial" w:hAnsi="Arial" w:cs="Arial"/>
        </w:rPr>
        <w:t xml:space="preserve">object lesson </w:t>
      </w:r>
      <w:r w:rsidR="00FA5535" w:rsidRPr="007A37E1">
        <w:rPr>
          <w:rFonts w:ascii="Arial" w:hAnsi="Arial" w:cs="Arial"/>
        </w:rPr>
        <w:t>as to how a constitutional challenge to promulgated regulations should not be brought.</w:t>
      </w:r>
      <w:r w:rsidR="00253CFB" w:rsidRPr="007A37E1">
        <w:rPr>
          <w:rFonts w:ascii="Arial" w:hAnsi="Arial" w:cs="Arial"/>
        </w:rPr>
        <w:t xml:space="preserve"> </w:t>
      </w:r>
      <w:r w:rsidR="000A4300" w:rsidRPr="007A37E1">
        <w:rPr>
          <w:rFonts w:ascii="Arial" w:hAnsi="Arial" w:cs="Arial"/>
        </w:rPr>
        <w:t>I</w:t>
      </w:r>
      <w:r w:rsidR="002C750D" w:rsidRPr="007A37E1">
        <w:rPr>
          <w:rFonts w:ascii="Arial" w:hAnsi="Arial" w:cs="Arial"/>
        </w:rPr>
        <w:t>t also serves to demonstrate that</w:t>
      </w:r>
      <w:r w:rsidR="00265F01" w:rsidRPr="007A37E1">
        <w:rPr>
          <w:rFonts w:ascii="Arial" w:hAnsi="Arial" w:cs="Arial"/>
        </w:rPr>
        <w:t xml:space="preserve"> there should be</w:t>
      </w:r>
      <w:r w:rsidR="002C750D" w:rsidRPr="007A37E1">
        <w:rPr>
          <w:rFonts w:ascii="Arial" w:hAnsi="Arial" w:cs="Arial"/>
        </w:rPr>
        <w:t xml:space="preserve"> a </w:t>
      </w:r>
      <w:r w:rsidR="008F4D4C" w:rsidRPr="007A37E1">
        <w:rPr>
          <w:rFonts w:ascii="Arial" w:hAnsi="Arial" w:cs="Arial"/>
        </w:rPr>
        <w:t>disciplined</w:t>
      </w:r>
      <w:r w:rsidR="002C750D" w:rsidRPr="007A37E1">
        <w:rPr>
          <w:rFonts w:ascii="Arial" w:hAnsi="Arial" w:cs="Arial"/>
        </w:rPr>
        <w:t xml:space="preserve"> and </w:t>
      </w:r>
      <w:r w:rsidR="00265F01" w:rsidRPr="007A37E1">
        <w:rPr>
          <w:rFonts w:ascii="Arial" w:hAnsi="Arial" w:cs="Arial"/>
        </w:rPr>
        <w:t xml:space="preserve">cautious curial response, lest </w:t>
      </w:r>
      <w:r w:rsidR="00AD3424" w:rsidRPr="007A37E1">
        <w:rPr>
          <w:rFonts w:ascii="Arial" w:hAnsi="Arial" w:cs="Arial"/>
        </w:rPr>
        <w:t>diffuse</w:t>
      </w:r>
      <w:r w:rsidR="005A7B81" w:rsidRPr="007A37E1">
        <w:rPr>
          <w:rFonts w:ascii="Arial" w:hAnsi="Arial" w:cs="Arial"/>
        </w:rPr>
        <w:t>, rhetoric</w:t>
      </w:r>
      <w:r w:rsidR="003967BE" w:rsidRPr="007A37E1">
        <w:rPr>
          <w:rFonts w:ascii="Arial" w:hAnsi="Arial" w:cs="Arial"/>
        </w:rPr>
        <w:t>-</w:t>
      </w:r>
      <w:r w:rsidR="005A7B81" w:rsidRPr="007A37E1">
        <w:rPr>
          <w:rFonts w:ascii="Arial" w:hAnsi="Arial" w:cs="Arial"/>
        </w:rPr>
        <w:t>laden</w:t>
      </w:r>
      <w:r w:rsidR="00F4237C" w:rsidRPr="007A37E1">
        <w:rPr>
          <w:rFonts w:ascii="Arial" w:hAnsi="Arial" w:cs="Arial"/>
        </w:rPr>
        <w:t>, emotive</w:t>
      </w:r>
      <w:r w:rsidR="005A7B81" w:rsidRPr="007A37E1">
        <w:rPr>
          <w:rFonts w:ascii="Arial" w:hAnsi="Arial" w:cs="Arial"/>
        </w:rPr>
        <w:t xml:space="preserve"> and </w:t>
      </w:r>
      <w:r w:rsidR="008F4D4C" w:rsidRPr="007A37E1">
        <w:rPr>
          <w:rFonts w:ascii="Arial" w:hAnsi="Arial" w:cs="Arial"/>
        </w:rPr>
        <w:t>jurisprudentially unfocused</w:t>
      </w:r>
      <w:r w:rsidR="000A4300" w:rsidRPr="007A37E1">
        <w:rPr>
          <w:rFonts w:ascii="Arial" w:hAnsi="Arial" w:cs="Arial"/>
        </w:rPr>
        <w:t xml:space="preserve"> litigation is </w:t>
      </w:r>
      <w:r w:rsidR="00AA262F" w:rsidRPr="007A37E1">
        <w:rPr>
          <w:rFonts w:ascii="Arial" w:hAnsi="Arial" w:cs="Arial"/>
        </w:rPr>
        <w:t>encouraged.</w:t>
      </w:r>
      <w:r w:rsidR="003967BE" w:rsidRPr="007A37E1">
        <w:rPr>
          <w:rFonts w:ascii="Arial" w:hAnsi="Arial" w:cs="Arial"/>
        </w:rPr>
        <w:t xml:space="preserve"> All the more so in this case</w:t>
      </w:r>
      <w:r w:rsidR="00F177F3" w:rsidRPr="007A37E1">
        <w:rPr>
          <w:rFonts w:ascii="Arial" w:hAnsi="Arial" w:cs="Arial"/>
        </w:rPr>
        <w:t>,</w:t>
      </w:r>
      <w:r w:rsidR="003967BE" w:rsidRPr="007A37E1">
        <w:rPr>
          <w:rFonts w:ascii="Arial" w:hAnsi="Arial" w:cs="Arial"/>
        </w:rPr>
        <w:t xml:space="preserve"> as it raises issues of </w:t>
      </w:r>
      <w:r w:rsidR="00B34D53" w:rsidRPr="007A37E1">
        <w:rPr>
          <w:rFonts w:ascii="Arial" w:hAnsi="Arial" w:cs="Arial"/>
        </w:rPr>
        <w:t>national and international importance.</w:t>
      </w:r>
      <w:r w:rsidR="00AA262F" w:rsidRPr="007A37E1">
        <w:rPr>
          <w:rFonts w:ascii="Arial" w:hAnsi="Arial" w:cs="Arial"/>
        </w:rPr>
        <w:t xml:space="preserve"> </w:t>
      </w:r>
      <w:r w:rsidRPr="007A37E1">
        <w:rPr>
          <w:rFonts w:ascii="Arial" w:hAnsi="Arial" w:cs="Arial"/>
        </w:rPr>
        <w:t xml:space="preserve">Before </w:t>
      </w:r>
      <w:r w:rsidR="00B52999" w:rsidRPr="007A37E1">
        <w:rPr>
          <w:rFonts w:ascii="Arial" w:hAnsi="Arial" w:cs="Arial"/>
        </w:rPr>
        <w:t>exploring the background</w:t>
      </w:r>
      <w:r w:rsidR="008238DC" w:rsidRPr="007A37E1">
        <w:rPr>
          <w:rFonts w:ascii="Arial" w:hAnsi="Arial" w:cs="Arial"/>
        </w:rPr>
        <w:t xml:space="preserve"> to the appeal</w:t>
      </w:r>
      <w:r w:rsidR="00B52999" w:rsidRPr="007A37E1">
        <w:rPr>
          <w:rFonts w:ascii="Arial" w:hAnsi="Arial" w:cs="Arial"/>
        </w:rPr>
        <w:t xml:space="preserve"> in detail</w:t>
      </w:r>
      <w:r w:rsidR="00FA5535" w:rsidRPr="007A37E1">
        <w:rPr>
          <w:rFonts w:ascii="Arial" w:hAnsi="Arial" w:cs="Arial"/>
        </w:rPr>
        <w:t>,</w:t>
      </w:r>
      <w:r w:rsidR="00B52999" w:rsidRPr="007A37E1">
        <w:rPr>
          <w:rFonts w:ascii="Arial" w:hAnsi="Arial" w:cs="Arial"/>
        </w:rPr>
        <w:t xml:space="preserve"> it is necessary to set out</w:t>
      </w:r>
      <w:r w:rsidR="00CA1A88" w:rsidRPr="007A37E1">
        <w:rPr>
          <w:rFonts w:ascii="Arial" w:hAnsi="Arial" w:cs="Arial"/>
        </w:rPr>
        <w:t xml:space="preserve"> the material parts of</w:t>
      </w:r>
      <w:r w:rsidR="00B52999" w:rsidRPr="007A37E1">
        <w:rPr>
          <w:rFonts w:ascii="Arial" w:hAnsi="Arial" w:cs="Arial"/>
        </w:rPr>
        <w:t xml:space="preserve"> the order sought by the respondents</w:t>
      </w:r>
      <w:r w:rsidR="00694D07" w:rsidRPr="007A37E1">
        <w:rPr>
          <w:rFonts w:ascii="Arial" w:hAnsi="Arial" w:cs="Arial"/>
        </w:rPr>
        <w:t xml:space="preserve"> in their </w:t>
      </w:r>
      <w:r w:rsidR="00CA1A88" w:rsidRPr="007A37E1">
        <w:rPr>
          <w:rFonts w:ascii="Arial" w:hAnsi="Arial" w:cs="Arial"/>
        </w:rPr>
        <w:t>n</w:t>
      </w:r>
      <w:r w:rsidR="00694D07" w:rsidRPr="007A37E1">
        <w:rPr>
          <w:rFonts w:ascii="Arial" w:hAnsi="Arial" w:cs="Arial"/>
        </w:rPr>
        <w:t xml:space="preserve">otice of </w:t>
      </w:r>
      <w:r w:rsidR="00CA1A88" w:rsidRPr="007A37E1">
        <w:rPr>
          <w:rFonts w:ascii="Arial" w:hAnsi="Arial" w:cs="Arial"/>
        </w:rPr>
        <w:t>m</w:t>
      </w:r>
      <w:r w:rsidR="00694D07" w:rsidRPr="007A37E1">
        <w:rPr>
          <w:rFonts w:ascii="Arial" w:hAnsi="Arial" w:cs="Arial"/>
        </w:rPr>
        <w:t>otion:</w:t>
      </w:r>
    </w:p>
    <w:p w14:paraId="2C38D019" w14:textId="5B6D2B3C" w:rsidR="00F302F0" w:rsidRPr="007A37E1" w:rsidRDefault="00AD3424" w:rsidP="00AD3424">
      <w:pPr>
        <w:tabs>
          <w:tab w:val="left" w:pos="284"/>
          <w:tab w:val="left" w:pos="567"/>
        </w:tabs>
        <w:spacing w:after="120" w:line="360" w:lineRule="auto"/>
        <w:jc w:val="both"/>
        <w:rPr>
          <w:rFonts w:ascii="Arial" w:hAnsi="Arial" w:cs="Arial"/>
          <w:sz w:val="22"/>
          <w:szCs w:val="22"/>
        </w:rPr>
      </w:pPr>
      <w:r w:rsidRPr="007A37E1">
        <w:rPr>
          <w:rFonts w:ascii="Arial" w:hAnsi="Arial" w:cs="Arial"/>
          <w:sz w:val="22"/>
          <w:szCs w:val="22"/>
        </w:rPr>
        <w:t>‘</w:t>
      </w:r>
      <w:r w:rsidR="00F302F0" w:rsidRPr="007A37E1">
        <w:rPr>
          <w:rFonts w:ascii="Arial" w:hAnsi="Arial" w:cs="Arial"/>
          <w:sz w:val="22"/>
          <w:szCs w:val="22"/>
        </w:rPr>
        <w:t>3.</w:t>
      </w:r>
      <w:r w:rsidRPr="007A37E1">
        <w:rPr>
          <w:rFonts w:ascii="Arial" w:hAnsi="Arial" w:cs="Arial"/>
          <w:sz w:val="22"/>
          <w:szCs w:val="22"/>
        </w:rPr>
        <w:tab/>
      </w:r>
      <w:r w:rsidRPr="007A37E1">
        <w:rPr>
          <w:rFonts w:ascii="Arial" w:hAnsi="Arial" w:cs="Arial"/>
          <w:sz w:val="22"/>
          <w:szCs w:val="22"/>
        </w:rPr>
        <w:tab/>
      </w:r>
      <w:r w:rsidR="00355E06" w:rsidRPr="007A37E1">
        <w:rPr>
          <w:rFonts w:ascii="Arial" w:hAnsi="Arial" w:cs="Arial"/>
          <w:sz w:val="22"/>
          <w:szCs w:val="22"/>
        </w:rPr>
        <w:t xml:space="preserve">An order that the national state of disaster </w:t>
      </w:r>
      <w:r w:rsidR="0026020A" w:rsidRPr="007A37E1">
        <w:rPr>
          <w:rFonts w:ascii="Arial" w:hAnsi="Arial" w:cs="Arial"/>
          <w:sz w:val="22"/>
          <w:szCs w:val="22"/>
        </w:rPr>
        <w:t xml:space="preserve">proclaimed by the [Minister] </w:t>
      </w:r>
      <w:r w:rsidR="00B72349" w:rsidRPr="007A37E1">
        <w:rPr>
          <w:rFonts w:ascii="Arial" w:hAnsi="Arial" w:cs="Arial"/>
          <w:sz w:val="22"/>
          <w:szCs w:val="22"/>
        </w:rPr>
        <w:t xml:space="preserve">in GN No. 313 GG No. 43096 dated 15 March 2020 </w:t>
      </w:r>
      <w:r w:rsidR="004714F0" w:rsidRPr="007A37E1">
        <w:rPr>
          <w:rFonts w:ascii="Arial" w:hAnsi="Arial" w:cs="Arial"/>
          <w:sz w:val="22"/>
          <w:szCs w:val="22"/>
        </w:rPr>
        <w:t>in terms of Section 27(1) of the Disaster Management Act</w:t>
      </w:r>
      <w:r w:rsidRPr="007A37E1">
        <w:rPr>
          <w:rFonts w:ascii="Arial" w:hAnsi="Arial" w:cs="Arial"/>
          <w:sz w:val="22"/>
          <w:szCs w:val="22"/>
        </w:rPr>
        <w:t>, 2002 (Act</w:t>
      </w:r>
      <w:r w:rsidR="003B2395" w:rsidRPr="007A37E1">
        <w:rPr>
          <w:rFonts w:ascii="Arial" w:hAnsi="Arial" w:cs="Arial"/>
          <w:sz w:val="22"/>
          <w:szCs w:val="22"/>
        </w:rPr>
        <w:t xml:space="preserve"> No.</w:t>
      </w:r>
      <w:r w:rsidR="004714F0" w:rsidRPr="007A37E1">
        <w:rPr>
          <w:rFonts w:ascii="Arial" w:hAnsi="Arial" w:cs="Arial"/>
          <w:sz w:val="22"/>
          <w:szCs w:val="22"/>
        </w:rPr>
        <w:t xml:space="preserve"> </w:t>
      </w:r>
      <w:r w:rsidR="006771BE" w:rsidRPr="007A37E1">
        <w:rPr>
          <w:rFonts w:ascii="Arial" w:hAnsi="Arial" w:cs="Arial"/>
          <w:sz w:val="22"/>
          <w:szCs w:val="22"/>
        </w:rPr>
        <w:t>57 of 2002</w:t>
      </w:r>
      <w:r w:rsidR="003B2395" w:rsidRPr="007A37E1">
        <w:rPr>
          <w:rFonts w:ascii="Arial" w:hAnsi="Arial" w:cs="Arial"/>
          <w:sz w:val="22"/>
          <w:szCs w:val="22"/>
        </w:rPr>
        <w:t>) -</w:t>
      </w:r>
      <w:r w:rsidR="006771BE" w:rsidRPr="007A37E1">
        <w:rPr>
          <w:rFonts w:ascii="Arial" w:hAnsi="Arial" w:cs="Arial"/>
          <w:sz w:val="22"/>
          <w:szCs w:val="22"/>
        </w:rPr>
        <w:t xml:space="preserve"> hereafter referred to as </w:t>
      </w:r>
      <w:r w:rsidR="00296BB6" w:rsidRPr="007A37E1">
        <w:rPr>
          <w:rFonts w:ascii="Arial" w:hAnsi="Arial" w:cs="Arial"/>
          <w:sz w:val="22"/>
          <w:szCs w:val="22"/>
        </w:rPr>
        <w:t xml:space="preserve">the </w:t>
      </w:r>
      <w:r w:rsidR="003B2395" w:rsidRPr="007A37E1">
        <w:rPr>
          <w:rFonts w:ascii="Arial" w:hAnsi="Arial" w:cs="Arial"/>
          <w:sz w:val="22"/>
          <w:szCs w:val="22"/>
        </w:rPr>
        <w:t>“</w:t>
      </w:r>
      <w:r w:rsidR="00296BB6" w:rsidRPr="007A37E1">
        <w:rPr>
          <w:rFonts w:ascii="Arial" w:hAnsi="Arial" w:cs="Arial"/>
          <w:sz w:val="22"/>
          <w:szCs w:val="22"/>
        </w:rPr>
        <w:t>DMA</w:t>
      </w:r>
      <w:r w:rsidR="003B2395" w:rsidRPr="007A37E1">
        <w:rPr>
          <w:rFonts w:ascii="Arial" w:hAnsi="Arial" w:cs="Arial"/>
          <w:sz w:val="22"/>
          <w:szCs w:val="22"/>
        </w:rPr>
        <w:t>”</w:t>
      </w:r>
      <w:r w:rsidR="00296BB6" w:rsidRPr="007A37E1">
        <w:rPr>
          <w:rFonts w:ascii="Arial" w:hAnsi="Arial" w:cs="Arial"/>
          <w:sz w:val="22"/>
          <w:szCs w:val="22"/>
        </w:rPr>
        <w:t xml:space="preserve"> </w:t>
      </w:r>
      <w:r w:rsidR="00050EEE" w:rsidRPr="007A37E1">
        <w:rPr>
          <w:rFonts w:ascii="Arial" w:hAnsi="Arial" w:cs="Arial"/>
          <w:sz w:val="22"/>
          <w:szCs w:val="22"/>
        </w:rPr>
        <w:t xml:space="preserve">- </w:t>
      </w:r>
      <w:r w:rsidR="00296BB6" w:rsidRPr="007A37E1">
        <w:rPr>
          <w:rFonts w:ascii="Arial" w:hAnsi="Arial" w:cs="Arial"/>
          <w:sz w:val="22"/>
          <w:szCs w:val="22"/>
        </w:rPr>
        <w:t xml:space="preserve">is declared as </w:t>
      </w:r>
      <w:r w:rsidR="003B2395" w:rsidRPr="007A37E1">
        <w:rPr>
          <w:rFonts w:ascii="Arial" w:hAnsi="Arial" w:cs="Arial"/>
          <w:sz w:val="22"/>
          <w:szCs w:val="22"/>
        </w:rPr>
        <w:t>u</w:t>
      </w:r>
      <w:r w:rsidR="00296BB6" w:rsidRPr="007A37E1">
        <w:rPr>
          <w:rFonts w:ascii="Arial" w:hAnsi="Arial" w:cs="Arial"/>
          <w:sz w:val="22"/>
          <w:szCs w:val="22"/>
        </w:rPr>
        <w:t>nconstitutional, unlawful and invalid;</w:t>
      </w:r>
      <w:r w:rsidR="00F302F0" w:rsidRPr="007A37E1">
        <w:rPr>
          <w:rFonts w:ascii="Arial" w:hAnsi="Arial" w:cs="Arial"/>
          <w:sz w:val="22"/>
          <w:szCs w:val="22"/>
        </w:rPr>
        <w:t xml:space="preserve"> and</w:t>
      </w:r>
    </w:p>
    <w:p w14:paraId="5C8D758E" w14:textId="629D5B60" w:rsidR="00DD7DCA" w:rsidRPr="007A37E1" w:rsidRDefault="00C533FF" w:rsidP="00AD3424">
      <w:pPr>
        <w:tabs>
          <w:tab w:val="left" w:pos="284"/>
          <w:tab w:val="left" w:pos="567"/>
        </w:tabs>
        <w:spacing w:after="120" w:line="360" w:lineRule="auto"/>
        <w:jc w:val="both"/>
        <w:rPr>
          <w:rFonts w:ascii="Arial" w:hAnsi="Arial" w:cs="Arial"/>
          <w:sz w:val="22"/>
          <w:szCs w:val="22"/>
        </w:rPr>
      </w:pPr>
      <w:r w:rsidRPr="007A37E1">
        <w:rPr>
          <w:rFonts w:ascii="Arial" w:hAnsi="Arial" w:cs="Arial"/>
          <w:sz w:val="22"/>
          <w:szCs w:val="22"/>
        </w:rPr>
        <w:t xml:space="preserve">4. </w:t>
      </w:r>
      <w:r w:rsidR="00AD3424" w:rsidRPr="007A37E1">
        <w:rPr>
          <w:rFonts w:ascii="Arial" w:hAnsi="Arial" w:cs="Arial"/>
          <w:sz w:val="22"/>
          <w:szCs w:val="22"/>
        </w:rPr>
        <w:tab/>
      </w:r>
      <w:r w:rsidR="00AD3424" w:rsidRPr="007A37E1">
        <w:rPr>
          <w:rFonts w:ascii="Arial" w:hAnsi="Arial" w:cs="Arial"/>
          <w:sz w:val="22"/>
          <w:szCs w:val="22"/>
        </w:rPr>
        <w:tab/>
      </w:r>
      <w:r w:rsidRPr="007A37E1">
        <w:rPr>
          <w:rFonts w:ascii="Arial" w:hAnsi="Arial" w:cs="Arial"/>
          <w:sz w:val="22"/>
          <w:szCs w:val="22"/>
        </w:rPr>
        <w:t xml:space="preserve">That </w:t>
      </w:r>
      <w:r w:rsidRPr="007A37E1">
        <w:rPr>
          <w:rFonts w:ascii="Arial" w:hAnsi="Arial" w:cs="Arial"/>
          <w:i/>
          <w:iCs/>
          <w:sz w:val="22"/>
          <w:szCs w:val="22"/>
        </w:rPr>
        <w:t xml:space="preserve">all </w:t>
      </w:r>
      <w:r w:rsidRPr="007A37E1">
        <w:rPr>
          <w:rFonts w:ascii="Arial" w:hAnsi="Arial" w:cs="Arial"/>
          <w:sz w:val="22"/>
          <w:szCs w:val="22"/>
        </w:rPr>
        <w:t>the DMA</w:t>
      </w:r>
      <w:r w:rsidR="004714F0" w:rsidRPr="007A37E1">
        <w:rPr>
          <w:rFonts w:ascii="Arial" w:hAnsi="Arial" w:cs="Arial"/>
          <w:sz w:val="22"/>
          <w:szCs w:val="22"/>
        </w:rPr>
        <w:t xml:space="preserve"> </w:t>
      </w:r>
      <w:r w:rsidRPr="007A37E1">
        <w:rPr>
          <w:rFonts w:ascii="Arial" w:hAnsi="Arial" w:cs="Arial"/>
          <w:sz w:val="22"/>
          <w:szCs w:val="22"/>
        </w:rPr>
        <w:t>Regulations promulgated</w:t>
      </w:r>
      <w:r w:rsidR="0067583A" w:rsidRPr="007A37E1">
        <w:rPr>
          <w:rFonts w:ascii="Arial" w:hAnsi="Arial" w:cs="Arial"/>
          <w:sz w:val="22"/>
          <w:szCs w:val="22"/>
        </w:rPr>
        <w:t xml:space="preserve"> by the [Minister] in terms of Section 27(2</w:t>
      </w:r>
      <w:r w:rsidR="00411B85" w:rsidRPr="007A37E1">
        <w:rPr>
          <w:rFonts w:ascii="Arial" w:hAnsi="Arial" w:cs="Arial"/>
          <w:sz w:val="22"/>
          <w:szCs w:val="22"/>
        </w:rPr>
        <w:t>) of the DMA since 18 March 2020, be declared as unconstitutional</w:t>
      </w:r>
      <w:r w:rsidR="00DD7DCA" w:rsidRPr="007A37E1">
        <w:rPr>
          <w:rFonts w:ascii="Arial" w:hAnsi="Arial" w:cs="Arial"/>
          <w:sz w:val="22"/>
          <w:szCs w:val="22"/>
        </w:rPr>
        <w:t>, unlawful and invalid; and</w:t>
      </w:r>
    </w:p>
    <w:p w14:paraId="2130E2C3" w14:textId="2B63DE73" w:rsidR="00BB1BE0" w:rsidRPr="007A37E1" w:rsidRDefault="00DD7DCA" w:rsidP="00AD3424">
      <w:pPr>
        <w:tabs>
          <w:tab w:val="left" w:pos="284"/>
          <w:tab w:val="left" w:pos="567"/>
        </w:tabs>
        <w:spacing w:after="120" w:line="360" w:lineRule="auto"/>
        <w:jc w:val="both"/>
        <w:rPr>
          <w:rFonts w:ascii="Arial" w:hAnsi="Arial" w:cs="Arial"/>
          <w:sz w:val="22"/>
          <w:szCs w:val="22"/>
        </w:rPr>
      </w:pPr>
      <w:r w:rsidRPr="007A37E1">
        <w:rPr>
          <w:rFonts w:ascii="Arial" w:hAnsi="Arial" w:cs="Arial"/>
          <w:sz w:val="22"/>
          <w:szCs w:val="22"/>
        </w:rPr>
        <w:t xml:space="preserve">5. </w:t>
      </w:r>
      <w:r w:rsidR="00AD3424" w:rsidRPr="007A37E1">
        <w:rPr>
          <w:rFonts w:ascii="Arial" w:hAnsi="Arial" w:cs="Arial"/>
          <w:sz w:val="22"/>
          <w:szCs w:val="22"/>
        </w:rPr>
        <w:tab/>
      </w:r>
      <w:r w:rsidR="00AD3424" w:rsidRPr="007A37E1">
        <w:rPr>
          <w:rFonts w:ascii="Arial" w:hAnsi="Arial" w:cs="Arial"/>
          <w:sz w:val="22"/>
          <w:szCs w:val="22"/>
        </w:rPr>
        <w:tab/>
      </w:r>
      <w:r w:rsidR="00B4496C" w:rsidRPr="007A37E1">
        <w:rPr>
          <w:rFonts w:ascii="Arial" w:hAnsi="Arial" w:cs="Arial"/>
          <w:sz w:val="22"/>
          <w:szCs w:val="22"/>
        </w:rPr>
        <w:t>In the alternative to para</w:t>
      </w:r>
      <w:r w:rsidR="00E777B9" w:rsidRPr="007A37E1">
        <w:rPr>
          <w:rFonts w:ascii="Arial" w:hAnsi="Arial" w:cs="Arial"/>
          <w:sz w:val="22"/>
          <w:szCs w:val="22"/>
        </w:rPr>
        <w:t>graph</w:t>
      </w:r>
      <w:r w:rsidR="00B4496C" w:rsidRPr="007A37E1">
        <w:rPr>
          <w:rFonts w:ascii="Arial" w:hAnsi="Arial" w:cs="Arial"/>
          <w:sz w:val="22"/>
          <w:szCs w:val="22"/>
        </w:rPr>
        <w:t xml:space="preserve">s 3 and 4 </w:t>
      </w:r>
      <w:r w:rsidR="00B4496C" w:rsidRPr="007A37E1">
        <w:rPr>
          <w:rFonts w:ascii="Arial" w:hAnsi="Arial" w:cs="Arial"/>
          <w:i/>
          <w:iCs/>
          <w:sz w:val="22"/>
          <w:szCs w:val="22"/>
        </w:rPr>
        <w:t>supra</w:t>
      </w:r>
      <w:r w:rsidR="005334BB" w:rsidRPr="007A37E1">
        <w:rPr>
          <w:rFonts w:ascii="Arial" w:hAnsi="Arial" w:cs="Arial"/>
          <w:sz w:val="22"/>
          <w:szCs w:val="22"/>
        </w:rPr>
        <w:t>, ordering that all gatherings as defined in the Regulation of Gatherings Act</w:t>
      </w:r>
      <w:r w:rsidR="003B2395" w:rsidRPr="007A37E1">
        <w:rPr>
          <w:rFonts w:ascii="Arial" w:hAnsi="Arial" w:cs="Arial"/>
          <w:sz w:val="22"/>
          <w:szCs w:val="22"/>
        </w:rPr>
        <w:t>, 1993 (Act No.</w:t>
      </w:r>
      <w:r w:rsidR="005334BB" w:rsidRPr="007A37E1">
        <w:rPr>
          <w:rFonts w:ascii="Arial" w:hAnsi="Arial" w:cs="Arial"/>
          <w:sz w:val="22"/>
          <w:szCs w:val="22"/>
        </w:rPr>
        <w:t xml:space="preserve"> 205 of 1993</w:t>
      </w:r>
      <w:r w:rsidR="003B2395" w:rsidRPr="007A37E1">
        <w:rPr>
          <w:rFonts w:ascii="Arial" w:hAnsi="Arial" w:cs="Arial"/>
          <w:sz w:val="22"/>
          <w:szCs w:val="22"/>
        </w:rPr>
        <w:t>),</w:t>
      </w:r>
      <w:r w:rsidR="005334BB" w:rsidRPr="007A37E1">
        <w:rPr>
          <w:rFonts w:ascii="Arial" w:hAnsi="Arial" w:cs="Arial"/>
          <w:sz w:val="22"/>
          <w:szCs w:val="22"/>
        </w:rPr>
        <w:t xml:space="preserve"> </w:t>
      </w:r>
      <w:r w:rsidR="00144655" w:rsidRPr="007A37E1">
        <w:rPr>
          <w:rFonts w:ascii="Arial" w:hAnsi="Arial" w:cs="Arial"/>
          <w:sz w:val="22"/>
          <w:szCs w:val="22"/>
        </w:rPr>
        <w:t xml:space="preserve">are lawful and ordering that the processes </w:t>
      </w:r>
      <w:r w:rsidR="003B2395" w:rsidRPr="007A37E1">
        <w:rPr>
          <w:rFonts w:ascii="Arial" w:hAnsi="Arial" w:cs="Arial"/>
          <w:sz w:val="22"/>
          <w:szCs w:val="22"/>
        </w:rPr>
        <w:t xml:space="preserve">as </w:t>
      </w:r>
      <w:r w:rsidR="00144655" w:rsidRPr="007A37E1">
        <w:rPr>
          <w:rFonts w:ascii="Arial" w:hAnsi="Arial" w:cs="Arial"/>
          <w:sz w:val="22"/>
          <w:szCs w:val="22"/>
        </w:rPr>
        <w:t>set out in that Act</w:t>
      </w:r>
      <w:r w:rsidR="00E20705" w:rsidRPr="007A37E1">
        <w:rPr>
          <w:rFonts w:ascii="Arial" w:hAnsi="Arial" w:cs="Arial"/>
          <w:sz w:val="22"/>
          <w:szCs w:val="22"/>
        </w:rPr>
        <w:t>, if complied with, would render any gathering lawful</w:t>
      </w:r>
      <w:r w:rsidR="00BB1BE0" w:rsidRPr="007A37E1">
        <w:rPr>
          <w:rFonts w:ascii="Arial" w:hAnsi="Arial" w:cs="Arial"/>
          <w:sz w:val="22"/>
          <w:szCs w:val="22"/>
        </w:rPr>
        <w:t>.</w:t>
      </w:r>
    </w:p>
    <w:p w14:paraId="034CEC79" w14:textId="65AF119E" w:rsidR="002F3801" w:rsidRPr="007A37E1" w:rsidRDefault="00BB1BE0" w:rsidP="007867CC">
      <w:pPr>
        <w:tabs>
          <w:tab w:val="left" w:pos="284"/>
          <w:tab w:val="left" w:pos="567"/>
        </w:tabs>
        <w:spacing w:after="120" w:line="360" w:lineRule="auto"/>
        <w:jc w:val="both"/>
        <w:rPr>
          <w:rFonts w:ascii="Arial" w:hAnsi="Arial" w:cs="Arial"/>
          <w:sz w:val="22"/>
          <w:szCs w:val="22"/>
        </w:rPr>
      </w:pPr>
      <w:r w:rsidRPr="007A37E1">
        <w:rPr>
          <w:rFonts w:ascii="Arial" w:hAnsi="Arial" w:cs="Arial"/>
          <w:sz w:val="22"/>
          <w:szCs w:val="22"/>
        </w:rPr>
        <w:t xml:space="preserve">6. </w:t>
      </w:r>
      <w:r w:rsidR="00AD3424" w:rsidRPr="007A37E1">
        <w:rPr>
          <w:rFonts w:ascii="Arial" w:hAnsi="Arial" w:cs="Arial"/>
          <w:sz w:val="22"/>
          <w:szCs w:val="22"/>
        </w:rPr>
        <w:tab/>
      </w:r>
      <w:r w:rsidR="00AD3424" w:rsidRPr="007A37E1">
        <w:rPr>
          <w:rFonts w:ascii="Arial" w:hAnsi="Arial" w:cs="Arial"/>
          <w:sz w:val="22"/>
          <w:szCs w:val="22"/>
        </w:rPr>
        <w:tab/>
        <w:t>I</w:t>
      </w:r>
      <w:r w:rsidRPr="007A37E1">
        <w:rPr>
          <w:rFonts w:ascii="Arial" w:hAnsi="Arial" w:cs="Arial"/>
          <w:sz w:val="22"/>
          <w:szCs w:val="22"/>
        </w:rPr>
        <w:t>n the alternative to paragraphs 3 and 4, and in addition</w:t>
      </w:r>
      <w:r w:rsidR="006E55D8" w:rsidRPr="007A37E1">
        <w:rPr>
          <w:rFonts w:ascii="Arial" w:hAnsi="Arial" w:cs="Arial"/>
          <w:sz w:val="22"/>
          <w:szCs w:val="22"/>
        </w:rPr>
        <w:t xml:space="preserve"> to paragraph 5 </w:t>
      </w:r>
      <w:r w:rsidR="006E55D8" w:rsidRPr="007A37E1">
        <w:rPr>
          <w:rFonts w:ascii="Arial" w:hAnsi="Arial" w:cs="Arial"/>
          <w:i/>
          <w:iCs/>
          <w:sz w:val="22"/>
          <w:szCs w:val="22"/>
        </w:rPr>
        <w:t>supra</w:t>
      </w:r>
      <w:r w:rsidR="00B10C1E" w:rsidRPr="007A37E1">
        <w:rPr>
          <w:rFonts w:ascii="Arial" w:hAnsi="Arial" w:cs="Arial"/>
          <w:sz w:val="22"/>
          <w:szCs w:val="22"/>
        </w:rPr>
        <w:t>, that all businesses, services and shops be allowed to operate</w:t>
      </w:r>
      <w:r w:rsidR="00E56A03" w:rsidRPr="007A37E1">
        <w:rPr>
          <w:rFonts w:ascii="Arial" w:hAnsi="Arial" w:cs="Arial"/>
          <w:sz w:val="22"/>
          <w:szCs w:val="22"/>
        </w:rPr>
        <w:t xml:space="preserve"> further, having regard to the reasonable</w:t>
      </w:r>
      <w:r w:rsidR="00924E7E" w:rsidRPr="007A37E1">
        <w:rPr>
          <w:rFonts w:ascii="Arial" w:hAnsi="Arial" w:cs="Arial"/>
          <w:sz w:val="22"/>
          <w:szCs w:val="22"/>
        </w:rPr>
        <w:t xml:space="preserve">  </w:t>
      </w:r>
      <w:r w:rsidR="00766431" w:rsidRPr="007A37E1">
        <w:rPr>
          <w:rFonts w:ascii="Arial" w:hAnsi="Arial" w:cs="Arial"/>
          <w:sz w:val="22"/>
          <w:szCs w:val="22"/>
        </w:rPr>
        <w:t>precautionary measure</w:t>
      </w:r>
      <w:r w:rsidR="003B2395" w:rsidRPr="007A37E1">
        <w:rPr>
          <w:rFonts w:ascii="Arial" w:hAnsi="Arial" w:cs="Arial"/>
          <w:sz w:val="22"/>
          <w:szCs w:val="22"/>
        </w:rPr>
        <w:t>s</w:t>
      </w:r>
      <w:r w:rsidR="00766431" w:rsidRPr="007A37E1">
        <w:rPr>
          <w:rFonts w:ascii="Arial" w:hAnsi="Arial" w:cs="Arial"/>
          <w:sz w:val="22"/>
          <w:szCs w:val="22"/>
        </w:rPr>
        <w:t xml:space="preserve"> of utilising masks, gloves and hand saniti</w:t>
      </w:r>
      <w:r w:rsidR="003B2395" w:rsidRPr="007A37E1">
        <w:rPr>
          <w:rFonts w:ascii="Arial" w:hAnsi="Arial" w:cs="Arial"/>
          <w:sz w:val="22"/>
          <w:szCs w:val="22"/>
        </w:rPr>
        <w:t>z</w:t>
      </w:r>
      <w:r w:rsidR="00766431" w:rsidRPr="007A37E1">
        <w:rPr>
          <w:rFonts w:ascii="Arial" w:hAnsi="Arial" w:cs="Arial"/>
          <w:sz w:val="22"/>
          <w:szCs w:val="22"/>
        </w:rPr>
        <w:t>ers</w:t>
      </w:r>
      <w:r w:rsidR="00DC2DF9" w:rsidRPr="007A37E1">
        <w:rPr>
          <w:rFonts w:ascii="Arial" w:hAnsi="Arial" w:cs="Arial"/>
          <w:sz w:val="22"/>
          <w:szCs w:val="22"/>
        </w:rPr>
        <w:t xml:space="preserve">, until the Respondent has consulted with the </w:t>
      </w:r>
      <w:r w:rsidR="003B2395" w:rsidRPr="007A37E1">
        <w:rPr>
          <w:rFonts w:ascii="Arial" w:hAnsi="Arial" w:cs="Arial"/>
          <w:sz w:val="22"/>
          <w:szCs w:val="22"/>
        </w:rPr>
        <w:t>E</w:t>
      </w:r>
      <w:r w:rsidR="00DC2DF9" w:rsidRPr="007A37E1">
        <w:rPr>
          <w:rFonts w:ascii="Arial" w:hAnsi="Arial" w:cs="Arial"/>
          <w:sz w:val="22"/>
          <w:szCs w:val="22"/>
        </w:rPr>
        <w:t xml:space="preserve">ssential Services </w:t>
      </w:r>
      <w:r w:rsidR="003B2395" w:rsidRPr="007A37E1">
        <w:rPr>
          <w:rFonts w:ascii="Arial" w:hAnsi="Arial" w:cs="Arial"/>
          <w:sz w:val="22"/>
          <w:szCs w:val="22"/>
        </w:rPr>
        <w:t>Committee (ESC) as intended in S</w:t>
      </w:r>
      <w:r w:rsidR="00DC2DF9" w:rsidRPr="007A37E1">
        <w:rPr>
          <w:rFonts w:ascii="Arial" w:hAnsi="Arial" w:cs="Arial"/>
          <w:sz w:val="22"/>
          <w:szCs w:val="22"/>
        </w:rPr>
        <w:t xml:space="preserve">ection 70 of </w:t>
      </w:r>
      <w:r w:rsidR="00EB4177" w:rsidRPr="007A37E1">
        <w:rPr>
          <w:rFonts w:ascii="Arial" w:hAnsi="Arial" w:cs="Arial"/>
          <w:sz w:val="22"/>
          <w:szCs w:val="22"/>
        </w:rPr>
        <w:t>the Labour Relations Act</w:t>
      </w:r>
      <w:r w:rsidR="003B2395" w:rsidRPr="007A37E1">
        <w:rPr>
          <w:rFonts w:ascii="Arial" w:hAnsi="Arial" w:cs="Arial"/>
          <w:sz w:val="22"/>
          <w:szCs w:val="22"/>
        </w:rPr>
        <w:t>, 1995 (Act</w:t>
      </w:r>
      <w:r w:rsidR="00EB4177" w:rsidRPr="007A37E1">
        <w:rPr>
          <w:rFonts w:ascii="Arial" w:hAnsi="Arial" w:cs="Arial"/>
          <w:sz w:val="22"/>
          <w:szCs w:val="22"/>
        </w:rPr>
        <w:t xml:space="preserve"> </w:t>
      </w:r>
      <w:r w:rsidR="00E777B9" w:rsidRPr="007A37E1">
        <w:rPr>
          <w:rFonts w:ascii="Arial" w:hAnsi="Arial" w:cs="Arial"/>
          <w:sz w:val="22"/>
          <w:szCs w:val="22"/>
        </w:rPr>
        <w:t xml:space="preserve">No. </w:t>
      </w:r>
      <w:r w:rsidR="00EB4177" w:rsidRPr="007A37E1">
        <w:rPr>
          <w:rFonts w:ascii="Arial" w:hAnsi="Arial" w:cs="Arial"/>
          <w:sz w:val="22"/>
          <w:szCs w:val="22"/>
        </w:rPr>
        <w:t>66 of 1995</w:t>
      </w:r>
      <w:r w:rsidR="003B2395" w:rsidRPr="007A37E1">
        <w:rPr>
          <w:rFonts w:ascii="Arial" w:hAnsi="Arial" w:cs="Arial"/>
          <w:sz w:val="22"/>
          <w:szCs w:val="22"/>
        </w:rPr>
        <w:t>)</w:t>
      </w:r>
      <w:r w:rsidR="00EB4177" w:rsidRPr="007A37E1">
        <w:rPr>
          <w:rFonts w:ascii="Arial" w:hAnsi="Arial" w:cs="Arial"/>
          <w:sz w:val="22"/>
          <w:szCs w:val="22"/>
        </w:rPr>
        <w:t xml:space="preserve"> and the ESC has legally declared any one or more</w:t>
      </w:r>
      <w:r w:rsidR="003B2395" w:rsidRPr="007A37E1">
        <w:rPr>
          <w:rFonts w:ascii="Arial" w:hAnsi="Arial" w:cs="Arial"/>
          <w:sz w:val="22"/>
          <w:szCs w:val="22"/>
        </w:rPr>
        <w:t xml:space="preserve"> service as an essential service</w:t>
      </w:r>
      <w:r w:rsidR="00EB4177" w:rsidRPr="007A37E1">
        <w:rPr>
          <w:rFonts w:ascii="Arial" w:hAnsi="Arial" w:cs="Arial"/>
          <w:sz w:val="22"/>
          <w:szCs w:val="22"/>
        </w:rPr>
        <w:t xml:space="preserve"> to be included in any valid DMA Regulations further; and/or </w:t>
      </w:r>
    </w:p>
    <w:p w14:paraId="0279D6CC" w14:textId="523AF3C1" w:rsidR="00C47AF4" w:rsidRPr="007A37E1" w:rsidRDefault="003B2395" w:rsidP="003B2395">
      <w:pPr>
        <w:tabs>
          <w:tab w:val="left" w:pos="284"/>
          <w:tab w:val="left" w:pos="567"/>
        </w:tabs>
        <w:spacing w:line="360" w:lineRule="auto"/>
        <w:jc w:val="both"/>
        <w:rPr>
          <w:rFonts w:ascii="Arial" w:hAnsi="Arial" w:cs="Arial"/>
        </w:rPr>
      </w:pPr>
      <w:r w:rsidRPr="007A37E1">
        <w:rPr>
          <w:rFonts w:ascii="Arial" w:hAnsi="Arial" w:cs="Arial"/>
          <w:sz w:val="22"/>
          <w:szCs w:val="22"/>
        </w:rPr>
        <w:t>7.</w:t>
      </w:r>
      <w:r w:rsidRPr="007A37E1">
        <w:rPr>
          <w:rFonts w:ascii="Arial" w:hAnsi="Arial" w:cs="Arial"/>
          <w:sz w:val="22"/>
          <w:szCs w:val="22"/>
        </w:rPr>
        <w:tab/>
      </w:r>
      <w:r w:rsidRPr="007A37E1">
        <w:rPr>
          <w:rFonts w:ascii="Arial" w:hAnsi="Arial" w:cs="Arial"/>
          <w:sz w:val="22"/>
          <w:szCs w:val="22"/>
        </w:rPr>
        <w:tab/>
      </w:r>
      <w:r w:rsidR="002F3801" w:rsidRPr="007A37E1">
        <w:rPr>
          <w:rFonts w:ascii="Arial" w:hAnsi="Arial" w:cs="Arial"/>
          <w:sz w:val="22"/>
          <w:szCs w:val="22"/>
        </w:rPr>
        <w:t>In the alternative to paragraphs</w:t>
      </w:r>
      <w:r w:rsidR="006E6107" w:rsidRPr="007A37E1">
        <w:rPr>
          <w:rFonts w:ascii="Arial" w:hAnsi="Arial" w:cs="Arial"/>
          <w:sz w:val="22"/>
          <w:szCs w:val="22"/>
        </w:rPr>
        <w:t xml:space="preserve"> 3 and 4 and in addition to paragraphs 4, 5 and 6 </w:t>
      </w:r>
      <w:r w:rsidR="006E6107" w:rsidRPr="007A37E1">
        <w:rPr>
          <w:rFonts w:ascii="Arial" w:hAnsi="Arial" w:cs="Arial"/>
          <w:i/>
          <w:iCs/>
          <w:sz w:val="22"/>
          <w:szCs w:val="22"/>
        </w:rPr>
        <w:t>supra</w:t>
      </w:r>
      <w:r w:rsidR="006E6107" w:rsidRPr="007A37E1">
        <w:rPr>
          <w:rFonts w:ascii="Arial" w:hAnsi="Arial" w:cs="Arial"/>
          <w:sz w:val="22"/>
          <w:szCs w:val="22"/>
        </w:rPr>
        <w:t>, all other gatherings be al</w:t>
      </w:r>
      <w:r w:rsidR="00DA3AE5" w:rsidRPr="007A37E1">
        <w:rPr>
          <w:rFonts w:ascii="Arial" w:hAnsi="Arial" w:cs="Arial"/>
          <w:sz w:val="22"/>
          <w:szCs w:val="22"/>
        </w:rPr>
        <w:t>lowed, observing</w:t>
      </w:r>
      <w:r w:rsidR="00D324F2" w:rsidRPr="007A37E1">
        <w:rPr>
          <w:rFonts w:ascii="Arial" w:hAnsi="Arial" w:cs="Arial"/>
          <w:sz w:val="22"/>
          <w:szCs w:val="22"/>
        </w:rPr>
        <w:t xml:space="preserve"> the reasonable precautionary measures of utilising masks, gloves and</w:t>
      </w:r>
      <w:r w:rsidR="009C72EC" w:rsidRPr="007A37E1">
        <w:rPr>
          <w:rFonts w:ascii="Arial" w:hAnsi="Arial" w:cs="Arial"/>
          <w:sz w:val="22"/>
          <w:szCs w:val="22"/>
        </w:rPr>
        <w:t xml:space="preserve"> hand sanitisers.’</w:t>
      </w:r>
      <w:r w:rsidR="00FE3DBE" w:rsidRPr="007A37E1">
        <w:rPr>
          <w:rFonts w:ascii="Arial" w:hAnsi="Arial" w:cs="Arial"/>
          <w:sz w:val="22"/>
          <w:szCs w:val="22"/>
        </w:rPr>
        <w:t xml:space="preserve"> (Our emphasis.)</w:t>
      </w:r>
    </w:p>
    <w:p w14:paraId="1DBE23A0" w14:textId="77777777" w:rsidR="006624D3" w:rsidRPr="007A37E1" w:rsidRDefault="006624D3" w:rsidP="006624D3">
      <w:pPr>
        <w:tabs>
          <w:tab w:val="left" w:pos="284"/>
        </w:tabs>
        <w:spacing w:line="360" w:lineRule="auto"/>
        <w:jc w:val="both"/>
        <w:rPr>
          <w:rFonts w:ascii="Arial" w:hAnsi="Arial" w:cs="Arial"/>
          <w:sz w:val="22"/>
          <w:szCs w:val="22"/>
        </w:rPr>
      </w:pPr>
    </w:p>
    <w:p w14:paraId="7FEC441E" w14:textId="66141873" w:rsidR="005D6CE6" w:rsidRPr="007A37E1" w:rsidRDefault="006624D3" w:rsidP="006748FE">
      <w:pPr>
        <w:tabs>
          <w:tab w:val="left" w:pos="284"/>
          <w:tab w:val="left" w:pos="567"/>
          <w:tab w:val="left" w:pos="851"/>
        </w:tabs>
        <w:spacing w:line="360" w:lineRule="auto"/>
        <w:jc w:val="both"/>
        <w:rPr>
          <w:rFonts w:ascii="Arial" w:hAnsi="Arial" w:cs="Arial"/>
          <w:sz w:val="22"/>
          <w:szCs w:val="22"/>
        </w:rPr>
      </w:pPr>
      <w:r w:rsidRPr="007A37E1">
        <w:rPr>
          <w:rFonts w:ascii="Arial" w:hAnsi="Arial" w:cs="Arial"/>
        </w:rPr>
        <w:t>[3]</w:t>
      </w:r>
      <w:r w:rsidRPr="007A37E1">
        <w:rPr>
          <w:rFonts w:ascii="Arial" w:hAnsi="Arial" w:cs="Arial"/>
        </w:rPr>
        <w:tab/>
      </w:r>
      <w:r w:rsidRPr="007A37E1">
        <w:rPr>
          <w:rFonts w:ascii="Arial" w:hAnsi="Arial" w:cs="Arial"/>
        </w:rPr>
        <w:tab/>
      </w:r>
      <w:r w:rsidR="006748FE" w:rsidRPr="007A37E1">
        <w:rPr>
          <w:rFonts w:ascii="Arial" w:hAnsi="Arial" w:cs="Arial"/>
        </w:rPr>
        <w:tab/>
      </w:r>
      <w:r w:rsidRPr="007A37E1">
        <w:rPr>
          <w:rFonts w:ascii="Arial" w:hAnsi="Arial" w:cs="Arial"/>
        </w:rPr>
        <w:t>For</w:t>
      </w:r>
      <w:r w:rsidR="009E6219" w:rsidRPr="007A37E1">
        <w:rPr>
          <w:rFonts w:ascii="Arial" w:hAnsi="Arial" w:cs="Arial"/>
        </w:rPr>
        <w:t xml:space="preserve"> </w:t>
      </w:r>
      <w:r w:rsidRPr="007A37E1">
        <w:rPr>
          <w:rFonts w:ascii="Arial" w:hAnsi="Arial" w:cs="Arial"/>
        </w:rPr>
        <w:t>reasons that will become apparent</w:t>
      </w:r>
      <w:r w:rsidR="00546A9A" w:rsidRPr="007A37E1">
        <w:rPr>
          <w:rFonts w:ascii="Arial" w:hAnsi="Arial" w:cs="Arial"/>
        </w:rPr>
        <w:t>,</w:t>
      </w:r>
      <w:r w:rsidR="00E83F78" w:rsidRPr="007A37E1">
        <w:rPr>
          <w:rFonts w:ascii="Arial" w:hAnsi="Arial" w:cs="Arial"/>
        </w:rPr>
        <w:t xml:space="preserve"> and for a better appreciation of the issues</w:t>
      </w:r>
      <w:r w:rsidRPr="007A37E1">
        <w:rPr>
          <w:rFonts w:ascii="Arial" w:hAnsi="Arial" w:cs="Arial"/>
        </w:rPr>
        <w:t>, it is necessary</w:t>
      </w:r>
      <w:r w:rsidR="00E83F78" w:rsidRPr="007A37E1">
        <w:rPr>
          <w:rFonts w:ascii="Arial" w:hAnsi="Arial" w:cs="Arial"/>
        </w:rPr>
        <w:t xml:space="preserve"> </w:t>
      </w:r>
      <w:r w:rsidR="00023317" w:rsidRPr="007A37E1">
        <w:rPr>
          <w:rFonts w:ascii="Arial" w:hAnsi="Arial" w:cs="Arial"/>
        </w:rPr>
        <w:t xml:space="preserve">to have regard to the </w:t>
      </w:r>
      <w:r w:rsidR="0091473C" w:rsidRPr="007A37E1">
        <w:rPr>
          <w:rFonts w:ascii="Arial" w:hAnsi="Arial" w:cs="Arial"/>
        </w:rPr>
        <w:t xml:space="preserve">totality of the </w:t>
      </w:r>
      <w:r w:rsidR="00023317" w:rsidRPr="007A37E1">
        <w:rPr>
          <w:rFonts w:ascii="Arial" w:hAnsi="Arial" w:cs="Arial"/>
        </w:rPr>
        <w:t>order made by the high court</w:t>
      </w:r>
      <w:r w:rsidR="0091473C" w:rsidRPr="007A37E1">
        <w:rPr>
          <w:rFonts w:ascii="Arial" w:hAnsi="Arial" w:cs="Arial"/>
        </w:rPr>
        <w:t>,</w:t>
      </w:r>
      <w:r w:rsidR="00023317" w:rsidRPr="007A37E1">
        <w:rPr>
          <w:rFonts w:ascii="Arial" w:hAnsi="Arial" w:cs="Arial"/>
        </w:rPr>
        <w:t xml:space="preserve"> which is the subject of t</w:t>
      </w:r>
      <w:r w:rsidR="00697997" w:rsidRPr="007A37E1">
        <w:rPr>
          <w:rFonts w:ascii="Arial" w:hAnsi="Arial" w:cs="Arial"/>
        </w:rPr>
        <w:t>he present appeal:</w:t>
      </w:r>
      <w:r w:rsidR="00546A9A" w:rsidRPr="007A37E1">
        <w:rPr>
          <w:rFonts w:ascii="Arial" w:hAnsi="Arial" w:cs="Arial"/>
        </w:rPr>
        <w:t xml:space="preserve"> </w:t>
      </w:r>
      <w:r w:rsidR="008238DC" w:rsidRPr="007A37E1">
        <w:rPr>
          <w:rFonts w:ascii="Arial" w:hAnsi="Arial" w:cs="Arial"/>
        </w:rPr>
        <w:t xml:space="preserve"> </w:t>
      </w:r>
      <w:r w:rsidR="00156DA9" w:rsidRPr="007A37E1">
        <w:rPr>
          <w:rFonts w:ascii="Arial" w:hAnsi="Arial" w:cs="Arial"/>
        </w:rPr>
        <w:t xml:space="preserve"> </w:t>
      </w:r>
      <w:r w:rsidR="006472E1" w:rsidRPr="007A37E1">
        <w:rPr>
          <w:rFonts w:ascii="Arial" w:hAnsi="Arial" w:cs="Arial"/>
        </w:rPr>
        <w:tab/>
      </w:r>
      <w:r w:rsidR="00144655" w:rsidRPr="007A37E1">
        <w:rPr>
          <w:rFonts w:ascii="Arial" w:hAnsi="Arial" w:cs="Arial"/>
          <w:sz w:val="22"/>
          <w:szCs w:val="22"/>
        </w:rPr>
        <w:t xml:space="preserve"> </w:t>
      </w:r>
      <w:r w:rsidR="00411B85" w:rsidRPr="007A37E1">
        <w:rPr>
          <w:rFonts w:ascii="Arial" w:hAnsi="Arial" w:cs="Arial"/>
          <w:sz w:val="22"/>
          <w:szCs w:val="22"/>
        </w:rPr>
        <w:t xml:space="preserve"> </w:t>
      </w:r>
      <w:r w:rsidR="005D6CE6" w:rsidRPr="007A37E1">
        <w:rPr>
          <w:rFonts w:ascii="Arial" w:hAnsi="Arial" w:cs="Arial"/>
          <w:sz w:val="22"/>
          <w:szCs w:val="22"/>
        </w:rPr>
        <w:t xml:space="preserve"> </w:t>
      </w:r>
    </w:p>
    <w:p w14:paraId="610506ED" w14:textId="773CC51B" w:rsidR="00CE044C" w:rsidRPr="007A37E1" w:rsidRDefault="00697997" w:rsidP="006F14CC">
      <w:pPr>
        <w:tabs>
          <w:tab w:val="left" w:pos="284"/>
          <w:tab w:val="left" w:pos="567"/>
        </w:tabs>
        <w:spacing w:after="120" w:line="360" w:lineRule="auto"/>
        <w:jc w:val="both"/>
        <w:rPr>
          <w:rFonts w:ascii="Arial" w:hAnsi="Arial" w:cs="Arial"/>
          <w:sz w:val="22"/>
          <w:szCs w:val="22"/>
        </w:rPr>
      </w:pPr>
      <w:r w:rsidRPr="007A37E1">
        <w:rPr>
          <w:rFonts w:ascii="Arial" w:hAnsi="Arial" w:cs="Arial"/>
          <w:sz w:val="22"/>
          <w:szCs w:val="22"/>
        </w:rPr>
        <w:t>‘</w:t>
      </w:r>
      <w:r w:rsidR="006F14CC" w:rsidRPr="007A37E1">
        <w:rPr>
          <w:rFonts w:ascii="Arial" w:hAnsi="Arial" w:cs="Arial"/>
          <w:sz w:val="22"/>
          <w:szCs w:val="22"/>
        </w:rPr>
        <w:t>1.</w:t>
      </w:r>
      <w:r w:rsidR="006F14CC" w:rsidRPr="007A37E1">
        <w:rPr>
          <w:rFonts w:ascii="Arial" w:hAnsi="Arial" w:cs="Arial"/>
          <w:sz w:val="22"/>
          <w:szCs w:val="22"/>
        </w:rPr>
        <w:tab/>
      </w:r>
      <w:r w:rsidR="006F14CC" w:rsidRPr="007A37E1">
        <w:rPr>
          <w:rFonts w:ascii="Arial" w:hAnsi="Arial" w:cs="Arial"/>
          <w:sz w:val="22"/>
          <w:szCs w:val="22"/>
        </w:rPr>
        <w:tab/>
      </w:r>
      <w:r w:rsidR="001D0D46" w:rsidRPr="007A37E1">
        <w:rPr>
          <w:rFonts w:ascii="Arial" w:hAnsi="Arial" w:cs="Arial"/>
          <w:sz w:val="22"/>
          <w:szCs w:val="22"/>
        </w:rPr>
        <w:t xml:space="preserve">The regulations promulgated by the [Minister] </w:t>
      </w:r>
      <w:r w:rsidR="009742DB" w:rsidRPr="007A37E1">
        <w:rPr>
          <w:rFonts w:ascii="Arial" w:hAnsi="Arial" w:cs="Arial"/>
          <w:sz w:val="22"/>
          <w:szCs w:val="22"/>
        </w:rPr>
        <w:t xml:space="preserve">in terms of section 27(2) of the </w:t>
      </w:r>
      <w:r w:rsidR="00050EEE" w:rsidRPr="007A37E1">
        <w:rPr>
          <w:rFonts w:ascii="Arial" w:hAnsi="Arial" w:cs="Arial"/>
          <w:sz w:val="22"/>
          <w:szCs w:val="22"/>
        </w:rPr>
        <w:t>[Act]</w:t>
      </w:r>
      <w:r w:rsidR="00F85342" w:rsidRPr="007A37E1">
        <w:rPr>
          <w:rFonts w:ascii="Arial" w:hAnsi="Arial" w:cs="Arial"/>
          <w:sz w:val="22"/>
          <w:szCs w:val="22"/>
        </w:rPr>
        <w:t xml:space="preserve"> are declared unconstitutional and invalid.</w:t>
      </w:r>
    </w:p>
    <w:p w14:paraId="0EAADFE3" w14:textId="7B1B8F28" w:rsidR="00372DE3" w:rsidRPr="007A37E1" w:rsidRDefault="006F14CC" w:rsidP="009F5B46">
      <w:pPr>
        <w:tabs>
          <w:tab w:val="left" w:pos="284"/>
          <w:tab w:val="left" w:pos="567"/>
        </w:tabs>
        <w:spacing w:after="120" w:line="360" w:lineRule="auto"/>
        <w:jc w:val="both"/>
        <w:rPr>
          <w:rFonts w:ascii="Arial" w:hAnsi="Arial" w:cs="Arial"/>
          <w:sz w:val="22"/>
          <w:szCs w:val="22"/>
        </w:rPr>
      </w:pPr>
      <w:r w:rsidRPr="007A37E1">
        <w:rPr>
          <w:rFonts w:ascii="Arial" w:hAnsi="Arial" w:cs="Arial"/>
          <w:sz w:val="22"/>
          <w:szCs w:val="22"/>
        </w:rPr>
        <w:lastRenderedPageBreak/>
        <w:t>2.</w:t>
      </w:r>
      <w:r w:rsidRPr="007A37E1">
        <w:rPr>
          <w:rFonts w:ascii="Arial" w:hAnsi="Arial" w:cs="Arial"/>
          <w:sz w:val="22"/>
          <w:szCs w:val="22"/>
        </w:rPr>
        <w:tab/>
      </w:r>
      <w:r w:rsidRPr="007A37E1">
        <w:rPr>
          <w:rFonts w:ascii="Arial" w:hAnsi="Arial" w:cs="Arial"/>
          <w:sz w:val="22"/>
          <w:szCs w:val="22"/>
        </w:rPr>
        <w:tab/>
      </w:r>
      <w:r w:rsidR="00CE044C" w:rsidRPr="007A37E1">
        <w:rPr>
          <w:rFonts w:ascii="Arial" w:hAnsi="Arial" w:cs="Arial"/>
          <w:sz w:val="22"/>
          <w:szCs w:val="22"/>
        </w:rPr>
        <w:t>The declaration of invalidity is suspended until such time as the Minis</w:t>
      </w:r>
      <w:r w:rsidR="008477F8" w:rsidRPr="007A37E1">
        <w:rPr>
          <w:rFonts w:ascii="Arial" w:hAnsi="Arial" w:cs="Arial"/>
          <w:sz w:val="22"/>
          <w:szCs w:val="22"/>
        </w:rPr>
        <w:t xml:space="preserve">ter, after consultation </w:t>
      </w:r>
      <w:r w:rsidR="00071B2F" w:rsidRPr="007A37E1">
        <w:rPr>
          <w:rFonts w:ascii="Arial" w:hAnsi="Arial" w:cs="Arial"/>
          <w:sz w:val="22"/>
          <w:szCs w:val="22"/>
        </w:rPr>
        <w:t>with the relevant cabinet minister/s</w:t>
      </w:r>
      <w:r w:rsidR="003B2395" w:rsidRPr="007A37E1">
        <w:rPr>
          <w:rFonts w:ascii="Arial" w:hAnsi="Arial" w:cs="Arial"/>
          <w:sz w:val="22"/>
          <w:szCs w:val="22"/>
        </w:rPr>
        <w:t>,</w:t>
      </w:r>
      <w:r w:rsidR="00071B2F" w:rsidRPr="007A37E1">
        <w:rPr>
          <w:rFonts w:ascii="Arial" w:hAnsi="Arial" w:cs="Arial"/>
          <w:sz w:val="22"/>
          <w:szCs w:val="22"/>
        </w:rPr>
        <w:t xml:space="preserve"> review</w:t>
      </w:r>
      <w:r w:rsidR="003B2395" w:rsidRPr="007A37E1">
        <w:rPr>
          <w:rFonts w:ascii="Arial" w:hAnsi="Arial" w:cs="Arial"/>
          <w:sz w:val="22"/>
          <w:szCs w:val="22"/>
        </w:rPr>
        <w:t>,</w:t>
      </w:r>
      <w:r w:rsidR="00655E3F" w:rsidRPr="007A37E1">
        <w:rPr>
          <w:rFonts w:ascii="Arial" w:hAnsi="Arial" w:cs="Arial"/>
          <w:sz w:val="22"/>
          <w:szCs w:val="22"/>
        </w:rPr>
        <w:t xml:space="preserve"> amend and republish the regulations mentioned above (save for regulations 36, 38, 39(2)</w:t>
      </w:r>
      <w:r w:rsidR="00D6434E" w:rsidRPr="007A37E1">
        <w:rPr>
          <w:rFonts w:ascii="Arial" w:hAnsi="Arial" w:cs="Arial"/>
          <w:sz w:val="22"/>
          <w:szCs w:val="22"/>
        </w:rPr>
        <w:t xml:space="preserve">(d) and (e) and 41 of the regulations promulgated </w:t>
      </w:r>
      <w:r w:rsidR="00124464" w:rsidRPr="007A37E1">
        <w:rPr>
          <w:rFonts w:ascii="Arial" w:hAnsi="Arial" w:cs="Arial"/>
          <w:sz w:val="22"/>
          <w:szCs w:val="22"/>
        </w:rPr>
        <w:t>in</w:t>
      </w:r>
      <w:r w:rsidR="00070E54" w:rsidRPr="007A37E1">
        <w:rPr>
          <w:rFonts w:ascii="Arial" w:hAnsi="Arial" w:cs="Arial"/>
          <w:sz w:val="22"/>
          <w:szCs w:val="22"/>
        </w:rPr>
        <w:t xml:space="preserve"> </w:t>
      </w:r>
      <w:r w:rsidR="00124464" w:rsidRPr="007A37E1">
        <w:rPr>
          <w:rFonts w:ascii="Arial" w:hAnsi="Arial" w:cs="Arial"/>
          <w:sz w:val="22"/>
          <w:szCs w:val="22"/>
        </w:rPr>
        <w:t>respect of Alert Level 3</w:t>
      </w:r>
      <w:r w:rsidR="00070E54" w:rsidRPr="007A37E1">
        <w:rPr>
          <w:rFonts w:ascii="Arial" w:hAnsi="Arial" w:cs="Arial"/>
          <w:sz w:val="22"/>
          <w:szCs w:val="22"/>
        </w:rPr>
        <w:t>) with due consideration to the limitation each regulation has on the rights guaranteed</w:t>
      </w:r>
      <w:r w:rsidR="00372DE3" w:rsidRPr="007A37E1">
        <w:rPr>
          <w:rFonts w:ascii="Arial" w:hAnsi="Arial" w:cs="Arial"/>
          <w:sz w:val="22"/>
          <w:szCs w:val="22"/>
        </w:rPr>
        <w:t xml:space="preserve"> in the Bill of Rights contained in the Constitution.</w:t>
      </w:r>
    </w:p>
    <w:p w14:paraId="10A349C8" w14:textId="65CCB8E2" w:rsidR="0091473C" w:rsidRPr="007A37E1" w:rsidRDefault="006F14CC" w:rsidP="009F5B46">
      <w:pPr>
        <w:tabs>
          <w:tab w:val="left" w:pos="284"/>
          <w:tab w:val="left" w:pos="567"/>
        </w:tabs>
        <w:spacing w:after="120" w:line="360" w:lineRule="auto"/>
        <w:jc w:val="both"/>
        <w:rPr>
          <w:rFonts w:ascii="Arial" w:hAnsi="Arial" w:cs="Arial"/>
          <w:sz w:val="22"/>
          <w:szCs w:val="22"/>
        </w:rPr>
      </w:pPr>
      <w:r w:rsidRPr="007A37E1">
        <w:rPr>
          <w:rFonts w:ascii="Arial" w:hAnsi="Arial" w:cs="Arial"/>
          <w:sz w:val="22"/>
          <w:szCs w:val="22"/>
        </w:rPr>
        <w:t>3.</w:t>
      </w:r>
      <w:r w:rsidRPr="007A37E1">
        <w:rPr>
          <w:rFonts w:ascii="Arial" w:hAnsi="Arial" w:cs="Arial"/>
          <w:sz w:val="22"/>
          <w:szCs w:val="22"/>
        </w:rPr>
        <w:tab/>
      </w:r>
      <w:r w:rsidRPr="007A37E1">
        <w:rPr>
          <w:rFonts w:ascii="Arial" w:hAnsi="Arial" w:cs="Arial"/>
          <w:sz w:val="22"/>
          <w:szCs w:val="22"/>
        </w:rPr>
        <w:tab/>
      </w:r>
      <w:r w:rsidR="00372DE3" w:rsidRPr="007A37E1">
        <w:rPr>
          <w:rFonts w:ascii="Arial" w:hAnsi="Arial" w:cs="Arial"/>
          <w:sz w:val="22"/>
          <w:szCs w:val="22"/>
        </w:rPr>
        <w:t xml:space="preserve">The Minister is </w:t>
      </w:r>
      <w:r w:rsidR="00B005F3" w:rsidRPr="007A37E1">
        <w:rPr>
          <w:rFonts w:ascii="Arial" w:hAnsi="Arial" w:cs="Arial"/>
          <w:sz w:val="22"/>
          <w:szCs w:val="22"/>
        </w:rPr>
        <w:t>[</w:t>
      </w:r>
      <w:r w:rsidR="00050EEE" w:rsidRPr="007A37E1">
        <w:rPr>
          <w:rFonts w:ascii="Arial" w:hAnsi="Arial" w:cs="Arial"/>
          <w:sz w:val="22"/>
          <w:szCs w:val="22"/>
        </w:rPr>
        <w:t>d</w:t>
      </w:r>
      <w:r w:rsidR="00B005F3" w:rsidRPr="007A37E1">
        <w:rPr>
          <w:rFonts w:ascii="Arial" w:hAnsi="Arial" w:cs="Arial"/>
          <w:sz w:val="22"/>
          <w:szCs w:val="22"/>
        </w:rPr>
        <w:t>]</w:t>
      </w:r>
      <w:r w:rsidR="00372DE3" w:rsidRPr="007A37E1">
        <w:rPr>
          <w:rFonts w:ascii="Arial" w:hAnsi="Arial" w:cs="Arial"/>
          <w:sz w:val="22"/>
          <w:szCs w:val="22"/>
        </w:rPr>
        <w:t>irected to comply</w:t>
      </w:r>
      <w:r w:rsidR="00F866C1" w:rsidRPr="007A37E1">
        <w:rPr>
          <w:rFonts w:ascii="Arial" w:hAnsi="Arial" w:cs="Arial"/>
          <w:sz w:val="22"/>
          <w:szCs w:val="22"/>
        </w:rPr>
        <w:t xml:space="preserve"> with the process ordered in paragraph 2 above within 14 </w:t>
      </w:r>
      <w:r w:rsidR="009F5B46" w:rsidRPr="007A37E1">
        <w:rPr>
          <w:rFonts w:ascii="Arial" w:hAnsi="Arial" w:cs="Arial"/>
          <w:sz w:val="22"/>
          <w:szCs w:val="22"/>
        </w:rPr>
        <w:t>(</w:t>
      </w:r>
      <w:r w:rsidR="00FE3DBE" w:rsidRPr="007A37E1">
        <w:rPr>
          <w:rFonts w:ascii="Arial" w:hAnsi="Arial" w:cs="Arial"/>
          <w:sz w:val="22"/>
          <w:szCs w:val="22"/>
        </w:rPr>
        <w:t>[f]</w:t>
      </w:r>
      <w:r w:rsidR="009F5B46" w:rsidRPr="007A37E1">
        <w:rPr>
          <w:rFonts w:ascii="Arial" w:hAnsi="Arial" w:cs="Arial"/>
          <w:sz w:val="22"/>
          <w:szCs w:val="22"/>
        </w:rPr>
        <w:t xml:space="preserve">ourteen) </w:t>
      </w:r>
      <w:r w:rsidR="005F1E40" w:rsidRPr="007A37E1">
        <w:rPr>
          <w:rFonts w:ascii="Arial" w:hAnsi="Arial" w:cs="Arial"/>
          <w:sz w:val="22"/>
          <w:szCs w:val="22"/>
        </w:rPr>
        <w:t>business days from date of this order, or such longer time as this court may, on good ground</w:t>
      </w:r>
      <w:r w:rsidR="00B005F3" w:rsidRPr="007A37E1">
        <w:rPr>
          <w:rFonts w:ascii="Arial" w:hAnsi="Arial" w:cs="Arial"/>
          <w:sz w:val="22"/>
          <w:szCs w:val="22"/>
        </w:rPr>
        <w:t>s</w:t>
      </w:r>
      <w:r w:rsidR="005F1E40" w:rsidRPr="007A37E1">
        <w:rPr>
          <w:rFonts w:ascii="Arial" w:hAnsi="Arial" w:cs="Arial"/>
          <w:sz w:val="22"/>
          <w:szCs w:val="22"/>
        </w:rPr>
        <w:t xml:space="preserve"> shown, allow and to report such compliance to this court</w:t>
      </w:r>
      <w:r w:rsidR="0091473C" w:rsidRPr="007A37E1">
        <w:rPr>
          <w:rFonts w:ascii="Arial" w:hAnsi="Arial" w:cs="Arial"/>
          <w:sz w:val="22"/>
          <w:szCs w:val="22"/>
        </w:rPr>
        <w:t>.</w:t>
      </w:r>
    </w:p>
    <w:p w14:paraId="16A9A01D" w14:textId="27D7C777" w:rsidR="002C3215" w:rsidRPr="007A37E1" w:rsidRDefault="0091473C" w:rsidP="009F5B46">
      <w:pPr>
        <w:tabs>
          <w:tab w:val="left" w:pos="284"/>
          <w:tab w:val="left" w:pos="567"/>
        </w:tabs>
        <w:spacing w:after="120" w:line="360" w:lineRule="auto"/>
        <w:jc w:val="both"/>
        <w:rPr>
          <w:rFonts w:ascii="Arial" w:hAnsi="Arial" w:cs="Arial"/>
          <w:sz w:val="22"/>
          <w:szCs w:val="22"/>
        </w:rPr>
      </w:pPr>
      <w:r w:rsidRPr="007A37E1">
        <w:rPr>
          <w:rFonts w:ascii="Arial" w:hAnsi="Arial" w:cs="Arial"/>
          <w:sz w:val="22"/>
          <w:szCs w:val="22"/>
        </w:rPr>
        <w:t>4.</w:t>
      </w:r>
      <w:r w:rsidR="006F14CC" w:rsidRPr="007A37E1">
        <w:rPr>
          <w:rFonts w:ascii="Arial" w:hAnsi="Arial" w:cs="Arial"/>
          <w:sz w:val="22"/>
          <w:szCs w:val="22"/>
        </w:rPr>
        <w:tab/>
      </w:r>
      <w:r w:rsidR="006F14CC" w:rsidRPr="007A37E1">
        <w:rPr>
          <w:rFonts w:ascii="Arial" w:hAnsi="Arial" w:cs="Arial"/>
          <w:sz w:val="22"/>
          <w:szCs w:val="22"/>
        </w:rPr>
        <w:tab/>
      </w:r>
      <w:r w:rsidR="006F5AF4" w:rsidRPr="007A37E1">
        <w:rPr>
          <w:rFonts w:ascii="Arial" w:hAnsi="Arial" w:cs="Arial"/>
          <w:sz w:val="22"/>
          <w:szCs w:val="22"/>
        </w:rPr>
        <w:t>During the period of suspension, the regulations published in Government Gazette No 43364 of 28 May 2020 as Chapter 4 of the regulations designated as</w:t>
      </w:r>
      <w:r w:rsidR="003376D4" w:rsidRPr="007A37E1">
        <w:rPr>
          <w:rFonts w:ascii="Arial" w:hAnsi="Arial" w:cs="Arial"/>
          <w:sz w:val="22"/>
          <w:szCs w:val="22"/>
        </w:rPr>
        <w:t>:</w:t>
      </w:r>
      <w:r w:rsidR="006F5AF4" w:rsidRPr="007A37E1">
        <w:rPr>
          <w:rFonts w:ascii="Arial" w:hAnsi="Arial" w:cs="Arial"/>
          <w:sz w:val="22"/>
          <w:szCs w:val="22"/>
        </w:rPr>
        <w:t xml:space="preserve"> </w:t>
      </w:r>
      <w:r w:rsidR="003376D4" w:rsidRPr="007A37E1">
        <w:rPr>
          <w:rFonts w:ascii="Arial" w:hAnsi="Arial" w:cs="Arial"/>
          <w:sz w:val="22"/>
          <w:szCs w:val="22"/>
        </w:rPr>
        <w:t>“</w:t>
      </w:r>
      <w:r w:rsidR="006F5AF4" w:rsidRPr="007A37E1">
        <w:rPr>
          <w:rFonts w:ascii="Arial" w:hAnsi="Arial" w:cs="Arial"/>
          <w:sz w:val="22"/>
          <w:szCs w:val="22"/>
        </w:rPr>
        <w:t>Alert Level 3</w:t>
      </w:r>
      <w:r w:rsidR="003376D4" w:rsidRPr="007A37E1">
        <w:rPr>
          <w:rFonts w:ascii="Arial" w:hAnsi="Arial" w:cs="Arial"/>
          <w:sz w:val="22"/>
          <w:szCs w:val="22"/>
        </w:rPr>
        <w:t>”</w:t>
      </w:r>
      <w:r w:rsidR="002C3215" w:rsidRPr="007A37E1">
        <w:rPr>
          <w:rFonts w:ascii="Arial" w:hAnsi="Arial" w:cs="Arial"/>
          <w:sz w:val="22"/>
          <w:szCs w:val="22"/>
        </w:rPr>
        <w:t>, shall apply.</w:t>
      </w:r>
    </w:p>
    <w:p w14:paraId="05378160" w14:textId="6C6F096E" w:rsidR="00697997" w:rsidRPr="007A37E1" w:rsidRDefault="006F14CC" w:rsidP="009F5B46">
      <w:pPr>
        <w:tabs>
          <w:tab w:val="left" w:pos="284"/>
          <w:tab w:val="left" w:pos="567"/>
        </w:tabs>
        <w:spacing w:line="360" w:lineRule="auto"/>
        <w:jc w:val="both"/>
        <w:rPr>
          <w:rFonts w:ascii="Arial" w:hAnsi="Arial" w:cs="Arial"/>
          <w:sz w:val="22"/>
          <w:szCs w:val="22"/>
        </w:rPr>
      </w:pPr>
      <w:r w:rsidRPr="007A37E1">
        <w:rPr>
          <w:rFonts w:ascii="Arial" w:hAnsi="Arial" w:cs="Arial"/>
          <w:sz w:val="22"/>
          <w:szCs w:val="22"/>
        </w:rPr>
        <w:t>5.</w:t>
      </w:r>
      <w:r w:rsidRPr="007A37E1">
        <w:rPr>
          <w:rFonts w:ascii="Arial" w:hAnsi="Arial" w:cs="Arial"/>
          <w:sz w:val="22"/>
          <w:szCs w:val="22"/>
        </w:rPr>
        <w:tab/>
      </w:r>
      <w:r w:rsidRPr="007A37E1">
        <w:rPr>
          <w:rFonts w:ascii="Arial" w:hAnsi="Arial" w:cs="Arial"/>
          <w:sz w:val="22"/>
          <w:szCs w:val="22"/>
        </w:rPr>
        <w:tab/>
      </w:r>
      <w:r w:rsidR="00F441C3" w:rsidRPr="007A37E1">
        <w:rPr>
          <w:rFonts w:ascii="Arial" w:hAnsi="Arial" w:cs="Arial"/>
          <w:sz w:val="22"/>
          <w:szCs w:val="22"/>
        </w:rPr>
        <w:t>The regulations pertaining to the prohibition o</w:t>
      </w:r>
      <w:r w:rsidR="003376D4" w:rsidRPr="007A37E1">
        <w:rPr>
          <w:rFonts w:ascii="Arial" w:hAnsi="Arial" w:cs="Arial"/>
          <w:sz w:val="22"/>
          <w:szCs w:val="22"/>
        </w:rPr>
        <w:t>n</w:t>
      </w:r>
      <w:r w:rsidR="00F441C3" w:rsidRPr="007A37E1">
        <w:rPr>
          <w:rFonts w:ascii="Arial" w:hAnsi="Arial" w:cs="Arial"/>
          <w:sz w:val="22"/>
          <w:szCs w:val="22"/>
        </w:rPr>
        <w:t xml:space="preserve"> the sale of </w:t>
      </w:r>
      <w:r w:rsidR="00514586" w:rsidRPr="007A37E1">
        <w:rPr>
          <w:rFonts w:ascii="Arial" w:hAnsi="Arial" w:cs="Arial"/>
          <w:sz w:val="22"/>
          <w:szCs w:val="22"/>
        </w:rPr>
        <w:t>tobacco and related products</w:t>
      </w:r>
      <w:r w:rsidR="00AD1092" w:rsidRPr="007A37E1">
        <w:rPr>
          <w:rFonts w:ascii="Arial" w:hAnsi="Arial" w:cs="Arial"/>
          <w:sz w:val="22"/>
          <w:szCs w:val="22"/>
        </w:rPr>
        <w:t xml:space="preserve"> is excluded from this order and is postponed sin</w:t>
      </w:r>
      <w:r w:rsidR="00CA1615" w:rsidRPr="007A37E1">
        <w:rPr>
          <w:rFonts w:ascii="Arial" w:hAnsi="Arial" w:cs="Arial"/>
          <w:sz w:val="22"/>
          <w:szCs w:val="22"/>
        </w:rPr>
        <w:t>e</w:t>
      </w:r>
      <w:r w:rsidR="00AD1092" w:rsidRPr="007A37E1">
        <w:rPr>
          <w:rFonts w:ascii="Arial" w:hAnsi="Arial" w:cs="Arial"/>
          <w:sz w:val="22"/>
          <w:szCs w:val="22"/>
        </w:rPr>
        <w:t xml:space="preserve"> die, pending </w:t>
      </w:r>
      <w:r w:rsidRPr="007A37E1">
        <w:rPr>
          <w:rFonts w:ascii="Arial" w:hAnsi="Arial" w:cs="Arial"/>
          <w:sz w:val="22"/>
          <w:szCs w:val="22"/>
        </w:rPr>
        <w:t xml:space="preserve">the finalisation of case </w:t>
      </w:r>
      <w:r w:rsidR="003376D4" w:rsidRPr="007A37E1">
        <w:rPr>
          <w:rFonts w:ascii="Arial" w:hAnsi="Arial" w:cs="Arial"/>
          <w:sz w:val="22"/>
          <w:szCs w:val="22"/>
        </w:rPr>
        <w:t xml:space="preserve">no </w:t>
      </w:r>
      <w:r w:rsidRPr="007A37E1">
        <w:rPr>
          <w:rFonts w:ascii="Arial" w:hAnsi="Arial" w:cs="Arial"/>
          <w:sz w:val="22"/>
          <w:szCs w:val="22"/>
        </w:rPr>
        <w:t>21688/</w:t>
      </w:r>
      <w:r w:rsidR="00AD1092" w:rsidRPr="007A37E1">
        <w:rPr>
          <w:rFonts w:ascii="Arial" w:hAnsi="Arial" w:cs="Arial"/>
          <w:sz w:val="22"/>
          <w:szCs w:val="22"/>
        </w:rPr>
        <w:t>2020 in this court</w:t>
      </w:r>
      <w:r w:rsidR="00B1643D" w:rsidRPr="007A37E1">
        <w:rPr>
          <w:rFonts w:ascii="Arial" w:hAnsi="Arial" w:cs="Arial"/>
          <w:sz w:val="22"/>
          <w:szCs w:val="22"/>
        </w:rPr>
        <w:t>.’</w:t>
      </w:r>
    </w:p>
    <w:p w14:paraId="02EDCEA3" w14:textId="7CFEB0C7" w:rsidR="00694D07" w:rsidRPr="007A37E1" w:rsidRDefault="00B1643D" w:rsidP="00B70BB5">
      <w:pPr>
        <w:tabs>
          <w:tab w:val="left" w:pos="284"/>
        </w:tabs>
        <w:spacing w:line="360" w:lineRule="auto"/>
        <w:jc w:val="both"/>
        <w:rPr>
          <w:rFonts w:ascii="Arial" w:hAnsi="Arial" w:cs="Arial"/>
        </w:rPr>
      </w:pPr>
      <w:r w:rsidRPr="007A37E1">
        <w:rPr>
          <w:rFonts w:ascii="Arial" w:hAnsi="Arial" w:cs="Arial"/>
        </w:rPr>
        <w:t>The Minister was, additionally, ordered to pay the respondents’ costs.</w:t>
      </w:r>
    </w:p>
    <w:p w14:paraId="565929B8" w14:textId="77777777" w:rsidR="00B1643D" w:rsidRPr="007A37E1" w:rsidRDefault="00B1643D" w:rsidP="00B70BB5">
      <w:pPr>
        <w:tabs>
          <w:tab w:val="left" w:pos="284"/>
        </w:tabs>
        <w:spacing w:line="360" w:lineRule="auto"/>
        <w:jc w:val="both"/>
        <w:rPr>
          <w:rFonts w:ascii="Arial" w:hAnsi="Arial" w:cs="Arial"/>
        </w:rPr>
      </w:pPr>
    </w:p>
    <w:p w14:paraId="5A670930" w14:textId="1C52E76E" w:rsidR="00B70BB5" w:rsidRPr="007A37E1" w:rsidRDefault="00B70BB5" w:rsidP="006748FE">
      <w:pPr>
        <w:tabs>
          <w:tab w:val="left" w:pos="284"/>
          <w:tab w:val="left" w:pos="851"/>
        </w:tabs>
        <w:spacing w:line="360" w:lineRule="auto"/>
        <w:jc w:val="both"/>
        <w:rPr>
          <w:rFonts w:ascii="Arial" w:hAnsi="Arial" w:cs="Arial"/>
        </w:rPr>
      </w:pPr>
      <w:r w:rsidRPr="007A37E1">
        <w:rPr>
          <w:rFonts w:ascii="Arial" w:hAnsi="Arial" w:cs="Arial"/>
        </w:rPr>
        <w:t>[</w:t>
      </w:r>
      <w:r w:rsidR="00B1643D" w:rsidRPr="007A37E1">
        <w:rPr>
          <w:rFonts w:ascii="Arial" w:hAnsi="Arial" w:cs="Arial"/>
        </w:rPr>
        <w:t>4</w:t>
      </w:r>
      <w:r w:rsidRPr="007A37E1">
        <w:rPr>
          <w:rFonts w:ascii="Arial" w:hAnsi="Arial" w:cs="Arial"/>
        </w:rPr>
        <w:t>]</w:t>
      </w:r>
      <w:r w:rsidRPr="007A37E1">
        <w:rPr>
          <w:rFonts w:ascii="Arial" w:hAnsi="Arial" w:cs="Arial"/>
        </w:rPr>
        <w:tab/>
      </w:r>
      <w:r w:rsidRPr="007A37E1">
        <w:rPr>
          <w:rFonts w:ascii="Arial" w:hAnsi="Arial" w:cs="Arial"/>
        </w:rPr>
        <w:tab/>
        <w:t xml:space="preserve">The present litigation, as </w:t>
      </w:r>
      <w:r w:rsidR="00B1643D" w:rsidRPr="007A37E1">
        <w:rPr>
          <w:rFonts w:ascii="Arial" w:hAnsi="Arial" w:cs="Arial"/>
        </w:rPr>
        <w:t>presaged</w:t>
      </w:r>
      <w:r w:rsidRPr="007A37E1">
        <w:rPr>
          <w:rFonts w:ascii="Arial" w:hAnsi="Arial" w:cs="Arial"/>
        </w:rPr>
        <w:t xml:space="preserve"> above, has its genesis in regulations promulgated by the Minister under the Act. The regulations </w:t>
      </w:r>
      <w:r w:rsidR="00EE011F" w:rsidRPr="007A37E1">
        <w:rPr>
          <w:rFonts w:ascii="Arial" w:hAnsi="Arial" w:cs="Arial"/>
        </w:rPr>
        <w:t>challenged in the notice of motion w</w:t>
      </w:r>
      <w:r w:rsidR="000863D6" w:rsidRPr="007A37E1">
        <w:rPr>
          <w:rFonts w:ascii="Arial" w:hAnsi="Arial" w:cs="Arial"/>
        </w:rPr>
        <w:t>ere</w:t>
      </w:r>
      <w:r w:rsidR="00EE011F" w:rsidRPr="007A37E1">
        <w:rPr>
          <w:rFonts w:ascii="Arial" w:hAnsi="Arial" w:cs="Arial"/>
        </w:rPr>
        <w:t xml:space="preserve"> </w:t>
      </w:r>
      <w:r w:rsidR="000863D6" w:rsidRPr="007A37E1">
        <w:rPr>
          <w:rFonts w:ascii="Arial" w:hAnsi="Arial" w:cs="Arial"/>
        </w:rPr>
        <w:t xml:space="preserve">all the regulations promulgated by the Minister under s 27(2) of the Act since 18 March 2020. </w:t>
      </w:r>
      <w:r w:rsidR="005C7A32" w:rsidRPr="007A37E1">
        <w:rPr>
          <w:rFonts w:ascii="Arial" w:hAnsi="Arial" w:cs="Arial"/>
        </w:rPr>
        <w:t>The regulations so promulgated at the time the application was launched</w:t>
      </w:r>
      <w:r w:rsidR="00B56E23" w:rsidRPr="007A37E1">
        <w:rPr>
          <w:rFonts w:ascii="Arial" w:hAnsi="Arial" w:cs="Arial"/>
        </w:rPr>
        <w:t xml:space="preserve"> </w:t>
      </w:r>
      <w:r w:rsidR="000863D6" w:rsidRPr="007A37E1">
        <w:rPr>
          <w:rFonts w:ascii="Arial" w:hAnsi="Arial" w:cs="Arial"/>
        </w:rPr>
        <w:t xml:space="preserve">were </w:t>
      </w:r>
      <w:r w:rsidR="005C7A32" w:rsidRPr="007A37E1">
        <w:rPr>
          <w:rFonts w:ascii="Arial" w:hAnsi="Arial" w:cs="Arial"/>
        </w:rPr>
        <w:t xml:space="preserve">those </w:t>
      </w:r>
      <w:r w:rsidR="000863D6" w:rsidRPr="007A37E1">
        <w:rPr>
          <w:rFonts w:ascii="Arial" w:hAnsi="Arial" w:cs="Arial"/>
        </w:rPr>
        <w:t xml:space="preserve">promulgated on 29 April 2020, which </w:t>
      </w:r>
      <w:r w:rsidR="005C7A32" w:rsidRPr="007A37E1">
        <w:rPr>
          <w:rFonts w:ascii="Arial" w:hAnsi="Arial" w:cs="Arial"/>
        </w:rPr>
        <w:t>repealed the regulations of 18 March 2020 and</w:t>
      </w:r>
      <w:r w:rsidR="00882193" w:rsidRPr="007A37E1">
        <w:rPr>
          <w:rFonts w:ascii="Arial" w:hAnsi="Arial" w:cs="Arial"/>
        </w:rPr>
        <w:t>,</w:t>
      </w:r>
      <w:r w:rsidR="005C7A32" w:rsidRPr="007A37E1">
        <w:rPr>
          <w:rFonts w:ascii="Arial" w:hAnsi="Arial" w:cs="Arial"/>
        </w:rPr>
        <w:t xml:space="preserve"> </w:t>
      </w:r>
      <w:r w:rsidR="000863D6" w:rsidRPr="007A37E1">
        <w:rPr>
          <w:rFonts w:ascii="Arial" w:hAnsi="Arial" w:cs="Arial"/>
          <w:i/>
        </w:rPr>
        <w:t>inter alia</w:t>
      </w:r>
      <w:r w:rsidR="00882193" w:rsidRPr="007A37E1">
        <w:rPr>
          <w:rFonts w:ascii="Arial" w:hAnsi="Arial" w:cs="Arial"/>
        </w:rPr>
        <w:t>,</w:t>
      </w:r>
      <w:r w:rsidR="000863D6" w:rsidRPr="007A37E1">
        <w:rPr>
          <w:rFonts w:ascii="Arial" w:hAnsi="Arial" w:cs="Arial"/>
        </w:rPr>
        <w:t xml:space="preserve"> regulated Alert Level 4 (the Level 4 regulations). On the day the case was argued in the high court, 28 May 2020</w:t>
      </w:r>
      <w:r w:rsidRPr="007A37E1">
        <w:rPr>
          <w:rFonts w:ascii="Arial" w:hAnsi="Arial" w:cs="Arial"/>
        </w:rPr>
        <w:t xml:space="preserve">, </w:t>
      </w:r>
      <w:r w:rsidR="000863D6" w:rsidRPr="007A37E1">
        <w:rPr>
          <w:rFonts w:ascii="Arial" w:hAnsi="Arial" w:cs="Arial"/>
        </w:rPr>
        <w:t xml:space="preserve">the </w:t>
      </w:r>
      <w:r w:rsidR="00FE3DBE" w:rsidRPr="007A37E1">
        <w:rPr>
          <w:rFonts w:ascii="Arial" w:hAnsi="Arial" w:cs="Arial"/>
        </w:rPr>
        <w:t xml:space="preserve">Level 4 </w:t>
      </w:r>
      <w:r w:rsidR="000863D6" w:rsidRPr="007A37E1">
        <w:rPr>
          <w:rFonts w:ascii="Arial" w:hAnsi="Arial" w:cs="Arial"/>
        </w:rPr>
        <w:t xml:space="preserve">regulations were amended </w:t>
      </w:r>
      <w:r w:rsidR="00CC7600" w:rsidRPr="007A37E1">
        <w:rPr>
          <w:rFonts w:ascii="Arial" w:hAnsi="Arial" w:cs="Arial"/>
        </w:rPr>
        <w:t xml:space="preserve">to cater for a new </w:t>
      </w:r>
      <w:r w:rsidR="000863D6" w:rsidRPr="007A37E1">
        <w:rPr>
          <w:rFonts w:ascii="Arial" w:hAnsi="Arial" w:cs="Arial"/>
        </w:rPr>
        <w:t>Alert Level 3 (the Level 3 regulations)</w:t>
      </w:r>
      <w:r w:rsidR="005C7A32" w:rsidRPr="007A37E1">
        <w:rPr>
          <w:rFonts w:ascii="Arial" w:hAnsi="Arial" w:cs="Arial"/>
        </w:rPr>
        <w:t>, though those regulations were not yet to hand at the time of argument</w:t>
      </w:r>
      <w:r w:rsidR="000863D6" w:rsidRPr="007A37E1">
        <w:rPr>
          <w:rFonts w:ascii="Arial" w:hAnsi="Arial" w:cs="Arial"/>
        </w:rPr>
        <w:t>.</w:t>
      </w:r>
      <w:r w:rsidRPr="007A37E1">
        <w:rPr>
          <w:rFonts w:ascii="Arial" w:hAnsi="Arial" w:cs="Arial"/>
        </w:rPr>
        <w:t xml:space="preserve"> </w:t>
      </w:r>
      <w:r w:rsidR="00D452BA" w:rsidRPr="007A37E1">
        <w:rPr>
          <w:rFonts w:ascii="Arial" w:hAnsi="Arial" w:cs="Arial"/>
        </w:rPr>
        <w:t>The regulations</w:t>
      </w:r>
      <w:r w:rsidRPr="007A37E1">
        <w:rPr>
          <w:rFonts w:ascii="Arial" w:hAnsi="Arial" w:cs="Arial"/>
        </w:rPr>
        <w:t xml:space="preserve"> </w:t>
      </w:r>
      <w:r w:rsidR="005C7A32" w:rsidRPr="007A37E1">
        <w:rPr>
          <w:rFonts w:ascii="Arial" w:hAnsi="Arial" w:cs="Arial"/>
        </w:rPr>
        <w:t xml:space="preserve">of April and May 2020 </w:t>
      </w:r>
      <w:r w:rsidRPr="007A37E1">
        <w:rPr>
          <w:rFonts w:ascii="Arial" w:hAnsi="Arial" w:cs="Arial"/>
        </w:rPr>
        <w:t xml:space="preserve">have </w:t>
      </w:r>
      <w:r w:rsidR="000863D6" w:rsidRPr="007A37E1">
        <w:rPr>
          <w:rFonts w:ascii="Arial" w:hAnsi="Arial" w:cs="Arial"/>
        </w:rPr>
        <w:t xml:space="preserve">in turn been amended or </w:t>
      </w:r>
      <w:r w:rsidRPr="007A37E1">
        <w:rPr>
          <w:rFonts w:ascii="Arial" w:hAnsi="Arial" w:cs="Arial"/>
        </w:rPr>
        <w:t xml:space="preserve">superseded by others. The Act, as noted by the </w:t>
      </w:r>
      <w:r w:rsidR="00006A77" w:rsidRPr="007A37E1">
        <w:rPr>
          <w:rFonts w:ascii="Arial" w:hAnsi="Arial" w:cs="Arial"/>
        </w:rPr>
        <w:t xml:space="preserve">high </w:t>
      </w:r>
      <w:r w:rsidRPr="007A37E1">
        <w:rPr>
          <w:rFonts w:ascii="Arial" w:hAnsi="Arial" w:cs="Arial"/>
        </w:rPr>
        <w:t>court, provides for an integrated and co-ordinated disaster management policy that focuses on preventing or reducing the risk of disasters and</w:t>
      </w:r>
      <w:r w:rsidR="00EE011F" w:rsidRPr="007A37E1">
        <w:rPr>
          <w:rFonts w:ascii="Arial" w:hAnsi="Arial" w:cs="Arial"/>
        </w:rPr>
        <w:t>/</w:t>
      </w:r>
      <w:r w:rsidRPr="007A37E1">
        <w:rPr>
          <w:rFonts w:ascii="Arial" w:hAnsi="Arial" w:cs="Arial"/>
        </w:rPr>
        <w:t>or mitigating their severity. It also caters for emergency preparedness, rapid and effective response</w:t>
      </w:r>
      <w:r w:rsidR="00D577C8" w:rsidRPr="007A37E1">
        <w:rPr>
          <w:rFonts w:ascii="Arial" w:hAnsi="Arial" w:cs="Arial"/>
        </w:rPr>
        <w:t>s</w:t>
      </w:r>
      <w:r w:rsidRPr="007A37E1">
        <w:rPr>
          <w:rFonts w:ascii="Arial" w:hAnsi="Arial" w:cs="Arial"/>
        </w:rPr>
        <w:t xml:space="preserve"> to disasters and post-</w:t>
      </w:r>
      <w:r w:rsidRPr="007A37E1">
        <w:rPr>
          <w:rFonts w:ascii="Arial" w:hAnsi="Arial" w:cs="Arial"/>
        </w:rPr>
        <w:lastRenderedPageBreak/>
        <w:t xml:space="preserve">disaster recovery. It </w:t>
      </w:r>
      <w:r w:rsidR="00851530" w:rsidRPr="007A37E1">
        <w:rPr>
          <w:rFonts w:ascii="Arial" w:hAnsi="Arial" w:cs="Arial"/>
        </w:rPr>
        <w:t xml:space="preserve">accordingly </w:t>
      </w:r>
      <w:r w:rsidRPr="007A37E1">
        <w:rPr>
          <w:rFonts w:ascii="Arial" w:hAnsi="Arial" w:cs="Arial"/>
        </w:rPr>
        <w:t>provides for the establishment of national, provincial and municip</w:t>
      </w:r>
      <w:r w:rsidR="001B6C08" w:rsidRPr="007A37E1">
        <w:rPr>
          <w:rFonts w:ascii="Arial" w:hAnsi="Arial" w:cs="Arial"/>
        </w:rPr>
        <w:t>al disaster management centres.</w:t>
      </w:r>
      <w:r w:rsidR="001B6C08" w:rsidRPr="007A37E1">
        <w:rPr>
          <w:rStyle w:val="FootnoteReference"/>
          <w:rFonts w:ascii="Arial" w:hAnsi="Arial" w:cs="Arial"/>
        </w:rPr>
        <w:footnoteReference w:id="1"/>
      </w:r>
    </w:p>
    <w:p w14:paraId="3DD86FF9" w14:textId="77777777" w:rsidR="00B70BB5" w:rsidRPr="007A37E1" w:rsidRDefault="00B70BB5" w:rsidP="00B70BB5">
      <w:pPr>
        <w:tabs>
          <w:tab w:val="left" w:pos="284"/>
        </w:tabs>
        <w:spacing w:line="360" w:lineRule="auto"/>
        <w:jc w:val="both"/>
        <w:rPr>
          <w:rFonts w:ascii="Arial" w:hAnsi="Arial" w:cs="Arial"/>
        </w:rPr>
      </w:pPr>
    </w:p>
    <w:p w14:paraId="334C6EC3" w14:textId="54362FF6"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w:t>
      </w:r>
      <w:r w:rsidR="007071E4" w:rsidRPr="007A37E1">
        <w:rPr>
          <w:rFonts w:ascii="Arial" w:hAnsi="Arial" w:cs="Arial"/>
        </w:rPr>
        <w:t>5</w:t>
      </w:r>
      <w:r w:rsidRPr="007A37E1">
        <w:rPr>
          <w:rFonts w:ascii="Arial" w:hAnsi="Arial" w:cs="Arial"/>
        </w:rPr>
        <w:t>]</w:t>
      </w:r>
      <w:r w:rsidRPr="007A37E1">
        <w:rPr>
          <w:rFonts w:ascii="Arial" w:hAnsi="Arial" w:cs="Arial"/>
        </w:rPr>
        <w:tab/>
      </w:r>
      <w:r w:rsidRPr="007A37E1">
        <w:rPr>
          <w:rFonts w:ascii="Arial" w:hAnsi="Arial" w:cs="Arial"/>
        </w:rPr>
        <w:tab/>
        <w:t xml:space="preserve">The regulations referred to in the preceding paragraph were published in response to the threat to national </w:t>
      </w:r>
      <w:r w:rsidR="00851530" w:rsidRPr="007A37E1">
        <w:rPr>
          <w:rFonts w:ascii="Arial" w:hAnsi="Arial" w:cs="Arial"/>
        </w:rPr>
        <w:t xml:space="preserve">health and </w:t>
      </w:r>
      <w:r w:rsidRPr="007A37E1">
        <w:rPr>
          <w:rFonts w:ascii="Arial" w:hAnsi="Arial" w:cs="Arial"/>
        </w:rPr>
        <w:t xml:space="preserve">safety presented by the </w:t>
      </w:r>
      <w:r w:rsidR="000C0714" w:rsidRPr="007A37E1">
        <w:rPr>
          <w:rFonts w:ascii="Arial" w:hAnsi="Arial" w:cs="Arial"/>
        </w:rPr>
        <w:t>global</w:t>
      </w:r>
      <w:r w:rsidR="00EF03F0" w:rsidRPr="007A37E1">
        <w:rPr>
          <w:rFonts w:ascii="Arial" w:hAnsi="Arial" w:cs="Arial"/>
        </w:rPr>
        <w:t xml:space="preserve"> </w:t>
      </w:r>
      <w:r w:rsidRPr="007A37E1">
        <w:rPr>
          <w:rFonts w:ascii="Arial" w:hAnsi="Arial" w:cs="Arial"/>
        </w:rPr>
        <w:t xml:space="preserve">outbreak and transmission of a </w:t>
      </w:r>
      <w:r w:rsidR="000C0714" w:rsidRPr="007A37E1">
        <w:rPr>
          <w:rFonts w:ascii="Arial" w:hAnsi="Arial" w:cs="Arial"/>
        </w:rPr>
        <w:t xml:space="preserve">novel </w:t>
      </w:r>
      <w:r w:rsidRPr="007A37E1">
        <w:rPr>
          <w:rFonts w:ascii="Arial" w:hAnsi="Arial" w:cs="Arial"/>
        </w:rPr>
        <w:t>contagious virus</w:t>
      </w:r>
      <w:r w:rsidR="00CC7600" w:rsidRPr="007A37E1">
        <w:rPr>
          <w:rFonts w:ascii="Arial" w:hAnsi="Arial" w:cs="Arial"/>
        </w:rPr>
        <w:t>,</w:t>
      </w:r>
      <w:r w:rsidR="00EF03F0" w:rsidRPr="007A37E1">
        <w:rPr>
          <w:rFonts w:ascii="Arial" w:hAnsi="Arial" w:cs="Arial"/>
        </w:rPr>
        <w:t xml:space="preserve"> </w:t>
      </w:r>
      <w:r w:rsidR="00CC7600" w:rsidRPr="007A37E1">
        <w:rPr>
          <w:rFonts w:ascii="Arial" w:hAnsi="Arial" w:cs="Arial"/>
        </w:rPr>
        <w:t xml:space="preserve">which </w:t>
      </w:r>
      <w:r w:rsidR="0069068E" w:rsidRPr="007A37E1">
        <w:rPr>
          <w:rFonts w:ascii="Arial" w:hAnsi="Arial" w:cs="Arial"/>
        </w:rPr>
        <w:t xml:space="preserve">can lead to the disease </w:t>
      </w:r>
      <w:r w:rsidRPr="007A37E1">
        <w:rPr>
          <w:rFonts w:ascii="Arial" w:hAnsi="Arial" w:cs="Arial"/>
        </w:rPr>
        <w:t>known as COVID-19,</w:t>
      </w:r>
      <w:r w:rsidR="0069068E" w:rsidRPr="007A37E1">
        <w:rPr>
          <w:rFonts w:ascii="Arial" w:hAnsi="Arial" w:cs="Arial"/>
        </w:rPr>
        <w:t xml:space="preserve"> and</w:t>
      </w:r>
      <w:r w:rsidRPr="007A37E1">
        <w:rPr>
          <w:rFonts w:ascii="Arial" w:hAnsi="Arial" w:cs="Arial"/>
        </w:rPr>
        <w:t xml:space="preserve"> is the biggest he</w:t>
      </w:r>
      <w:r w:rsidR="00D71C94" w:rsidRPr="007A37E1">
        <w:rPr>
          <w:rFonts w:ascii="Arial" w:hAnsi="Arial" w:cs="Arial"/>
        </w:rPr>
        <w:t>alth threat faced by the worl</w:t>
      </w:r>
      <w:r w:rsidR="009E6219" w:rsidRPr="007A37E1">
        <w:rPr>
          <w:rFonts w:ascii="Arial" w:hAnsi="Arial" w:cs="Arial"/>
        </w:rPr>
        <w:t>d</w:t>
      </w:r>
      <w:r w:rsidR="00D71C94" w:rsidRPr="007A37E1">
        <w:rPr>
          <w:rFonts w:ascii="Arial" w:hAnsi="Arial" w:cs="Arial"/>
        </w:rPr>
        <w:t xml:space="preserve"> in the past century</w:t>
      </w:r>
      <w:r w:rsidR="0069068E" w:rsidRPr="007A37E1">
        <w:rPr>
          <w:rFonts w:ascii="Arial" w:hAnsi="Arial" w:cs="Arial"/>
        </w:rPr>
        <w:t>. It has since</w:t>
      </w:r>
      <w:r w:rsidR="00D71C94" w:rsidRPr="007A37E1">
        <w:rPr>
          <w:rFonts w:ascii="Arial" w:hAnsi="Arial" w:cs="Arial"/>
        </w:rPr>
        <w:t xml:space="preserve"> </w:t>
      </w:r>
      <w:r w:rsidRPr="007A37E1">
        <w:rPr>
          <w:rFonts w:ascii="Arial" w:hAnsi="Arial" w:cs="Arial"/>
        </w:rPr>
        <w:t>result</w:t>
      </w:r>
      <w:r w:rsidR="0069068E" w:rsidRPr="007A37E1">
        <w:rPr>
          <w:rFonts w:ascii="Arial" w:hAnsi="Arial" w:cs="Arial"/>
        </w:rPr>
        <w:t>ed</w:t>
      </w:r>
      <w:r w:rsidRPr="007A37E1">
        <w:rPr>
          <w:rFonts w:ascii="Arial" w:hAnsi="Arial" w:cs="Arial"/>
        </w:rPr>
        <w:t xml:space="preserve"> in millions of deaths globally. </w:t>
      </w:r>
    </w:p>
    <w:p w14:paraId="1641F760" w14:textId="77777777" w:rsidR="00B70BB5" w:rsidRPr="007A37E1" w:rsidRDefault="00B70BB5" w:rsidP="00B70BB5">
      <w:pPr>
        <w:tabs>
          <w:tab w:val="left" w:pos="284"/>
        </w:tabs>
        <w:spacing w:line="360" w:lineRule="auto"/>
        <w:jc w:val="both"/>
        <w:rPr>
          <w:rFonts w:ascii="Arial" w:hAnsi="Arial" w:cs="Arial"/>
        </w:rPr>
      </w:pPr>
    </w:p>
    <w:p w14:paraId="7BBBCAC1" w14:textId="1A3F7F67"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w:t>
      </w:r>
      <w:r w:rsidR="007071E4" w:rsidRPr="007A37E1">
        <w:rPr>
          <w:rFonts w:ascii="Arial" w:hAnsi="Arial" w:cs="Arial"/>
        </w:rPr>
        <w:t>6</w:t>
      </w:r>
      <w:r w:rsidRPr="007A37E1">
        <w:rPr>
          <w:rFonts w:ascii="Arial" w:hAnsi="Arial" w:cs="Arial"/>
        </w:rPr>
        <w:t>]</w:t>
      </w:r>
      <w:r w:rsidRPr="007A37E1">
        <w:rPr>
          <w:rFonts w:ascii="Arial" w:hAnsi="Arial" w:cs="Arial"/>
        </w:rPr>
        <w:tab/>
      </w:r>
      <w:r w:rsidRPr="007A37E1">
        <w:rPr>
          <w:rFonts w:ascii="Arial" w:hAnsi="Arial" w:cs="Arial"/>
        </w:rPr>
        <w:tab/>
        <w:t xml:space="preserve">The respondents launched proceedings in the </w:t>
      </w:r>
      <w:r w:rsidR="007C4AD0" w:rsidRPr="007A37E1">
        <w:rPr>
          <w:rFonts w:ascii="Arial" w:hAnsi="Arial" w:cs="Arial"/>
        </w:rPr>
        <w:t>h</w:t>
      </w:r>
      <w:r w:rsidRPr="007A37E1">
        <w:rPr>
          <w:rFonts w:ascii="Arial" w:hAnsi="Arial" w:cs="Arial"/>
        </w:rPr>
        <w:t xml:space="preserve">igh </w:t>
      </w:r>
      <w:r w:rsidR="007C4AD0" w:rsidRPr="007A37E1">
        <w:rPr>
          <w:rFonts w:ascii="Arial" w:hAnsi="Arial" w:cs="Arial"/>
        </w:rPr>
        <w:t>c</w:t>
      </w:r>
      <w:r w:rsidRPr="007A37E1">
        <w:rPr>
          <w:rFonts w:ascii="Arial" w:hAnsi="Arial" w:cs="Arial"/>
        </w:rPr>
        <w:t>ourt in May 20</w:t>
      </w:r>
      <w:r w:rsidR="00772C38" w:rsidRPr="007A37E1">
        <w:rPr>
          <w:rFonts w:ascii="Arial" w:hAnsi="Arial" w:cs="Arial"/>
        </w:rPr>
        <w:t>20</w:t>
      </w:r>
      <w:r w:rsidRPr="007A37E1">
        <w:rPr>
          <w:rFonts w:ascii="Arial" w:hAnsi="Arial" w:cs="Arial"/>
        </w:rPr>
        <w:t xml:space="preserve">, in response to the regulations and amendments thereto, published by the Minister </w:t>
      </w:r>
      <w:r w:rsidR="0027363C" w:rsidRPr="007A37E1">
        <w:rPr>
          <w:rFonts w:ascii="Arial" w:hAnsi="Arial" w:cs="Arial"/>
        </w:rPr>
        <w:t>since</w:t>
      </w:r>
      <w:r w:rsidRPr="007A37E1">
        <w:rPr>
          <w:rFonts w:ascii="Arial" w:hAnsi="Arial" w:cs="Arial"/>
        </w:rPr>
        <w:t xml:space="preserve"> March 20</w:t>
      </w:r>
      <w:r w:rsidR="00772C38" w:rsidRPr="007A37E1">
        <w:rPr>
          <w:rFonts w:ascii="Arial" w:hAnsi="Arial" w:cs="Arial"/>
        </w:rPr>
        <w:t>20</w:t>
      </w:r>
      <w:r w:rsidRPr="007A37E1">
        <w:rPr>
          <w:rFonts w:ascii="Arial" w:hAnsi="Arial" w:cs="Arial"/>
        </w:rPr>
        <w:t xml:space="preserve">. The bases </w:t>
      </w:r>
      <w:r w:rsidR="00772C38" w:rsidRPr="007A37E1">
        <w:rPr>
          <w:rFonts w:ascii="Arial" w:hAnsi="Arial" w:cs="Arial"/>
        </w:rPr>
        <w:t>of</w:t>
      </w:r>
      <w:r w:rsidRPr="007A37E1">
        <w:rPr>
          <w:rFonts w:ascii="Arial" w:hAnsi="Arial" w:cs="Arial"/>
        </w:rPr>
        <w:t xml:space="preserve"> the </w:t>
      </w:r>
      <w:r w:rsidR="00D452BA" w:rsidRPr="007A37E1">
        <w:rPr>
          <w:rFonts w:ascii="Arial" w:hAnsi="Arial" w:cs="Arial"/>
        </w:rPr>
        <w:t xml:space="preserve">respondents’ </w:t>
      </w:r>
      <w:r w:rsidRPr="007A37E1">
        <w:rPr>
          <w:rFonts w:ascii="Arial" w:hAnsi="Arial" w:cs="Arial"/>
        </w:rPr>
        <w:t>challenge, set out in their founding affidavit,</w:t>
      </w:r>
      <w:r w:rsidR="00D52677" w:rsidRPr="007A37E1">
        <w:rPr>
          <w:rFonts w:ascii="Arial" w:hAnsi="Arial" w:cs="Arial"/>
        </w:rPr>
        <w:t xml:space="preserve"> described as a </w:t>
      </w:r>
      <w:r w:rsidR="003C4790" w:rsidRPr="007A37E1">
        <w:rPr>
          <w:rFonts w:ascii="Arial" w:hAnsi="Arial" w:cs="Arial"/>
        </w:rPr>
        <w:t>‘</w:t>
      </w:r>
      <w:r w:rsidR="00492DF2" w:rsidRPr="007A37E1">
        <w:rPr>
          <w:rFonts w:ascii="Arial" w:hAnsi="Arial" w:cs="Arial"/>
        </w:rPr>
        <w:t>S</w:t>
      </w:r>
      <w:r w:rsidRPr="007A37E1">
        <w:rPr>
          <w:rFonts w:ascii="Arial" w:hAnsi="Arial" w:cs="Arial"/>
        </w:rPr>
        <w:t>ummary</w:t>
      </w:r>
      <w:r w:rsidR="003143D3" w:rsidRPr="007A37E1">
        <w:rPr>
          <w:rFonts w:ascii="Arial" w:hAnsi="Arial" w:cs="Arial"/>
        </w:rPr>
        <w:t xml:space="preserve"> of raised </w:t>
      </w:r>
      <w:r w:rsidR="003C4790" w:rsidRPr="007A37E1">
        <w:rPr>
          <w:rFonts w:ascii="Arial" w:hAnsi="Arial" w:cs="Arial"/>
        </w:rPr>
        <w:t>constitutional and other issues’</w:t>
      </w:r>
      <w:r w:rsidRPr="007A37E1">
        <w:rPr>
          <w:rFonts w:ascii="Arial" w:hAnsi="Arial" w:cs="Arial"/>
        </w:rPr>
        <w:t>,</w:t>
      </w:r>
      <w:r w:rsidR="00D52677" w:rsidRPr="007A37E1">
        <w:rPr>
          <w:rFonts w:ascii="Arial" w:hAnsi="Arial" w:cs="Arial"/>
        </w:rPr>
        <w:t xml:space="preserve"> are</w:t>
      </w:r>
      <w:r w:rsidRPr="007A37E1">
        <w:rPr>
          <w:rFonts w:ascii="Arial" w:hAnsi="Arial" w:cs="Arial"/>
        </w:rPr>
        <w:t xml:space="preserve"> as follows:</w:t>
      </w:r>
    </w:p>
    <w:p w14:paraId="6E5E46BF" w14:textId="04C037AC" w:rsidR="00B70BB5" w:rsidRPr="007A37E1" w:rsidRDefault="00B70BB5" w:rsidP="00EF03F0">
      <w:pPr>
        <w:tabs>
          <w:tab w:val="left" w:pos="567"/>
        </w:tabs>
        <w:spacing w:line="360" w:lineRule="auto"/>
        <w:jc w:val="both"/>
        <w:rPr>
          <w:rFonts w:ascii="Arial" w:hAnsi="Arial" w:cs="Arial"/>
        </w:rPr>
      </w:pPr>
      <w:r w:rsidRPr="007A37E1">
        <w:rPr>
          <w:rFonts w:ascii="Arial" w:hAnsi="Arial" w:cs="Arial"/>
        </w:rPr>
        <w:t>(i)</w:t>
      </w:r>
      <w:r w:rsidR="001C3BF8" w:rsidRPr="007A37E1">
        <w:rPr>
          <w:rFonts w:ascii="Arial" w:hAnsi="Arial" w:cs="Arial"/>
        </w:rPr>
        <w:tab/>
      </w:r>
      <w:r w:rsidRPr="007A37E1">
        <w:rPr>
          <w:rFonts w:ascii="Arial" w:hAnsi="Arial" w:cs="Arial"/>
        </w:rPr>
        <w:t>The Minister, acting in terms of s 27(2) of the Act</w:t>
      </w:r>
      <w:r w:rsidR="005C7A32" w:rsidRPr="007A37E1">
        <w:rPr>
          <w:rFonts w:ascii="Arial" w:hAnsi="Arial" w:cs="Arial"/>
        </w:rPr>
        <w:t>,</w:t>
      </w:r>
      <w:r w:rsidRPr="007A37E1">
        <w:rPr>
          <w:rFonts w:ascii="Arial" w:hAnsi="Arial" w:cs="Arial"/>
        </w:rPr>
        <w:t xml:space="preserve"> was exercising delegated power.</w:t>
      </w:r>
      <w:r w:rsidR="001B6C08" w:rsidRPr="007A37E1">
        <w:rPr>
          <w:rStyle w:val="FootnoteReference"/>
          <w:rFonts w:ascii="Arial" w:hAnsi="Arial" w:cs="Arial"/>
        </w:rPr>
        <w:footnoteReference w:id="2"/>
      </w:r>
      <w:r w:rsidR="00AA4D4A" w:rsidRPr="007A37E1">
        <w:rPr>
          <w:rFonts w:ascii="Arial" w:hAnsi="Arial" w:cs="Arial"/>
        </w:rPr>
        <w:t xml:space="preserve"> </w:t>
      </w:r>
      <w:r w:rsidRPr="007A37E1">
        <w:rPr>
          <w:rFonts w:ascii="Arial" w:hAnsi="Arial" w:cs="Arial"/>
        </w:rPr>
        <w:t xml:space="preserve">Those powers unreasonably </w:t>
      </w:r>
      <w:r w:rsidR="00A67CAF" w:rsidRPr="007A37E1">
        <w:rPr>
          <w:rFonts w:ascii="Arial" w:hAnsi="Arial" w:cs="Arial"/>
        </w:rPr>
        <w:t>‘[</w:t>
      </w:r>
      <w:r w:rsidRPr="007A37E1">
        <w:rPr>
          <w:rFonts w:ascii="Arial" w:hAnsi="Arial" w:cs="Arial"/>
        </w:rPr>
        <w:t>violate</w:t>
      </w:r>
      <w:r w:rsidR="00A67CAF" w:rsidRPr="007A37E1">
        <w:rPr>
          <w:rFonts w:ascii="Arial" w:hAnsi="Arial" w:cs="Arial"/>
        </w:rPr>
        <w:t>]</w:t>
      </w:r>
      <w:r w:rsidRPr="007A37E1">
        <w:rPr>
          <w:rFonts w:ascii="Arial" w:hAnsi="Arial" w:cs="Arial"/>
        </w:rPr>
        <w:t xml:space="preserve"> </w:t>
      </w:r>
      <w:r w:rsidRPr="007A37E1">
        <w:rPr>
          <w:rFonts w:ascii="Arial" w:hAnsi="Arial" w:cs="Arial"/>
          <w:i/>
          <w:iCs/>
        </w:rPr>
        <w:t>almost every section</w:t>
      </w:r>
      <w:r w:rsidRPr="007A37E1">
        <w:rPr>
          <w:rFonts w:ascii="Arial" w:hAnsi="Arial" w:cs="Arial"/>
        </w:rPr>
        <w:t xml:space="preserve"> </w:t>
      </w:r>
      <w:r w:rsidR="001C3BF8" w:rsidRPr="007A37E1">
        <w:rPr>
          <w:rFonts w:ascii="Arial" w:hAnsi="Arial" w:cs="Arial"/>
        </w:rPr>
        <w:t>contained in</w:t>
      </w:r>
      <w:r w:rsidRPr="007A37E1">
        <w:rPr>
          <w:rFonts w:ascii="Arial" w:hAnsi="Arial" w:cs="Arial"/>
        </w:rPr>
        <w:t xml:space="preserve"> the Bill of Rights in the Constitution</w:t>
      </w:r>
      <w:r w:rsidR="000E41CA" w:rsidRPr="007A37E1">
        <w:rPr>
          <w:rFonts w:ascii="Arial" w:hAnsi="Arial" w:cs="Arial"/>
        </w:rPr>
        <w:t>, but specifically regulating</w:t>
      </w:r>
      <w:r w:rsidRPr="007A37E1">
        <w:rPr>
          <w:rFonts w:ascii="Arial" w:hAnsi="Arial" w:cs="Arial"/>
        </w:rPr>
        <w:t xml:space="preserve"> matters which are within the exclusive</w:t>
      </w:r>
      <w:r w:rsidR="00F30334" w:rsidRPr="007A37E1">
        <w:rPr>
          <w:rFonts w:ascii="Arial" w:hAnsi="Arial" w:cs="Arial"/>
        </w:rPr>
        <w:t xml:space="preserve"> legislative competence</w:t>
      </w:r>
      <w:r w:rsidRPr="007A37E1">
        <w:rPr>
          <w:rFonts w:ascii="Arial" w:hAnsi="Arial" w:cs="Arial"/>
        </w:rPr>
        <w:t xml:space="preserve"> of the National or Provincial Legislatures as intended </w:t>
      </w:r>
      <w:r w:rsidR="001C3BF8" w:rsidRPr="007A37E1">
        <w:rPr>
          <w:rFonts w:ascii="Arial" w:hAnsi="Arial" w:cs="Arial"/>
        </w:rPr>
        <w:t>in</w:t>
      </w:r>
      <w:r w:rsidRPr="007A37E1">
        <w:rPr>
          <w:rFonts w:ascii="Arial" w:hAnsi="Arial" w:cs="Arial"/>
        </w:rPr>
        <w:t xml:space="preserve"> Schedule 5 of the</w:t>
      </w:r>
      <w:r w:rsidR="00FC3A7D" w:rsidRPr="007A37E1">
        <w:rPr>
          <w:rFonts w:ascii="Arial" w:hAnsi="Arial" w:cs="Arial"/>
        </w:rPr>
        <w:t xml:space="preserve"> Constitution</w:t>
      </w:r>
      <w:r w:rsidR="00B92E08" w:rsidRPr="007A37E1">
        <w:rPr>
          <w:rFonts w:ascii="Arial" w:hAnsi="Arial" w:cs="Arial"/>
        </w:rPr>
        <w:t>’</w:t>
      </w:r>
      <w:r w:rsidR="00FC3A7D" w:rsidRPr="007A37E1">
        <w:rPr>
          <w:rFonts w:ascii="Arial" w:hAnsi="Arial" w:cs="Arial"/>
        </w:rPr>
        <w:t xml:space="preserve">, </w:t>
      </w:r>
      <w:r w:rsidR="001C3BF8" w:rsidRPr="007A37E1">
        <w:rPr>
          <w:rFonts w:ascii="Arial" w:hAnsi="Arial" w:cs="Arial"/>
        </w:rPr>
        <w:t xml:space="preserve">such as, </w:t>
      </w:r>
      <w:r w:rsidR="00FC3A7D" w:rsidRPr="007A37E1">
        <w:rPr>
          <w:rFonts w:ascii="Arial" w:hAnsi="Arial" w:cs="Arial"/>
        </w:rPr>
        <w:t xml:space="preserve">amongst others, </w:t>
      </w:r>
      <w:r w:rsidRPr="007A37E1">
        <w:rPr>
          <w:rFonts w:ascii="Arial" w:hAnsi="Arial" w:cs="Arial"/>
        </w:rPr>
        <w:t>the control of bus</w:t>
      </w:r>
      <w:r w:rsidR="00FC3A7D" w:rsidRPr="007A37E1">
        <w:rPr>
          <w:rFonts w:ascii="Arial" w:hAnsi="Arial" w:cs="Arial"/>
        </w:rPr>
        <w:t>inesses, persons, liquor establ</w:t>
      </w:r>
      <w:r w:rsidRPr="007A37E1">
        <w:rPr>
          <w:rFonts w:ascii="Arial" w:hAnsi="Arial" w:cs="Arial"/>
        </w:rPr>
        <w:t>i</w:t>
      </w:r>
      <w:r w:rsidR="00FC3A7D" w:rsidRPr="007A37E1">
        <w:rPr>
          <w:rFonts w:ascii="Arial" w:hAnsi="Arial" w:cs="Arial"/>
        </w:rPr>
        <w:t>s</w:t>
      </w:r>
      <w:r w:rsidRPr="007A37E1">
        <w:rPr>
          <w:rFonts w:ascii="Arial" w:hAnsi="Arial" w:cs="Arial"/>
        </w:rPr>
        <w:t>hments, cemeteries, funeral parlours and crematoria, beaches and amusement facilities, licen</w:t>
      </w:r>
      <w:r w:rsidR="005C7A32" w:rsidRPr="007A37E1">
        <w:rPr>
          <w:rFonts w:ascii="Arial" w:hAnsi="Arial" w:cs="Arial"/>
        </w:rPr>
        <w:t>s</w:t>
      </w:r>
      <w:r w:rsidRPr="007A37E1">
        <w:rPr>
          <w:rFonts w:ascii="Arial" w:hAnsi="Arial" w:cs="Arial"/>
        </w:rPr>
        <w:t>ing and control of undertakings that sell food to the public;</w:t>
      </w:r>
    </w:p>
    <w:p w14:paraId="31CCF850" w14:textId="248A4876" w:rsidR="00B70BB5" w:rsidRPr="007A37E1" w:rsidRDefault="00B70BB5" w:rsidP="00EF03F0">
      <w:pPr>
        <w:tabs>
          <w:tab w:val="left" w:pos="567"/>
        </w:tabs>
        <w:spacing w:line="360" w:lineRule="auto"/>
        <w:jc w:val="both"/>
        <w:rPr>
          <w:rFonts w:ascii="Arial" w:hAnsi="Arial" w:cs="Arial"/>
        </w:rPr>
      </w:pPr>
      <w:r w:rsidRPr="007A37E1">
        <w:rPr>
          <w:rFonts w:ascii="Arial" w:hAnsi="Arial" w:cs="Arial"/>
        </w:rPr>
        <w:t>(ii)</w:t>
      </w:r>
      <w:r w:rsidR="001C3BF8" w:rsidRPr="007A37E1">
        <w:rPr>
          <w:rFonts w:ascii="Arial" w:hAnsi="Arial" w:cs="Arial"/>
        </w:rPr>
        <w:tab/>
      </w:r>
      <w:r w:rsidRPr="007A37E1">
        <w:rPr>
          <w:rFonts w:ascii="Arial" w:hAnsi="Arial" w:cs="Arial"/>
        </w:rPr>
        <w:t xml:space="preserve">The regulations, </w:t>
      </w:r>
      <w:r w:rsidR="00DD4604" w:rsidRPr="007A37E1">
        <w:rPr>
          <w:rFonts w:ascii="Arial" w:hAnsi="Arial" w:cs="Arial"/>
        </w:rPr>
        <w:t>‘</w:t>
      </w:r>
      <w:r w:rsidRPr="007A37E1">
        <w:rPr>
          <w:rFonts w:ascii="Arial" w:hAnsi="Arial" w:cs="Arial"/>
          <w:i/>
          <w:iCs/>
        </w:rPr>
        <w:t>by far</w:t>
      </w:r>
      <w:r w:rsidRPr="007A37E1">
        <w:rPr>
          <w:rFonts w:ascii="Arial" w:hAnsi="Arial" w:cs="Arial"/>
        </w:rPr>
        <w:t>, exceed the purpose and objective of s</w:t>
      </w:r>
      <w:r w:rsidR="00FC3A7D" w:rsidRPr="007A37E1">
        <w:rPr>
          <w:rFonts w:ascii="Arial" w:hAnsi="Arial" w:cs="Arial"/>
        </w:rPr>
        <w:t xml:space="preserve"> </w:t>
      </w:r>
      <w:r w:rsidRPr="007A37E1">
        <w:rPr>
          <w:rFonts w:ascii="Arial" w:hAnsi="Arial" w:cs="Arial"/>
        </w:rPr>
        <w:t>27(2) of the Act</w:t>
      </w:r>
      <w:r w:rsidR="004B5DB1" w:rsidRPr="007A37E1">
        <w:rPr>
          <w:rFonts w:ascii="Arial" w:hAnsi="Arial" w:cs="Arial"/>
        </w:rPr>
        <w:t>’</w:t>
      </w:r>
      <w:r w:rsidRPr="007A37E1">
        <w:rPr>
          <w:rFonts w:ascii="Arial" w:hAnsi="Arial" w:cs="Arial"/>
        </w:rPr>
        <w:t>;</w:t>
      </w:r>
    </w:p>
    <w:p w14:paraId="1F5ED055" w14:textId="1D9E7DDF" w:rsidR="00B70BB5" w:rsidRPr="007A37E1" w:rsidRDefault="00B70BB5" w:rsidP="00EF03F0">
      <w:pPr>
        <w:tabs>
          <w:tab w:val="left" w:pos="567"/>
        </w:tabs>
        <w:spacing w:line="360" w:lineRule="auto"/>
        <w:jc w:val="both"/>
        <w:rPr>
          <w:rFonts w:ascii="Arial" w:hAnsi="Arial" w:cs="Arial"/>
        </w:rPr>
      </w:pPr>
      <w:r w:rsidRPr="007A37E1">
        <w:rPr>
          <w:rFonts w:ascii="Arial" w:hAnsi="Arial" w:cs="Arial"/>
        </w:rPr>
        <w:t>(iii)</w:t>
      </w:r>
      <w:r w:rsidR="001C3BF8" w:rsidRPr="007A37E1">
        <w:rPr>
          <w:rFonts w:ascii="Arial" w:hAnsi="Arial" w:cs="Arial"/>
        </w:rPr>
        <w:tab/>
      </w:r>
      <w:r w:rsidRPr="007A37E1">
        <w:rPr>
          <w:rFonts w:ascii="Arial" w:hAnsi="Arial" w:cs="Arial"/>
        </w:rPr>
        <w:t>The regulations failed to comply with s</w:t>
      </w:r>
      <w:r w:rsidR="00FC3A7D" w:rsidRPr="007A37E1">
        <w:rPr>
          <w:rFonts w:ascii="Arial" w:hAnsi="Arial" w:cs="Arial"/>
        </w:rPr>
        <w:t xml:space="preserve"> </w:t>
      </w:r>
      <w:r w:rsidRPr="007A37E1">
        <w:rPr>
          <w:rFonts w:ascii="Arial" w:hAnsi="Arial" w:cs="Arial"/>
        </w:rPr>
        <w:t>146(6) of the Constitution,</w:t>
      </w:r>
      <w:r w:rsidR="00D407A9" w:rsidRPr="007A37E1">
        <w:rPr>
          <w:rFonts w:ascii="Arial" w:hAnsi="Arial" w:cs="Arial"/>
        </w:rPr>
        <w:t xml:space="preserve"> read</w:t>
      </w:r>
      <w:r w:rsidR="001E6393" w:rsidRPr="007A37E1">
        <w:rPr>
          <w:rFonts w:ascii="Arial" w:hAnsi="Arial" w:cs="Arial"/>
        </w:rPr>
        <w:t xml:space="preserve"> with s 59 of the Act,</w:t>
      </w:r>
      <w:r w:rsidRPr="007A37E1">
        <w:rPr>
          <w:rFonts w:ascii="Arial" w:hAnsi="Arial" w:cs="Arial"/>
        </w:rPr>
        <w:t xml:space="preserve"> which provides that a law made by an Act of Parliament or a provincial Act can only prevail if that law has been passed by the National Council of Provinces (NC</w:t>
      </w:r>
      <w:r w:rsidR="00961C9F" w:rsidRPr="007A37E1">
        <w:rPr>
          <w:rFonts w:ascii="Arial" w:hAnsi="Arial" w:cs="Arial"/>
        </w:rPr>
        <w:t>O</w:t>
      </w:r>
      <w:r w:rsidRPr="007A37E1">
        <w:rPr>
          <w:rFonts w:ascii="Arial" w:hAnsi="Arial" w:cs="Arial"/>
        </w:rPr>
        <w:t>P);</w:t>
      </w:r>
    </w:p>
    <w:p w14:paraId="136B1A5C" w14:textId="260EBD71" w:rsidR="00B70BB5" w:rsidRPr="007A37E1" w:rsidRDefault="00B70BB5" w:rsidP="00EF03F0">
      <w:pPr>
        <w:tabs>
          <w:tab w:val="left" w:pos="567"/>
        </w:tabs>
        <w:spacing w:line="360" w:lineRule="auto"/>
        <w:jc w:val="both"/>
        <w:rPr>
          <w:rFonts w:ascii="Arial" w:hAnsi="Arial" w:cs="Arial"/>
        </w:rPr>
      </w:pPr>
      <w:r w:rsidRPr="007A37E1">
        <w:rPr>
          <w:rFonts w:ascii="Arial" w:hAnsi="Arial" w:cs="Arial"/>
        </w:rPr>
        <w:lastRenderedPageBreak/>
        <w:t>(i</w:t>
      </w:r>
      <w:r w:rsidR="0089315B" w:rsidRPr="007A37E1">
        <w:rPr>
          <w:rFonts w:ascii="Arial" w:hAnsi="Arial" w:cs="Arial"/>
        </w:rPr>
        <w:t>v</w:t>
      </w:r>
      <w:r w:rsidRPr="007A37E1">
        <w:rPr>
          <w:rFonts w:ascii="Arial" w:hAnsi="Arial" w:cs="Arial"/>
        </w:rPr>
        <w:t>)</w:t>
      </w:r>
      <w:r w:rsidR="001C3BF8" w:rsidRPr="007A37E1">
        <w:rPr>
          <w:rFonts w:ascii="Arial" w:hAnsi="Arial" w:cs="Arial"/>
        </w:rPr>
        <w:tab/>
      </w:r>
      <w:r w:rsidRPr="007A37E1">
        <w:rPr>
          <w:rFonts w:ascii="Arial" w:hAnsi="Arial" w:cs="Arial"/>
        </w:rPr>
        <w:t xml:space="preserve">The National State of Disaster, </w:t>
      </w:r>
      <w:r w:rsidR="00B756DE" w:rsidRPr="007A37E1">
        <w:rPr>
          <w:rFonts w:ascii="Arial" w:hAnsi="Arial" w:cs="Arial"/>
        </w:rPr>
        <w:t>‘</w:t>
      </w:r>
      <w:r w:rsidRPr="007A37E1">
        <w:rPr>
          <w:rFonts w:ascii="Arial" w:hAnsi="Arial" w:cs="Arial"/>
        </w:rPr>
        <w:t xml:space="preserve">known generally as the </w:t>
      </w:r>
      <w:r w:rsidR="00B756DE" w:rsidRPr="007A37E1">
        <w:rPr>
          <w:rFonts w:ascii="Arial" w:hAnsi="Arial" w:cs="Arial"/>
        </w:rPr>
        <w:t>L</w:t>
      </w:r>
      <w:r w:rsidRPr="007A37E1">
        <w:rPr>
          <w:rFonts w:ascii="Arial" w:hAnsi="Arial" w:cs="Arial"/>
        </w:rPr>
        <w:t>ockdown</w:t>
      </w:r>
      <w:r w:rsidR="00B756DE" w:rsidRPr="007A37E1">
        <w:rPr>
          <w:rFonts w:ascii="Arial" w:hAnsi="Arial" w:cs="Arial"/>
        </w:rPr>
        <w:t>’</w:t>
      </w:r>
      <w:r w:rsidR="00CF3DA5" w:rsidRPr="007A37E1">
        <w:rPr>
          <w:rFonts w:ascii="Arial" w:hAnsi="Arial" w:cs="Arial"/>
        </w:rPr>
        <w:t>,</w:t>
      </w:r>
      <w:r w:rsidRPr="007A37E1">
        <w:rPr>
          <w:rFonts w:ascii="Arial" w:hAnsi="Arial" w:cs="Arial"/>
        </w:rPr>
        <w:t xml:space="preserve"> was ‘irrational and based on incorrect advice and/or reaction to unconfirmed and/or otherwise unreliable international and national medical and health results</w:t>
      </w:r>
      <w:r w:rsidR="001C3BF8" w:rsidRPr="007A37E1">
        <w:rPr>
          <w:rFonts w:ascii="Arial" w:hAnsi="Arial" w:cs="Arial"/>
        </w:rPr>
        <w:t xml:space="preserve">; not taking </w:t>
      </w:r>
      <w:r w:rsidRPr="007A37E1">
        <w:rPr>
          <w:rFonts w:ascii="Arial" w:hAnsi="Arial" w:cs="Arial"/>
        </w:rPr>
        <w:t>our country’s unique socio-economic conditions into consideration</w:t>
      </w:r>
      <w:r w:rsidR="00772C38" w:rsidRPr="007A37E1">
        <w:rPr>
          <w:rFonts w:ascii="Arial" w:hAnsi="Arial" w:cs="Arial"/>
        </w:rPr>
        <w:t>’</w:t>
      </w:r>
      <w:r w:rsidRPr="007A37E1">
        <w:rPr>
          <w:rFonts w:ascii="Arial" w:hAnsi="Arial" w:cs="Arial"/>
        </w:rPr>
        <w:t>;</w:t>
      </w:r>
    </w:p>
    <w:p w14:paraId="0EDEE7DC" w14:textId="2314EB3E" w:rsidR="00B70BB5" w:rsidRPr="007A37E1" w:rsidRDefault="0089315B" w:rsidP="00EF03F0">
      <w:pPr>
        <w:tabs>
          <w:tab w:val="left" w:pos="567"/>
        </w:tabs>
        <w:spacing w:line="360" w:lineRule="auto"/>
        <w:jc w:val="both"/>
        <w:rPr>
          <w:rFonts w:ascii="Arial" w:hAnsi="Arial" w:cs="Arial"/>
        </w:rPr>
      </w:pPr>
      <w:r w:rsidRPr="007A37E1">
        <w:rPr>
          <w:rFonts w:ascii="Arial" w:hAnsi="Arial" w:cs="Arial"/>
        </w:rPr>
        <w:t>(</w:t>
      </w:r>
      <w:r w:rsidR="00B70BB5" w:rsidRPr="007A37E1">
        <w:rPr>
          <w:rFonts w:ascii="Arial" w:hAnsi="Arial" w:cs="Arial"/>
        </w:rPr>
        <w:t>v)</w:t>
      </w:r>
      <w:r w:rsidR="001C3BF8" w:rsidRPr="007A37E1">
        <w:rPr>
          <w:rFonts w:ascii="Arial" w:hAnsi="Arial" w:cs="Arial"/>
        </w:rPr>
        <w:tab/>
      </w:r>
      <w:r w:rsidR="00B70BB5" w:rsidRPr="007A37E1">
        <w:rPr>
          <w:rFonts w:ascii="Arial" w:hAnsi="Arial" w:cs="Arial"/>
        </w:rPr>
        <w:t xml:space="preserve">The prohibition of gatherings provided for in terms of the </w:t>
      </w:r>
      <w:r w:rsidR="00CF3DA5" w:rsidRPr="007A37E1">
        <w:rPr>
          <w:rFonts w:ascii="Arial" w:hAnsi="Arial" w:cs="Arial"/>
        </w:rPr>
        <w:t xml:space="preserve">Level 4 </w:t>
      </w:r>
      <w:r w:rsidR="00B70BB5" w:rsidRPr="007A37E1">
        <w:rPr>
          <w:rFonts w:ascii="Arial" w:hAnsi="Arial" w:cs="Arial"/>
        </w:rPr>
        <w:t>regulations is invalid</w:t>
      </w:r>
      <w:r w:rsidR="004F0DF6" w:rsidRPr="007A37E1">
        <w:rPr>
          <w:rFonts w:ascii="Arial" w:hAnsi="Arial" w:cs="Arial"/>
        </w:rPr>
        <w:t>,</w:t>
      </w:r>
      <w:r w:rsidR="00B70BB5" w:rsidRPr="007A37E1">
        <w:rPr>
          <w:rFonts w:ascii="Arial" w:hAnsi="Arial" w:cs="Arial"/>
        </w:rPr>
        <w:t xml:space="preserve"> as it is in direct violation of the ‘absolute-limitation’ contained in s 14(1) of the Regulation of Gathering</w:t>
      </w:r>
      <w:r w:rsidR="004F0DF6" w:rsidRPr="007A37E1">
        <w:rPr>
          <w:rFonts w:ascii="Arial" w:hAnsi="Arial" w:cs="Arial"/>
        </w:rPr>
        <w:t>s</w:t>
      </w:r>
      <w:r w:rsidR="00B70BB5" w:rsidRPr="007A37E1">
        <w:rPr>
          <w:rFonts w:ascii="Arial" w:hAnsi="Arial" w:cs="Arial"/>
        </w:rPr>
        <w:t xml:space="preserve"> Act </w:t>
      </w:r>
      <w:r w:rsidR="004F0DF6" w:rsidRPr="007A37E1">
        <w:rPr>
          <w:rFonts w:ascii="Arial" w:hAnsi="Arial" w:cs="Arial"/>
        </w:rPr>
        <w:t xml:space="preserve">205 of 1993 </w:t>
      </w:r>
      <w:r w:rsidR="00B70BB5" w:rsidRPr="007A37E1">
        <w:rPr>
          <w:rFonts w:ascii="Arial" w:hAnsi="Arial" w:cs="Arial"/>
        </w:rPr>
        <w:t>(</w:t>
      </w:r>
      <w:r w:rsidR="002909ED" w:rsidRPr="007A37E1">
        <w:rPr>
          <w:rFonts w:ascii="Arial" w:hAnsi="Arial" w:cs="Arial"/>
        </w:rPr>
        <w:t>the Gatherings Act</w:t>
      </w:r>
      <w:r w:rsidR="00B70BB5" w:rsidRPr="007A37E1">
        <w:rPr>
          <w:rFonts w:ascii="Arial" w:hAnsi="Arial" w:cs="Arial"/>
        </w:rPr>
        <w:t xml:space="preserve">) </w:t>
      </w:r>
      <w:r w:rsidR="004F0DF6" w:rsidRPr="007A37E1">
        <w:rPr>
          <w:rFonts w:ascii="Arial" w:hAnsi="Arial" w:cs="Arial"/>
        </w:rPr>
        <w:t>–</w:t>
      </w:r>
      <w:r w:rsidR="00B70BB5" w:rsidRPr="007A37E1">
        <w:rPr>
          <w:rFonts w:ascii="Arial" w:hAnsi="Arial" w:cs="Arial"/>
        </w:rPr>
        <w:t xml:space="preserve"> irrespective of the </w:t>
      </w:r>
      <w:r w:rsidR="004F0DF6" w:rsidRPr="007A37E1">
        <w:rPr>
          <w:rFonts w:ascii="Arial" w:hAnsi="Arial" w:cs="Arial"/>
        </w:rPr>
        <w:t>l</w:t>
      </w:r>
      <w:r w:rsidR="00B70BB5" w:rsidRPr="007A37E1">
        <w:rPr>
          <w:rFonts w:ascii="Arial" w:hAnsi="Arial" w:cs="Arial"/>
        </w:rPr>
        <w:t xml:space="preserve">imitation of </w:t>
      </w:r>
      <w:r w:rsidR="004F0DF6" w:rsidRPr="007A37E1">
        <w:rPr>
          <w:rFonts w:ascii="Arial" w:hAnsi="Arial" w:cs="Arial"/>
        </w:rPr>
        <w:t>r</w:t>
      </w:r>
      <w:r w:rsidR="00B70BB5" w:rsidRPr="007A37E1">
        <w:rPr>
          <w:rFonts w:ascii="Arial" w:hAnsi="Arial" w:cs="Arial"/>
        </w:rPr>
        <w:t>ights set out in s 36 of the Constitution</w:t>
      </w:r>
      <w:r w:rsidR="004F0DF6" w:rsidRPr="007A37E1">
        <w:rPr>
          <w:rFonts w:ascii="Arial" w:hAnsi="Arial" w:cs="Arial"/>
        </w:rPr>
        <w:t>. T</w:t>
      </w:r>
      <w:r w:rsidR="00B70BB5" w:rsidRPr="007A37E1">
        <w:rPr>
          <w:rFonts w:ascii="Arial" w:hAnsi="Arial" w:cs="Arial"/>
        </w:rPr>
        <w:t>he result of which</w:t>
      </w:r>
      <w:r w:rsidR="004F0DF6" w:rsidRPr="007A37E1">
        <w:rPr>
          <w:rFonts w:ascii="Arial" w:hAnsi="Arial" w:cs="Arial"/>
        </w:rPr>
        <w:t>, it is argued,</w:t>
      </w:r>
      <w:r w:rsidR="00B70BB5" w:rsidRPr="007A37E1">
        <w:rPr>
          <w:rFonts w:ascii="Arial" w:hAnsi="Arial" w:cs="Arial"/>
        </w:rPr>
        <w:t xml:space="preserve"> is that any protest against </w:t>
      </w:r>
      <w:r w:rsidR="004F0DF6" w:rsidRPr="007A37E1">
        <w:rPr>
          <w:rFonts w:ascii="Arial" w:hAnsi="Arial" w:cs="Arial"/>
        </w:rPr>
        <w:t>g</w:t>
      </w:r>
      <w:r w:rsidR="00B70BB5" w:rsidRPr="007A37E1">
        <w:rPr>
          <w:rFonts w:ascii="Arial" w:hAnsi="Arial" w:cs="Arial"/>
        </w:rPr>
        <w:t>overnment action in relation to the National State of Disaster is unlawfully prohibited</w:t>
      </w:r>
      <w:r w:rsidR="004F0DF6" w:rsidRPr="007A37E1">
        <w:rPr>
          <w:rFonts w:ascii="Arial" w:hAnsi="Arial" w:cs="Arial"/>
        </w:rPr>
        <w:t>,</w:t>
      </w:r>
      <w:r w:rsidR="00B70BB5" w:rsidRPr="007A37E1">
        <w:rPr>
          <w:rFonts w:ascii="Arial" w:hAnsi="Arial" w:cs="Arial"/>
        </w:rPr>
        <w:t xml:space="preserve"> and the regulations thus conflict with legislation that permits the gathering of people;</w:t>
      </w:r>
    </w:p>
    <w:p w14:paraId="18718B63" w14:textId="21D64D06" w:rsidR="00B70BB5" w:rsidRPr="007A37E1" w:rsidRDefault="00B70BB5" w:rsidP="00EF03F0">
      <w:pPr>
        <w:tabs>
          <w:tab w:val="left" w:pos="567"/>
        </w:tabs>
        <w:spacing w:line="360" w:lineRule="auto"/>
        <w:jc w:val="both"/>
        <w:rPr>
          <w:rFonts w:ascii="Arial" w:hAnsi="Arial" w:cs="Arial"/>
        </w:rPr>
      </w:pPr>
      <w:r w:rsidRPr="007A37E1">
        <w:rPr>
          <w:rFonts w:ascii="Arial" w:hAnsi="Arial" w:cs="Arial"/>
        </w:rPr>
        <w:t>(v</w:t>
      </w:r>
      <w:r w:rsidR="0089315B" w:rsidRPr="007A37E1">
        <w:rPr>
          <w:rFonts w:ascii="Arial" w:hAnsi="Arial" w:cs="Arial"/>
        </w:rPr>
        <w:t>i</w:t>
      </w:r>
      <w:r w:rsidRPr="007A37E1">
        <w:rPr>
          <w:rFonts w:ascii="Arial" w:hAnsi="Arial" w:cs="Arial"/>
        </w:rPr>
        <w:t>)</w:t>
      </w:r>
      <w:r w:rsidR="001C3BF8" w:rsidRPr="007A37E1">
        <w:rPr>
          <w:rFonts w:ascii="Arial" w:hAnsi="Arial" w:cs="Arial"/>
        </w:rPr>
        <w:tab/>
      </w:r>
      <w:r w:rsidRPr="007A37E1">
        <w:rPr>
          <w:rFonts w:ascii="Arial" w:hAnsi="Arial" w:cs="Arial"/>
        </w:rPr>
        <w:t>The utilisation of the Act is only authori</w:t>
      </w:r>
      <w:r w:rsidR="009118E6" w:rsidRPr="007A37E1">
        <w:rPr>
          <w:rFonts w:ascii="Arial" w:hAnsi="Arial" w:cs="Arial"/>
        </w:rPr>
        <w:t>s</w:t>
      </w:r>
      <w:r w:rsidRPr="007A37E1">
        <w:rPr>
          <w:rFonts w:ascii="Arial" w:hAnsi="Arial" w:cs="Arial"/>
        </w:rPr>
        <w:t xml:space="preserve">ed in the event that existing legislation </w:t>
      </w:r>
      <w:r w:rsidR="00CF3DA5" w:rsidRPr="007A37E1">
        <w:rPr>
          <w:rFonts w:ascii="Arial" w:hAnsi="Arial" w:cs="Arial"/>
        </w:rPr>
        <w:t>(</w:t>
      </w:r>
      <w:r w:rsidRPr="007A37E1">
        <w:rPr>
          <w:rFonts w:ascii="Arial" w:hAnsi="Arial" w:cs="Arial"/>
        </w:rPr>
        <w:t>such as the International Health Regulations Act 28 of 1974</w:t>
      </w:r>
      <w:r w:rsidR="00F938D7" w:rsidRPr="007A37E1">
        <w:rPr>
          <w:rFonts w:ascii="Arial" w:hAnsi="Arial" w:cs="Arial"/>
        </w:rPr>
        <w:t xml:space="preserve"> (IHRA)</w:t>
      </w:r>
      <w:r w:rsidRPr="007A37E1">
        <w:rPr>
          <w:rFonts w:ascii="Arial" w:hAnsi="Arial" w:cs="Arial"/>
        </w:rPr>
        <w:t>, which regulates a range of infectious diseases</w:t>
      </w:r>
      <w:r w:rsidR="00CF3DA5" w:rsidRPr="007A37E1">
        <w:rPr>
          <w:rFonts w:ascii="Arial" w:hAnsi="Arial" w:cs="Arial"/>
        </w:rPr>
        <w:t>)</w:t>
      </w:r>
      <w:r w:rsidRPr="007A37E1">
        <w:rPr>
          <w:rFonts w:ascii="Arial" w:hAnsi="Arial" w:cs="Arial"/>
        </w:rPr>
        <w:t xml:space="preserve"> or other ‘contingency arrangements’ do not cater adequately for dealing with a threatening disaster or there are special circumstances warranting the declaration of a state of disaster;</w:t>
      </w:r>
    </w:p>
    <w:p w14:paraId="56FD0BBD" w14:textId="1AE167CA" w:rsidR="00B70BB5" w:rsidRPr="007A37E1" w:rsidRDefault="00B70BB5" w:rsidP="00EF03F0">
      <w:pPr>
        <w:tabs>
          <w:tab w:val="left" w:pos="567"/>
        </w:tabs>
        <w:spacing w:line="360" w:lineRule="auto"/>
        <w:jc w:val="both"/>
        <w:rPr>
          <w:rFonts w:ascii="Arial" w:hAnsi="Arial" w:cs="Arial"/>
        </w:rPr>
      </w:pPr>
      <w:r w:rsidRPr="007A37E1">
        <w:rPr>
          <w:rFonts w:ascii="Arial" w:hAnsi="Arial" w:cs="Arial"/>
        </w:rPr>
        <w:t>(vi</w:t>
      </w:r>
      <w:r w:rsidR="0089315B" w:rsidRPr="007A37E1">
        <w:rPr>
          <w:rFonts w:ascii="Arial" w:hAnsi="Arial" w:cs="Arial"/>
        </w:rPr>
        <w:t>i</w:t>
      </w:r>
      <w:r w:rsidRPr="007A37E1">
        <w:rPr>
          <w:rFonts w:ascii="Arial" w:hAnsi="Arial" w:cs="Arial"/>
        </w:rPr>
        <w:t>)</w:t>
      </w:r>
      <w:r w:rsidR="001C3BF8" w:rsidRPr="007A37E1">
        <w:rPr>
          <w:rFonts w:ascii="Arial" w:hAnsi="Arial" w:cs="Arial"/>
        </w:rPr>
        <w:tab/>
      </w:r>
      <w:r w:rsidRPr="007A37E1">
        <w:rPr>
          <w:rFonts w:ascii="Arial" w:hAnsi="Arial" w:cs="Arial"/>
        </w:rPr>
        <w:t xml:space="preserve">The regulations are unlawful in that s </w:t>
      </w:r>
      <w:r w:rsidR="00C11E88" w:rsidRPr="007A37E1">
        <w:rPr>
          <w:rFonts w:ascii="Arial" w:hAnsi="Arial" w:cs="Arial"/>
        </w:rPr>
        <w:t>37 of the Const</w:t>
      </w:r>
      <w:r w:rsidR="00726232" w:rsidRPr="007A37E1">
        <w:rPr>
          <w:rFonts w:ascii="Arial" w:hAnsi="Arial" w:cs="Arial"/>
        </w:rPr>
        <w:t>it</w:t>
      </w:r>
      <w:r w:rsidR="00C11E88" w:rsidRPr="007A37E1">
        <w:rPr>
          <w:rFonts w:ascii="Arial" w:hAnsi="Arial" w:cs="Arial"/>
        </w:rPr>
        <w:t>ution</w:t>
      </w:r>
      <w:r w:rsidRPr="007A37E1">
        <w:rPr>
          <w:rFonts w:ascii="Arial" w:hAnsi="Arial" w:cs="Arial"/>
        </w:rPr>
        <w:t xml:space="preserve"> only allows a restriction of the Bill of Rights when there is a State of Emergency in the country, which is currently not the case</w:t>
      </w:r>
      <w:r w:rsidR="00F938D7" w:rsidRPr="007A37E1">
        <w:rPr>
          <w:rFonts w:ascii="Arial" w:hAnsi="Arial" w:cs="Arial"/>
        </w:rPr>
        <w:t>;</w:t>
      </w:r>
      <w:r w:rsidR="00726232" w:rsidRPr="007A37E1">
        <w:rPr>
          <w:rStyle w:val="FootnoteReference"/>
          <w:rFonts w:ascii="Arial" w:hAnsi="Arial" w:cs="Arial"/>
        </w:rPr>
        <w:footnoteReference w:id="3"/>
      </w:r>
    </w:p>
    <w:p w14:paraId="44B82308" w14:textId="3B6DA84D" w:rsidR="00B70BB5" w:rsidRPr="007A37E1" w:rsidRDefault="00B70BB5" w:rsidP="00EF03F0">
      <w:pPr>
        <w:tabs>
          <w:tab w:val="left" w:pos="567"/>
        </w:tabs>
        <w:spacing w:line="360" w:lineRule="auto"/>
        <w:jc w:val="both"/>
        <w:rPr>
          <w:rFonts w:ascii="Arial" w:hAnsi="Arial" w:cs="Arial"/>
        </w:rPr>
      </w:pPr>
      <w:r w:rsidRPr="007A37E1">
        <w:rPr>
          <w:rFonts w:ascii="Arial" w:hAnsi="Arial" w:cs="Arial"/>
        </w:rPr>
        <w:t>(vii</w:t>
      </w:r>
      <w:r w:rsidR="0089315B" w:rsidRPr="007A37E1">
        <w:rPr>
          <w:rFonts w:ascii="Arial" w:hAnsi="Arial" w:cs="Arial"/>
        </w:rPr>
        <w:t>i</w:t>
      </w:r>
      <w:r w:rsidRPr="007A37E1">
        <w:rPr>
          <w:rFonts w:ascii="Arial" w:hAnsi="Arial" w:cs="Arial"/>
        </w:rPr>
        <w:t>)</w:t>
      </w:r>
      <w:r w:rsidR="001C3BF8" w:rsidRPr="007A37E1">
        <w:rPr>
          <w:rFonts w:ascii="Arial" w:hAnsi="Arial" w:cs="Arial"/>
        </w:rPr>
        <w:tab/>
      </w:r>
      <w:r w:rsidRPr="007A37E1">
        <w:rPr>
          <w:rFonts w:ascii="Arial" w:hAnsi="Arial" w:cs="Arial"/>
        </w:rPr>
        <w:t>The regulations are irrational in that they contain a reference to essential services when the determination of essential services fall</w:t>
      </w:r>
      <w:r w:rsidR="0089315B" w:rsidRPr="007A37E1">
        <w:rPr>
          <w:rFonts w:ascii="Arial" w:hAnsi="Arial" w:cs="Arial"/>
        </w:rPr>
        <w:t>s</w:t>
      </w:r>
      <w:r w:rsidRPr="007A37E1">
        <w:rPr>
          <w:rFonts w:ascii="Arial" w:hAnsi="Arial" w:cs="Arial"/>
        </w:rPr>
        <w:t xml:space="preserve"> within the exclusive competence of the Essential Services Committee (ESC) established in terms of s 70 of the Labour Relations Act 66 of 1995 (LRA)</w:t>
      </w:r>
      <w:r w:rsidR="00603866" w:rsidRPr="007A37E1">
        <w:rPr>
          <w:rFonts w:ascii="Arial" w:hAnsi="Arial" w:cs="Arial"/>
        </w:rPr>
        <w:t>,</w:t>
      </w:r>
      <w:r w:rsidRPr="007A37E1">
        <w:rPr>
          <w:rFonts w:ascii="Arial" w:hAnsi="Arial" w:cs="Arial"/>
        </w:rPr>
        <w:t xml:space="preserve"> and the LRA provides</w:t>
      </w:r>
      <w:r w:rsidR="00EF03F0" w:rsidRPr="007A37E1">
        <w:rPr>
          <w:rFonts w:ascii="Arial" w:hAnsi="Arial" w:cs="Arial"/>
        </w:rPr>
        <w:t xml:space="preserve"> </w:t>
      </w:r>
      <w:r w:rsidR="00603866" w:rsidRPr="007A37E1">
        <w:rPr>
          <w:rFonts w:ascii="Arial" w:hAnsi="Arial" w:cs="Arial"/>
        </w:rPr>
        <w:t>that,</w:t>
      </w:r>
      <w:r w:rsidRPr="007A37E1">
        <w:rPr>
          <w:rFonts w:ascii="Arial" w:hAnsi="Arial" w:cs="Arial"/>
        </w:rPr>
        <w:t xml:space="preserve"> in the case of a conflict with another law</w:t>
      </w:r>
      <w:r w:rsidR="00603866" w:rsidRPr="007A37E1">
        <w:rPr>
          <w:rFonts w:ascii="Arial" w:hAnsi="Arial" w:cs="Arial"/>
        </w:rPr>
        <w:t>,</w:t>
      </w:r>
      <w:r w:rsidRPr="007A37E1">
        <w:rPr>
          <w:rFonts w:ascii="Arial" w:hAnsi="Arial" w:cs="Arial"/>
        </w:rPr>
        <w:t xml:space="preserve"> </w:t>
      </w:r>
      <w:r w:rsidR="00634DE0" w:rsidRPr="007A37E1">
        <w:rPr>
          <w:rFonts w:ascii="Arial" w:hAnsi="Arial" w:cs="Arial"/>
        </w:rPr>
        <w:t>the LRA</w:t>
      </w:r>
      <w:r w:rsidRPr="007A37E1">
        <w:rPr>
          <w:rFonts w:ascii="Arial" w:hAnsi="Arial" w:cs="Arial"/>
        </w:rPr>
        <w:t xml:space="preserve"> shall prevail;</w:t>
      </w:r>
    </w:p>
    <w:p w14:paraId="6724CDC9" w14:textId="2DE9BC88" w:rsidR="00B70BB5" w:rsidRPr="007A37E1" w:rsidRDefault="0089315B" w:rsidP="00EF03F0">
      <w:pPr>
        <w:tabs>
          <w:tab w:val="left" w:pos="567"/>
        </w:tabs>
        <w:spacing w:line="360" w:lineRule="auto"/>
        <w:jc w:val="both"/>
        <w:rPr>
          <w:rFonts w:ascii="Arial" w:hAnsi="Arial" w:cs="Arial"/>
        </w:rPr>
      </w:pPr>
      <w:r w:rsidRPr="007A37E1">
        <w:rPr>
          <w:rFonts w:ascii="Arial" w:hAnsi="Arial" w:cs="Arial"/>
        </w:rPr>
        <w:t>(ix</w:t>
      </w:r>
      <w:r w:rsidR="00B70BB5" w:rsidRPr="007A37E1">
        <w:rPr>
          <w:rFonts w:ascii="Arial" w:hAnsi="Arial" w:cs="Arial"/>
        </w:rPr>
        <w:t>)</w:t>
      </w:r>
      <w:r w:rsidR="001C3BF8" w:rsidRPr="007A37E1">
        <w:rPr>
          <w:rFonts w:ascii="Arial" w:hAnsi="Arial" w:cs="Arial"/>
        </w:rPr>
        <w:tab/>
      </w:r>
      <w:r w:rsidR="00B70BB5" w:rsidRPr="007A37E1">
        <w:rPr>
          <w:rFonts w:ascii="Arial" w:hAnsi="Arial" w:cs="Arial"/>
        </w:rPr>
        <w:t xml:space="preserve">The regulations permitted mineworkers to operate as an essential service when it has not been declared as such by the ESC, thus being ‘hypocritical, unreasonable and irrational as this decision has put mineworkers </w:t>
      </w:r>
      <w:r w:rsidR="00603866" w:rsidRPr="007A37E1">
        <w:rPr>
          <w:rFonts w:ascii="Arial" w:hAnsi="Arial" w:cs="Arial"/>
        </w:rPr>
        <w:t>[</w:t>
      </w:r>
      <w:r w:rsidR="00B70BB5" w:rsidRPr="007A37E1">
        <w:rPr>
          <w:rFonts w:ascii="Arial" w:hAnsi="Arial" w:cs="Arial"/>
        </w:rPr>
        <w:t>at risk in a high</w:t>
      </w:r>
      <w:r w:rsidR="00942D88" w:rsidRPr="007A37E1">
        <w:rPr>
          <w:rFonts w:ascii="Arial" w:hAnsi="Arial" w:cs="Arial"/>
        </w:rPr>
        <w:t>-</w:t>
      </w:r>
      <w:r w:rsidR="00B70BB5" w:rsidRPr="007A37E1">
        <w:rPr>
          <w:rFonts w:ascii="Arial" w:hAnsi="Arial" w:cs="Arial"/>
        </w:rPr>
        <w:t>risk environment</w:t>
      </w:r>
      <w:r w:rsidR="00603866" w:rsidRPr="007A37E1">
        <w:rPr>
          <w:rFonts w:ascii="Arial" w:hAnsi="Arial" w:cs="Arial"/>
        </w:rPr>
        <w:t>],</w:t>
      </w:r>
      <w:r w:rsidR="00B70BB5" w:rsidRPr="007A37E1">
        <w:rPr>
          <w:rFonts w:ascii="Arial" w:hAnsi="Arial" w:cs="Arial"/>
        </w:rPr>
        <w:t xml:space="preserve"> as recognised by the National Institute </w:t>
      </w:r>
      <w:r w:rsidR="00603866" w:rsidRPr="007A37E1">
        <w:rPr>
          <w:rFonts w:ascii="Arial" w:hAnsi="Arial" w:cs="Arial"/>
        </w:rPr>
        <w:t>for</w:t>
      </w:r>
      <w:r w:rsidR="00B70BB5" w:rsidRPr="007A37E1">
        <w:rPr>
          <w:rFonts w:ascii="Arial" w:hAnsi="Arial" w:cs="Arial"/>
        </w:rPr>
        <w:t xml:space="preserve"> Communicable </w:t>
      </w:r>
      <w:r w:rsidR="00603866" w:rsidRPr="007A37E1">
        <w:rPr>
          <w:rFonts w:ascii="Arial" w:hAnsi="Arial" w:cs="Arial"/>
        </w:rPr>
        <w:t>D</w:t>
      </w:r>
      <w:r w:rsidR="00B70BB5" w:rsidRPr="007A37E1">
        <w:rPr>
          <w:rFonts w:ascii="Arial" w:hAnsi="Arial" w:cs="Arial"/>
        </w:rPr>
        <w:t>iseases (NICD) of South Africa’;</w:t>
      </w:r>
    </w:p>
    <w:p w14:paraId="09F776BC" w14:textId="5FB67F63" w:rsidR="00B70BB5" w:rsidRPr="007A37E1" w:rsidRDefault="0089315B" w:rsidP="00EF03F0">
      <w:pPr>
        <w:tabs>
          <w:tab w:val="left" w:pos="567"/>
        </w:tabs>
        <w:spacing w:line="360" w:lineRule="auto"/>
        <w:jc w:val="both"/>
        <w:rPr>
          <w:rFonts w:ascii="Arial" w:hAnsi="Arial" w:cs="Arial"/>
        </w:rPr>
      </w:pPr>
      <w:r w:rsidRPr="007A37E1">
        <w:rPr>
          <w:rFonts w:ascii="Arial" w:hAnsi="Arial" w:cs="Arial"/>
        </w:rPr>
        <w:lastRenderedPageBreak/>
        <w:t>(</w:t>
      </w:r>
      <w:r w:rsidR="00B70BB5" w:rsidRPr="007A37E1">
        <w:rPr>
          <w:rFonts w:ascii="Arial" w:hAnsi="Arial" w:cs="Arial"/>
        </w:rPr>
        <w:t>x)</w:t>
      </w:r>
      <w:r w:rsidR="001C3BF8" w:rsidRPr="007A37E1">
        <w:rPr>
          <w:rFonts w:ascii="Arial" w:hAnsi="Arial" w:cs="Arial"/>
        </w:rPr>
        <w:tab/>
      </w:r>
      <w:r w:rsidR="00B70BB5" w:rsidRPr="007A37E1">
        <w:rPr>
          <w:rFonts w:ascii="Arial" w:hAnsi="Arial" w:cs="Arial"/>
        </w:rPr>
        <w:t xml:space="preserve">The regulations have ‘violated </w:t>
      </w:r>
      <w:r w:rsidR="00B70BB5" w:rsidRPr="007A37E1">
        <w:rPr>
          <w:rFonts w:ascii="Arial" w:hAnsi="Arial" w:cs="Arial"/>
          <w:i/>
          <w:iCs/>
        </w:rPr>
        <w:t>almost all clauses in the Bill of Rights</w:t>
      </w:r>
      <w:r w:rsidR="00B70BB5" w:rsidRPr="007A37E1">
        <w:rPr>
          <w:rFonts w:ascii="Arial" w:hAnsi="Arial" w:cs="Arial"/>
        </w:rPr>
        <w:t xml:space="preserve"> of </w:t>
      </w:r>
      <w:r w:rsidR="00B70BB5" w:rsidRPr="007A37E1">
        <w:rPr>
          <w:rFonts w:ascii="Arial" w:hAnsi="Arial" w:cs="Arial"/>
          <w:i/>
          <w:iCs/>
        </w:rPr>
        <w:t xml:space="preserve">most </w:t>
      </w:r>
      <w:r w:rsidR="00B70BB5" w:rsidRPr="007A37E1">
        <w:rPr>
          <w:rFonts w:ascii="Arial" w:hAnsi="Arial" w:cs="Arial"/>
        </w:rPr>
        <w:t>of our citizens’ and the Minister ‘has especially humiliated and trampled upon the dignity of mostly the vulnerable low-to-medium income earners of our country and our foreign guests, who rely on informal trade, tips, commissions, day wages</w:t>
      </w:r>
      <w:r w:rsidR="00CF3DA5" w:rsidRPr="007A37E1">
        <w:rPr>
          <w:rFonts w:ascii="Arial" w:hAnsi="Arial" w:cs="Arial"/>
        </w:rPr>
        <w:t>,</w:t>
      </w:r>
      <w:r w:rsidR="00B70BB5" w:rsidRPr="007A37E1">
        <w:rPr>
          <w:rFonts w:ascii="Arial" w:hAnsi="Arial" w:cs="Arial"/>
        </w:rPr>
        <w:t xml:space="preserve"> ad hoc labour</w:t>
      </w:r>
      <w:r w:rsidR="00603866" w:rsidRPr="007A37E1">
        <w:rPr>
          <w:rFonts w:ascii="Arial" w:hAnsi="Arial" w:cs="Arial"/>
        </w:rPr>
        <w:t>,</w:t>
      </w:r>
      <w:r w:rsidR="00B70BB5" w:rsidRPr="007A37E1">
        <w:rPr>
          <w:rFonts w:ascii="Arial" w:hAnsi="Arial" w:cs="Arial"/>
        </w:rPr>
        <w:t xml:space="preserve"> and begging to survive</w:t>
      </w:r>
      <w:r w:rsidR="00995624" w:rsidRPr="007A37E1">
        <w:rPr>
          <w:rFonts w:ascii="Arial" w:hAnsi="Arial" w:cs="Arial"/>
        </w:rPr>
        <w:t>’</w:t>
      </w:r>
      <w:r w:rsidR="00B70BB5" w:rsidRPr="007A37E1">
        <w:rPr>
          <w:rFonts w:ascii="Arial" w:hAnsi="Arial" w:cs="Arial"/>
        </w:rPr>
        <w:t>.</w:t>
      </w:r>
      <w:r w:rsidR="00A36902" w:rsidRPr="007A37E1">
        <w:rPr>
          <w:rFonts w:ascii="Arial" w:hAnsi="Arial" w:cs="Arial"/>
        </w:rPr>
        <w:t xml:space="preserve"> (Our</w:t>
      </w:r>
      <w:r w:rsidR="005502EB" w:rsidRPr="007A37E1">
        <w:rPr>
          <w:rFonts w:ascii="Arial" w:hAnsi="Arial" w:cs="Arial"/>
        </w:rPr>
        <w:t xml:space="preserve"> emphasis</w:t>
      </w:r>
      <w:r w:rsidR="000A39FA" w:rsidRPr="007A37E1">
        <w:rPr>
          <w:rFonts w:ascii="Arial" w:hAnsi="Arial" w:cs="Arial"/>
        </w:rPr>
        <w:t>.</w:t>
      </w:r>
      <w:r w:rsidR="005502EB" w:rsidRPr="007A37E1">
        <w:rPr>
          <w:rFonts w:ascii="Arial" w:hAnsi="Arial" w:cs="Arial"/>
        </w:rPr>
        <w:t>)</w:t>
      </w:r>
    </w:p>
    <w:p w14:paraId="7592AE2F" w14:textId="77777777" w:rsidR="00B70BB5" w:rsidRPr="007A37E1" w:rsidRDefault="00B70BB5" w:rsidP="00B70BB5">
      <w:pPr>
        <w:tabs>
          <w:tab w:val="left" w:pos="284"/>
        </w:tabs>
        <w:spacing w:line="360" w:lineRule="auto"/>
        <w:jc w:val="both"/>
        <w:rPr>
          <w:rFonts w:ascii="Arial" w:hAnsi="Arial" w:cs="Arial"/>
        </w:rPr>
      </w:pPr>
    </w:p>
    <w:p w14:paraId="35C22A5D" w14:textId="4F6C4100" w:rsidR="006E05D2" w:rsidRPr="007A37E1" w:rsidRDefault="00B70BB5" w:rsidP="006748FE">
      <w:pPr>
        <w:tabs>
          <w:tab w:val="left" w:pos="284"/>
          <w:tab w:val="left" w:pos="851"/>
        </w:tabs>
        <w:spacing w:line="360" w:lineRule="auto"/>
        <w:jc w:val="both"/>
        <w:rPr>
          <w:rFonts w:ascii="Arial" w:hAnsi="Arial" w:cs="Arial"/>
        </w:rPr>
      </w:pPr>
      <w:r w:rsidRPr="007A37E1">
        <w:rPr>
          <w:rFonts w:ascii="Arial" w:hAnsi="Arial" w:cs="Arial"/>
        </w:rPr>
        <w:t>[</w:t>
      </w:r>
      <w:r w:rsidR="00DF7FC4" w:rsidRPr="007A37E1">
        <w:rPr>
          <w:rFonts w:ascii="Arial" w:hAnsi="Arial" w:cs="Arial"/>
        </w:rPr>
        <w:t>7</w:t>
      </w:r>
      <w:r w:rsidRPr="007A37E1">
        <w:rPr>
          <w:rFonts w:ascii="Arial" w:hAnsi="Arial" w:cs="Arial"/>
        </w:rPr>
        <w:t>]</w:t>
      </w:r>
      <w:r w:rsidRPr="007A37E1">
        <w:rPr>
          <w:rFonts w:ascii="Arial" w:hAnsi="Arial" w:cs="Arial"/>
        </w:rPr>
        <w:tab/>
      </w:r>
      <w:r w:rsidRPr="007A37E1">
        <w:rPr>
          <w:rFonts w:ascii="Arial" w:hAnsi="Arial" w:cs="Arial"/>
        </w:rPr>
        <w:tab/>
      </w:r>
      <w:r w:rsidR="002168E2" w:rsidRPr="007A37E1">
        <w:rPr>
          <w:rFonts w:ascii="Arial" w:hAnsi="Arial" w:cs="Arial"/>
        </w:rPr>
        <w:t>Following immediately</w:t>
      </w:r>
      <w:r w:rsidR="002666C2" w:rsidRPr="007A37E1">
        <w:rPr>
          <w:rFonts w:ascii="Arial" w:hAnsi="Arial" w:cs="Arial"/>
        </w:rPr>
        <w:t xml:space="preserve"> thereafter,</w:t>
      </w:r>
      <w:r w:rsidR="002168E2" w:rsidRPr="007A37E1">
        <w:rPr>
          <w:rFonts w:ascii="Arial" w:hAnsi="Arial" w:cs="Arial"/>
        </w:rPr>
        <w:t xml:space="preserve"> under the</w:t>
      </w:r>
      <w:r w:rsidRPr="007A37E1">
        <w:rPr>
          <w:rFonts w:ascii="Arial" w:hAnsi="Arial" w:cs="Arial"/>
        </w:rPr>
        <w:t xml:space="preserve"> heading ‘Essential Facts’</w:t>
      </w:r>
      <w:r w:rsidR="00F938D7" w:rsidRPr="007A37E1">
        <w:rPr>
          <w:rFonts w:ascii="Arial" w:hAnsi="Arial" w:cs="Arial"/>
        </w:rPr>
        <w:t xml:space="preserve"> in the founding affidavit</w:t>
      </w:r>
      <w:r w:rsidR="0068414C" w:rsidRPr="007A37E1">
        <w:rPr>
          <w:rFonts w:ascii="Arial" w:hAnsi="Arial" w:cs="Arial"/>
        </w:rPr>
        <w:t xml:space="preserve">, </w:t>
      </w:r>
      <w:r w:rsidR="0016704E" w:rsidRPr="007A37E1">
        <w:rPr>
          <w:rFonts w:ascii="Arial" w:hAnsi="Arial" w:cs="Arial"/>
        </w:rPr>
        <w:t>ostensibly</w:t>
      </w:r>
      <w:r w:rsidR="0068414C" w:rsidRPr="007A37E1">
        <w:rPr>
          <w:rFonts w:ascii="Arial" w:hAnsi="Arial" w:cs="Arial"/>
        </w:rPr>
        <w:t xml:space="preserve"> to indicate that these facts </w:t>
      </w:r>
      <w:r w:rsidR="00D452BA" w:rsidRPr="007A37E1">
        <w:rPr>
          <w:rFonts w:ascii="Arial" w:hAnsi="Arial" w:cs="Arial"/>
        </w:rPr>
        <w:t>are</w:t>
      </w:r>
      <w:r w:rsidR="008D45A6" w:rsidRPr="007A37E1">
        <w:rPr>
          <w:rFonts w:ascii="Arial" w:hAnsi="Arial" w:cs="Arial"/>
        </w:rPr>
        <w:t xml:space="preserve"> in substantiation of </w:t>
      </w:r>
      <w:r w:rsidR="00772C38" w:rsidRPr="007A37E1">
        <w:rPr>
          <w:rFonts w:ascii="Arial" w:hAnsi="Arial" w:cs="Arial"/>
        </w:rPr>
        <w:t>its</w:t>
      </w:r>
      <w:r w:rsidR="008D45A6" w:rsidRPr="007A37E1">
        <w:rPr>
          <w:rFonts w:ascii="Arial" w:hAnsi="Arial" w:cs="Arial"/>
        </w:rPr>
        <w:t xml:space="preserve"> challenge,</w:t>
      </w:r>
      <w:r w:rsidRPr="007A37E1">
        <w:rPr>
          <w:rFonts w:ascii="Arial" w:hAnsi="Arial" w:cs="Arial"/>
        </w:rPr>
        <w:t xml:space="preserve"> the LFN state</w:t>
      </w:r>
      <w:r w:rsidR="002168E2" w:rsidRPr="007A37E1">
        <w:rPr>
          <w:rFonts w:ascii="Arial" w:hAnsi="Arial" w:cs="Arial"/>
        </w:rPr>
        <w:t>d</w:t>
      </w:r>
      <w:r w:rsidRPr="007A37E1">
        <w:rPr>
          <w:rFonts w:ascii="Arial" w:hAnsi="Arial" w:cs="Arial"/>
        </w:rPr>
        <w:t xml:space="preserve"> that it had been inundated with complaints from</w:t>
      </w:r>
      <w:r w:rsidR="0068414C" w:rsidRPr="007A37E1">
        <w:rPr>
          <w:rFonts w:ascii="Arial" w:hAnsi="Arial" w:cs="Arial"/>
        </w:rPr>
        <w:t xml:space="preserve"> its</w:t>
      </w:r>
      <w:r w:rsidRPr="007A37E1">
        <w:rPr>
          <w:rFonts w:ascii="Arial" w:hAnsi="Arial" w:cs="Arial"/>
        </w:rPr>
        <w:t xml:space="preserve"> members in relation to the financial hardships they have had to endure, including the inability to pay rentals, resulting in landlords throughout the country resorting to illegal measures</w:t>
      </w:r>
      <w:r w:rsidR="003D1C2F" w:rsidRPr="007A37E1">
        <w:rPr>
          <w:rFonts w:ascii="Arial" w:hAnsi="Arial" w:cs="Arial"/>
        </w:rPr>
        <w:t>,</w:t>
      </w:r>
      <w:r w:rsidRPr="007A37E1">
        <w:rPr>
          <w:rFonts w:ascii="Arial" w:hAnsi="Arial" w:cs="Arial"/>
        </w:rPr>
        <w:t xml:space="preserve"> such as cutting off electricity and water supplies, locking tenants out of their homes and evicting them. The LFN claimed that since </w:t>
      </w:r>
      <w:r w:rsidR="00F938D7" w:rsidRPr="007A37E1">
        <w:rPr>
          <w:rFonts w:ascii="Arial" w:hAnsi="Arial" w:cs="Arial"/>
        </w:rPr>
        <w:t xml:space="preserve">the </w:t>
      </w:r>
      <w:r w:rsidRPr="007A37E1">
        <w:rPr>
          <w:rFonts w:ascii="Arial" w:hAnsi="Arial" w:cs="Arial"/>
        </w:rPr>
        <w:t xml:space="preserve">lockdown </w:t>
      </w:r>
      <w:r w:rsidR="00F938D7" w:rsidRPr="007A37E1">
        <w:rPr>
          <w:rFonts w:ascii="Arial" w:hAnsi="Arial" w:cs="Arial"/>
        </w:rPr>
        <w:t xml:space="preserve">had </w:t>
      </w:r>
      <w:r w:rsidRPr="007A37E1">
        <w:rPr>
          <w:rFonts w:ascii="Arial" w:hAnsi="Arial" w:cs="Arial"/>
        </w:rPr>
        <w:t xml:space="preserve">started, they have dealt with 2000 such complaints and that the failure </w:t>
      </w:r>
      <w:r w:rsidR="003D1C2F" w:rsidRPr="007A37E1">
        <w:rPr>
          <w:rFonts w:ascii="Arial" w:hAnsi="Arial" w:cs="Arial"/>
        </w:rPr>
        <w:t xml:space="preserve">by the Minister </w:t>
      </w:r>
      <w:r w:rsidRPr="007A37E1">
        <w:rPr>
          <w:rFonts w:ascii="Arial" w:hAnsi="Arial" w:cs="Arial"/>
        </w:rPr>
        <w:t xml:space="preserve">to have regard to such hardships proves the irrationality of the decision to enact the regulations. </w:t>
      </w:r>
    </w:p>
    <w:p w14:paraId="51CBEF10" w14:textId="77777777" w:rsidR="006E05D2" w:rsidRPr="007A37E1" w:rsidRDefault="006E05D2" w:rsidP="00B70BB5">
      <w:pPr>
        <w:tabs>
          <w:tab w:val="left" w:pos="284"/>
        </w:tabs>
        <w:spacing w:line="360" w:lineRule="auto"/>
        <w:jc w:val="both"/>
        <w:rPr>
          <w:rFonts w:ascii="Arial" w:hAnsi="Arial" w:cs="Arial"/>
        </w:rPr>
      </w:pPr>
    </w:p>
    <w:p w14:paraId="55062FB6" w14:textId="178A203D" w:rsidR="00966C84" w:rsidRPr="007A37E1" w:rsidRDefault="006E05D2" w:rsidP="009B2DB1">
      <w:pPr>
        <w:tabs>
          <w:tab w:val="left" w:pos="284"/>
          <w:tab w:val="left" w:pos="851"/>
        </w:tabs>
        <w:spacing w:line="360" w:lineRule="auto"/>
        <w:jc w:val="both"/>
        <w:rPr>
          <w:rFonts w:ascii="Arial" w:hAnsi="Arial" w:cs="Arial"/>
        </w:rPr>
      </w:pPr>
      <w:r w:rsidRPr="007A37E1">
        <w:rPr>
          <w:rFonts w:ascii="Arial" w:hAnsi="Arial" w:cs="Arial"/>
        </w:rPr>
        <w:t>[8]</w:t>
      </w:r>
      <w:r w:rsidRPr="007A37E1">
        <w:rPr>
          <w:rFonts w:ascii="Arial" w:hAnsi="Arial" w:cs="Arial"/>
        </w:rPr>
        <w:tab/>
      </w:r>
      <w:r w:rsidR="006F14CC" w:rsidRPr="007A37E1">
        <w:rPr>
          <w:rFonts w:ascii="Arial" w:hAnsi="Arial" w:cs="Arial"/>
        </w:rPr>
        <w:tab/>
      </w:r>
      <w:r w:rsidR="003101BB" w:rsidRPr="007A37E1">
        <w:rPr>
          <w:rFonts w:ascii="Arial" w:hAnsi="Arial" w:cs="Arial"/>
        </w:rPr>
        <w:t>Th</w:t>
      </w:r>
      <w:r w:rsidR="002B6EAE" w:rsidRPr="007A37E1">
        <w:rPr>
          <w:rFonts w:ascii="Arial" w:hAnsi="Arial" w:cs="Arial"/>
        </w:rPr>
        <w:t>e next part of the founding aff</w:t>
      </w:r>
      <w:r w:rsidR="00BF3004" w:rsidRPr="007A37E1">
        <w:rPr>
          <w:rFonts w:ascii="Arial" w:hAnsi="Arial" w:cs="Arial"/>
        </w:rPr>
        <w:t>idavit</w:t>
      </w:r>
      <w:r w:rsidR="004C36D8" w:rsidRPr="007A37E1">
        <w:rPr>
          <w:rFonts w:ascii="Arial" w:hAnsi="Arial" w:cs="Arial"/>
        </w:rPr>
        <w:t>, under the same heading,</w:t>
      </w:r>
      <w:r w:rsidR="00BF3004" w:rsidRPr="007A37E1">
        <w:rPr>
          <w:rFonts w:ascii="Arial" w:hAnsi="Arial" w:cs="Arial"/>
        </w:rPr>
        <w:t xml:space="preserve"> has to be quoted</w:t>
      </w:r>
      <w:r w:rsidR="00BC2F3F" w:rsidRPr="007A37E1">
        <w:rPr>
          <w:rFonts w:ascii="Arial" w:hAnsi="Arial" w:cs="Arial"/>
        </w:rPr>
        <w:t>,</w:t>
      </w:r>
      <w:r w:rsidR="00BF3004" w:rsidRPr="007A37E1">
        <w:rPr>
          <w:rFonts w:ascii="Arial" w:hAnsi="Arial" w:cs="Arial"/>
        </w:rPr>
        <w:t xml:space="preserve"> since we are uncertain </w:t>
      </w:r>
      <w:r w:rsidR="003D1C2F" w:rsidRPr="007A37E1">
        <w:rPr>
          <w:rFonts w:ascii="Arial" w:hAnsi="Arial" w:cs="Arial"/>
        </w:rPr>
        <w:t xml:space="preserve">as to </w:t>
      </w:r>
      <w:r w:rsidR="00BF3004" w:rsidRPr="007A37E1">
        <w:rPr>
          <w:rFonts w:ascii="Arial" w:hAnsi="Arial" w:cs="Arial"/>
        </w:rPr>
        <w:t>what</w:t>
      </w:r>
      <w:r w:rsidR="0082049B" w:rsidRPr="007A37E1">
        <w:rPr>
          <w:rFonts w:ascii="Arial" w:hAnsi="Arial" w:cs="Arial"/>
        </w:rPr>
        <w:t xml:space="preserve"> precisely it</w:t>
      </w:r>
      <w:r w:rsidR="00BF3004" w:rsidRPr="007A37E1">
        <w:rPr>
          <w:rFonts w:ascii="Arial" w:hAnsi="Arial" w:cs="Arial"/>
        </w:rPr>
        <w:t xml:space="preserve"> </w:t>
      </w:r>
      <w:r w:rsidR="0053592D" w:rsidRPr="007A37E1">
        <w:rPr>
          <w:rFonts w:ascii="Arial" w:hAnsi="Arial" w:cs="Arial"/>
        </w:rPr>
        <w:t xml:space="preserve">means or </w:t>
      </w:r>
      <w:r w:rsidR="00BF3004" w:rsidRPr="007A37E1">
        <w:rPr>
          <w:rFonts w:ascii="Arial" w:hAnsi="Arial" w:cs="Arial"/>
        </w:rPr>
        <w:t>was inte</w:t>
      </w:r>
      <w:r w:rsidR="00F86159" w:rsidRPr="007A37E1">
        <w:rPr>
          <w:rFonts w:ascii="Arial" w:hAnsi="Arial" w:cs="Arial"/>
        </w:rPr>
        <w:t>n</w:t>
      </w:r>
      <w:r w:rsidR="00BF3004" w:rsidRPr="007A37E1">
        <w:rPr>
          <w:rFonts w:ascii="Arial" w:hAnsi="Arial" w:cs="Arial"/>
        </w:rPr>
        <w:t>d</w:t>
      </w:r>
      <w:r w:rsidR="00F86159" w:rsidRPr="007A37E1">
        <w:rPr>
          <w:rFonts w:ascii="Arial" w:hAnsi="Arial" w:cs="Arial"/>
        </w:rPr>
        <w:t>ed to convey</w:t>
      </w:r>
      <w:r w:rsidR="0082049B" w:rsidRPr="007A37E1">
        <w:rPr>
          <w:rFonts w:ascii="Arial" w:hAnsi="Arial" w:cs="Arial"/>
        </w:rPr>
        <w:t xml:space="preserve">. </w:t>
      </w:r>
      <w:r w:rsidR="00D60127">
        <w:rPr>
          <w:rFonts w:ascii="Arial" w:hAnsi="Arial" w:cs="Arial"/>
        </w:rPr>
        <w:t xml:space="preserve">                 </w:t>
      </w:r>
      <w:r w:rsidR="0082049B" w:rsidRPr="007A37E1">
        <w:rPr>
          <w:rFonts w:ascii="Arial" w:hAnsi="Arial" w:cs="Arial"/>
        </w:rPr>
        <w:t xml:space="preserve">Of </w:t>
      </w:r>
      <w:r w:rsidR="0053592D" w:rsidRPr="007A37E1">
        <w:rPr>
          <w:rFonts w:ascii="Arial" w:hAnsi="Arial" w:cs="Arial"/>
        </w:rPr>
        <w:t>particular</w:t>
      </w:r>
      <w:r w:rsidR="0082049B" w:rsidRPr="007A37E1">
        <w:rPr>
          <w:rFonts w:ascii="Arial" w:hAnsi="Arial" w:cs="Arial"/>
        </w:rPr>
        <w:t xml:space="preserve"> concern is whether</w:t>
      </w:r>
      <w:r w:rsidR="00475396" w:rsidRPr="007A37E1">
        <w:rPr>
          <w:rFonts w:ascii="Arial" w:hAnsi="Arial" w:cs="Arial"/>
        </w:rPr>
        <w:t>,</w:t>
      </w:r>
      <w:r w:rsidR="00BC2F3F" w:rsidRPr="007A37E1">
        <w:rPr>
          <w:rFonts w:ascii="Arial" w:hAnsi="Arial" w:cs="Arial"/>
        </w:rPr>
        <w:t xml:space="preserve"> on its own</w:t>
      </w:r>
      <w:r w:rsidR="00274DA0" w:rsidRPr="007A37E1">
        <w:rPr>
          <w:rFonts w:ascii="Arial" w:hAnsi="Arial" w:cs="Arial"/>
        </w:rPr>
        <w:t xml:space="preserve"> or with other parts of the founding affidavit,</w:t>
      </w:r>
      <w:r w:rsidR="0082049B" w:rsidRPr="007A37E1">
        <w:rPr>
          <w:rFonts w:ascii="Arial" w:hAnsi="Arial" w:cs="Arial"/>
        </w:rPr>
        <w:t xml:space="preserve"> it </w:t>
      </w:r>
      <w:r w:rsidR="0053592D" w:rsidRPr="007A37E1">
        <w:rPr>
          <w:rFonts w:ascii="Arial" w:hAnsi="Arial" w:cs="Arial"/>
        </w:rPr>
        <w:t>provides</w:t>
      </w:r>
      <w:r w:rsidR="004331D2" w:rsidRPr="007A37E1">
        <w:rPr>
          <w:rFonts w:ascii="Arial" w:hAnsi="Arial" w:cs="Arial"/>
        </w:rPr>
        <w:t xml:space="preserve"> </w:t>
      </w:r>
      <w:r w:rsidR="00F86159" w:rsidRPr="007A37E1">
        <w:rPr>
          <w:rFonts w:ascii="Arial" w:hAnsi="Arial" w:cs="Arial"/>
        </w:rPr>
        <w:t>a</w:t>
      </w:r>
      <w:r w:rsidR="00F938D7" w:rsidRPr="007A37E1">
        <w:rPr>
          <w:rFonts w:ascii="Arial" w:hAnsi="Arial" w:cs="Arial"/>
        </w:rPr>
        <w:t>n intelligible</w:t>
      </w:r>
      <w:r w:rsidR="00315FDE" w:rsidRPr="007A37E1">
        <w:rPr>
          <w:rFonts w:ascii="Arial" w:hAnsi="Arial" w:cs="Arial"/>
        </w:rPr>
        <w:t xml:space="preserve"> or</w:t>
      </w:r>
      <w:r w:rsidR="00F86159" w:rsidRPr="007A37E1">
        <w:rPr>
          <w:rFonts w:ascii="Arial" w:hAnsi="Arial" w:cs="Arial"/>
        </w:rPr>
        <w:t xml:space="preserve"> cognisable basis of challenge to the regulations</w:t>
      </w:r>
      <w:r w:rsidRPr="007A37E1">
        <w:rPr>
          <w:rFonts w:ascii="Arial" w:hAnsi="Arial" w:cs="Arial"/>
        </w:rPr>
        <w:t>.</w:t>
      </w:r>
      <w:r w:rsidR="00966C84" w:rsidRPr="007A37E1">
        <w:rPr>
          <w:rFonts w:ascii="Arial" w:hAnsi="Arial" w:cs="Arial"/>
        </w:rPr>
        <w:t xml:space="preserve"> Paragraph 4.2 of the founding affidavit reads as follows:</w:t>
      </w:r>
    </w:p>
    <w:p w14:paraId="78F96CFF" w14:textId="708237C3" w:rsidR="00966C84" w:rsidRPr="007A37E1" w:rsidRDefault="003525CD" w:rsidP="00B70BB5">
      <w:pPr>
        <w:tabs>
          <w:tab w:val="left" w:pos="284"/>
        </w:tabs>
        <w:spacing w:line="360" w:lineRule="auto"/>
        <w:jc w:val="both"/>
        <w:rPr>
          <w:rFonts w:ascii="Arial" w:hAnsi="Arial" w:cs="Arial"/>
          <w:sz w:val="22"/>
          <w:szCs w:val="22"/>
          <w:lang w:val="en-US"/>
        </w:rPr>
      </w:pPr>
      <w:r w:rsidRPr="007A37E1">
        <w:rPr>
          <w:rFonts w:ascii="Arial" w:hAnsi="Arial" w:cs="Arial"/>
          <w:sz w:val="22"/>
          <w:szCs w:val="22"/>
        </w:rPr>
        <w:t>‘</w:t>
      </w:r>
      <w:r w:rsidR="006F58D1" w:rsidRPr="007A37E1">
        <w:rPr>
          <w:rFonts w:ascii="Arial" w:hAnsi="Arial" w:cs="Arial"/>
          <w:sz w:val="22"/>
          <w:szCs w:val="22"/>
          <w:lang w:val="en-US"/>
        </w:rPr>
        <w:t xml:space="preserve">Notwithstanding that the </w:t>
      </w:r>
      <w:r w:rsidR="00475396" w:rsidRPr="007A37E1">
        <w:rPr>
          <w:rFonts w:ascii="Arial" w:hAnsi="Arial" w:cs="Arial"/>
          <w:sz w:val="22"/>
          <w:szCs w:val="22"/>
          <w:lang w:val="en-US"/>
        </w:rPr>
        <w:t>C</w:t>
      </w:r>
      <w:r w:rsidR="006F58D1" w:rsidRPr="007A37E1">
        <w:rPr>
          <w:rFonts w:ascii="Arial" w:hAnsi="Arial" w:cs="Arial"/>
          <w:sz w:val="22"/>
          <w:szCs w:val="22"/>
          <w:lang w:val="en-US"/>
        </w:rPr>
        <w:t xml:space="preserve">onstitutional </w:t>
      </w:r>
      <w:r w:rsidR="00475396" w:rsidRPr="007A37E1">
        <w:rPr>
          <w:rFonts w:ascii="Arial" w:hAnsi="Arial" w:cs="Arial"/>
          <w:sz w:val="22"/>
          <w:szCs w:val="22"/>
          <w:lang w:val="en-US"/>
        </w:rPr>
        <w:t>C</w:t>
      </w:r>
      <w:r w:rsidR="006F58D1" w:rsidRPr="007A37E1">
        <w:rPr>
          <w:rFonts w:ascii="Arial" w:hAnsi="Arial" w:cs="Arial"/>
          <w:sz w:val="22"/>
          <w:szCs w:val="22"/>
          <w:lang w:val="en-US"/>
        </w:rPr>
        <w:t>ourt already ruled that in</w:t>
      </w:r>
      <w:r w:rsidR="003536E3" w:rsidRPr="007A37E1">
        <w:rPr>
          <w:rFonts w:ascii="Arial" w:hAnsi="Arial" w:cs="Arial"/>
          <w:sz w:val="22"/>
          <w:szCs w:val="22"/>
          <w:lang w:val="en-US"/>
        </w:rPr>
        <w:t>ter alia</w:t>
      </w:r>
      <w:r w:rsidR="006F58D1" w:rsidRPr="007A37E1">
        <w:rPr>
          <w:rFonts w:ascii="Arial" w:hAnsi="Arial" w:cs="Arial"/>
          <w:sz w:val="22"/>
          <w:szCs w:val="22"/>
          <w:lang w:val="en-US"/>
        </w:rPr>
        <w:t xml:space="preserve"> the disconnection of electricity and water constitutes an eviction</w:t>
      </w:r>
      <w:r w:rsidR="003D1C2F" w:rsidRPr="007A37E1">
        <w:rPr>
          <w:rFonts w:ascii="Arial" w:hAnsi="Arial" w:cs="Arial"/>
          <w:sz w:val="22"/>
          <w:szCs w:val="22"/>
          <w:lang w:val="en-US"/>
        </w:rPr>
        <w:t>,</w:t>
      </w:r>
      <w:r w:rsidR="006F58D1" w:rsidRPr="007A37E1">
        <w:rPr>
          <w:rFonts w:ascii="Arial" w:hAnsi="Arial" w:cs="Arial"/>
          <w:sz w:val="22"/>
          <w:szCs w:val="22"/>
          <w:lang w:val="en-US"/>
        </w:rPr>
        <w:t xml:space="preserve"> and the </w:t>
      </w:r>
      <w:r w:rsidR="003536E3" w:rsidRPr="007A37E1">
        <w:rPr>
          <w:rFonts w:ascii="Arial" w:hAnsi="Arial" w:cs="Arial"/>
          <w:sz w:val="22"/>
          <w:szCs w:val="22"/>
          <w:lang w:val="en-US"/>
        </w:rPr>
        <w:t>O</w:t>
      </w:r>
      <w:r w:rsidR="006F58D1" w:rsidRPr="007A37E1">
        <w:rPr>
          <w:rFonts w:ascii="Arial" w:hAnsi="Arial" w:cs="Arial"/>
          <w:sz w:val="22"/>
          <w:szCs w:val="22"/>
          <w:lang w:val="en-US"/>
        </w:rPr>
        <w:t xml:space="preserve">ld and </w:t>
      </w:r>
      <w:r w:rsidR="003536E3" w:rsidRPr="007A37E1">
        <w:rPr>
          <w:rFonts w:ascii="Arial" w:hAnsi="Arial" w:cs="Arial"/>
          <w:sz w:val="22"/>
          <w:szCs w:val="22"/>
          <w:lang w:val="en-US"/>
        </w:rPr>
        <w:t>N</w:t>
      </w:r>
      <w:r w:rsidR="006F58D1" w:rsidRPr="007A37E1">
        <w:rPr>
          <w:rFonts w:ascii="Arial" w:hAnsi="Arial" w:cs="Arial"/>
          <w:sz w:val="22"/>
          <w:szCs w:val="22"/>
          <w:lang w:val="en-US"/>
        </w:rPr>
        <w:t xml:space="preserve">ew </w:t>
      </w:r>
      <w:r w:rsidR="003D1C2F" w:rsidRPr="007A37E1">
        <w:rPr>
          <w:rFonts w:ascii="Arial" w:hAnsi="Arial" w:cs="Arial"/>
          <w:sz w:val="22"/>
          <w:szCs w:val="22"/>
          <w:lang w:val="en-US"/>
        </w:rPr>
        <w:t>R</w:t>
      </w:r>
      <w:r w:rsidR="006F58D1" w:rsidRPr="007A37E1">
        <w:rPr>
          <w:rFonts w:ascii="Arial" w:hAnsi="Arial" w:cs="Arial"/>
          <w:sz w:val="22"/>
          <w:szCs w:val="22"/>
          <w:lang w:val="en-US"/>
        </w:rPr>
        <w:t xml:space="preserve">egulations making evictions without </w:t>
      </w:r>
      <w:r w:rsidR="003D1C2F" w:rsidRPr="007A37E1">
        <w:rPr>
          <w:rFonts w:ascii="Arial" w:hAnsi="Arial" w:cs="Arial"/>
          <w:sz w:val="22"/>
          <w:szCs w:val="22"/>
          <w:lang w:val="en-US"/>
        </w:rPr>
        <w:t>C</w:t>
      </w:r>
      <w:r w:rsidR="006F58D1" w:rsidRPr="007A37E1">
        <w:rPr>
          <w:rFonts w:ascii="Arial" w:hAnsi="Arial" w:cs="Arial"/>
          <w:sz w:val="22"/>
          <w:szCs w:val="22"/>
          <w:lang w:val="en-US"/>
        </w:rPr>
        <w:t xml:space="preserve">ourt </w:t>
      </w:r>
      <w:r w:rsidR="003D1C2F" w:rsidRPr="007A37E1">
        <w:rPr>
          <w:rFonts w:ascii="Arial" w:hAnsi="Arial" w:cs="Arial"/>
          <w:sz w:val="22"/>
          <w:szCs w:val="22"/>
          <w:lang w:val="en-US"/>
        </w:rPr>
        <w:t>O</w:t>
      </w:r>
      <w:r w:rsidR="006F58D1" w:rsidRPr="007A37E1">
        <w:rPr>
          <w:rFonts w:ascii="Arial" w:hAnsi="Arial" w:cs="Arial"/>
          <w:sz w:val="22"/>
          <w:szCs w:val="22"/>
          <w:lang w:val="en-US"/>
        </w:rPr>
        <w:t>rders also illegal and criminal</w:t>
      </w:r>
      <w:r w:rsidR="00475396" w:rsidRPr="007A37E1">
        <w:rPr>
          <w:rFonts w:ascii="Arial" w:hAnsi="Arial" w:cs="Arial"/>
          <w:sz w:val="22"/>
          <w:szCs w:val="22"/>
          <w:lang w:val="en-US"/>
        </w:rPr>
        <w:t>,</w:t>
      </w:r>
      <w:r w:rsidR="006F58D1" w:rsidRPr="007A37E1">
        <w:rPr>
          <w:rFonts w:ascii="Arial" w:hAnsi="Arial" w:cs="Arial"/>
          <w:sz w:val="22"/>
          <w:szCs w:val="22"/>
          <w:lang w:val="en-US"/>
        </w:rPr>
        <w:t xml:space="preserve"> the law is increasingly disregarded in this context. </w:t>
      </w:r>
      <w:r w:rsidR="00315FDE" w:rsidRPr="007A37E1">
        <w:rPr>
          <w:rFonts w:ascii="Arial" w:hAnsi="Arial" w:cs="Arial"/>
          <w:sz w:val="22"/>
          <w:szCs w:val="22"/>
          <w:lang w:val="en-US"/>
        </w:rPr>
        <w:t>I</w:t>
      </w:r>
      <w:r w:rsidR="008E0029" w:rsidRPr="007A37E1">
        <w:rPr>
          <w:rFonts w:ascii="Arial" w:hAnsi="Arial" w:cs="Arial"/>
          <w:sz w:val="22"/>
          <w:szCs w:val="22"/>
          <w:lang w:val="en-US"/>
        </w:rPr>
        <w:t>n addition</w:t>
      </w:r>
      <w:r w:rsidR="006F14CC" w:rsidRPr="007A37E1">
        <w:rPr>
          <w:rFonts w:ascii="Arial" w:hAnsi="Arial" w:cs="Arial"/>
          <w:sz w:val="22"/>
          <w:szCs w:val="22"/>
          <w:lang w:val="en-US"/>
        </w:rPr>
        <w:t>,</w:t>
      </w:r>
      <w:r w:rsidR="008E0029" w:rsidRPr="007A37E1">
        <w:rPr>
          <w:rFonts w:ascii="Arial" w:hAnsi="Arial" w:cs="Arial"/>
          <w:sz w:val="22"/>
          <w:szCs w:val="22"/>
          <w:lang w:val="en-US"/>
        </w:rPr>
        <w:t xml:space="preserve"> LFN and I myself have experienced a massive lack of assistance </w:t>
      </w:r>
      <w:r w:rsidR="00117B3B" w:rsidRPr="007A37E1">
        <w:rPr>
          <w:rFonts w:ascii="Arial" w:hAnsi="Arial" w:cs="Arial"/>
          <w:sz w:val="22"/>
          <w:szCs w:val="22"/>
          <w:lang w:val="en-US"/>
        </w:rPr>
        <w:t xml:space="preserve">and compassion from the side of the </w:t>
      </w:r>
      <w:r w:rsidR="003D1C2F" w:rsidRPr="007A37E1">
        <w:rPr>
          <w:rFonts w:ascii="Arial" w:hAnsi="Arial" w:cs="Arial"/>
          <w:sz w:val="22"/>
          <w:szCs w:val="22"/>
          <w:lang w:val="en-US"/>
        </w:rPr>
        <w:t>P</w:t>
      </w:r>
      <w:r w:rsidR="00117B3B" w:rsidRPr="007A37E1">
        <w:rPr>
          <w:rFonts w:ascii="Arial" w:hAnsi="Arial" w:cs="Arial"/>
          <w:sz w:val="22"/>
          <w:szCs w:val="22"/>
          <w:lang w:val="en-US"/>
        </w:rPr>
        <w:t xml:space="preserve">olice to come to the assistance of </w:t>
      </w:r>
      <w:r w:rsidR="00C23286" w:rsidRPr="007A37E1">
        <w:rPr>
          <w:rFonts w:ascii="Arial" w:hAnsi="Arial" w:cs="Arial"/>
          <w:sz w:val="22"/>
          <w:szCs w:val="22"/>
          <w:lang w:val="en-US"/>
        </w:rPr>
        <w:t>all the affected people leaving many of them without the use of electricity and water or evicted</w:t>
      </w:r>
      <w:r w:rsidR="00961DF4" w:rsidRPr="007A37E1">
        <w:rPr>
          <w:rFonts w:ascii="Arial" w:hAnsi="Arial" w:cs="Arial"/>
          <w:sz w:val="22"/>
          <w:szCs w:val="22"/>
          <w:lang w:val="en-US"/>
        </w:rPr>
        <w:t>.</w:t>
      </w:r>
      <w:r w:rsidR="00C23286" w:rsidRPr="007A37E1">
        <w:rPr>
          <w:rFonts w:ascii="Arial" w:hAnsi="Arial" w:cs="Arial"/>
          <w:sz w:val="22"/>
          <w:szCs w:val="22"/>
          <w:lang w:val="en-US"/>
        </w:rPr>
        <w:t xml:space="preserve"> </w:t>
      </w:r>
      <w:r w:rsidR="00961DF4" w:rsidRPr="007A37E1">
        <w:rPr>
          <w:rFonts w:ascii="Arial" w:hAnsi="Arial" w:cs="Arial"/>
          <w:sz w:val="22"/>
          <w:szCs w:val="22"/>
          <w:lang w:val="en-US"/>
        </w:rPr>
        <w:t xml:space="preserve">It appears to us that the </w:t>
      </w:r>
      <w:r w:rsidR="003D1C2F" w:rsidRPr="007A37E1">
        <w:rPr>
          <w:rFonts w:ascii="Arial" w:hAnsi="Arial" w:cs="Arial"/>
          <w:sz w:val="22"/>
          <w:szCs w:val="22"/>
          <w:lang w:val="en-US"/>
        </w:rPr>
        <w:t>P</w:t>
      </w:r>
      <w:r w:rsidR="00961DF4" w:rsidRPr="007A37E1">
        <w:rPr>
          <w:rFonts w:ascii="Arial" w:hAnsi="Arial" w:cs="Arial"/>
          <w:sz w:val="22"/>
          <w:szCs w:val="22"/>
          <w:lang w:val="en-US"/>
        </w:rPr>
        <w:t xml:space="preserve">olice are primarily </w:t>
      </w:r>
      <w:r w:rsidR="00ED46AB" w:rsidRPr="007A37E1">
        <w:rPr>
          <w:rFonts w:ascii="Arial" w:hAnsi="Arial" w:cs="Arial"/>
          <w:sz w:val="22"/>
          <w:szCs w:val="22"/>
          <w:lang w:val="en-US"/>
        </w:rPr>
        <w:t xml:space="preserve">occupied with the duties imposed upon them under these DMA </w:t>
      </w:r>
      <w:r w:rsidR="00003BA9" w:rsidRPr="007A37E1">
        <w:rPr>
          <w:rFonts w:ascii="Arial" w:hAnsi="Arial" w:cs="Arial"/>
          <w:sz w:val="22"/>
          <w:szCs w:val="22"/>
          <w:lang w:val="en-US"/>
        </w:rPr>
        <w:t>R</w:t>
      </w:r>
      <w:r w:rsidR="00ED46AB" w:rsidRPr="007A37E1">
        <w:rPr>
          <w:rFonts w:ascii="Arial" w:hAnsi="Arial" w:cs="Arial"/>
          <w:sz w:val="22"/>
          <w:szCs w:val="22"/>
          <w:lang w:val="en-US"/>
        </w:rPr>
        <w:t>egulations and that only very limited contingency provisions are in place to accommodate for other duties</w:t>
      </w:r>
      <w:r w:rsidR="002D33D2" w:rsidRPr="007A37E1">
        <w:rPr>
          <w:rFonts w:ascii="Arial" w:hAnsi="Arial" w:cs="Arial"/>
          <w:sz w:val="22"/>
          <w:szCs w:val="22"/>
          <w:lang w:val="en-US"/>
        </w:rPr>
        <w:t>.</w:t>
      </w:r>
      <w:r w:rsidR="00ED46AB" w:rsidRPr="007A37E1">
        <w:rPr>
          <w:rFonts w:ascii="Arial" w:hAnsi="Arial" w:cs="Arial"/>
          <w:sz w:val="22"/>
          <w:szCs w:val="22"/>
          <w:lang w:val="en-US"/>
        </w:rPr>
        <w:t xml:space="preserve"> </w:t>
      </w:r>
      <w:r w:rsidR="002D33D2" w:rsidRPr="007A37E1">
        <w:rPr>
          <w:rFonts w:ascii="Arial" w:hAnsi="Arial" w:cs="Arial"/>
          <w:sz w:val="22"/>
          <w:szCs w:val="22"/>
          <w:lang w:val="en-US"/>
        </w:rPr>
        <w:t>T</w:t>
      </w:r>
      <w:r w:rsidR="00ED46AB" w:rsidRPr="007A37E1">
        <w:rPr>
          <w:rFonts w:ascii="Arial" w:hAnsi="Arial" w:cs="Arial"/>
          <w:sz w:val="22"/>
          <w:szCs w:val="22"/>
          <w:lang w:val="en-US"/>
        </w:rPr>
        <w:t xml:space="preserve">hese artificially created shortcomings </w:t>
      </w:r>
      <w:r w:rsidR="008430C6" w:rsidRPr="007A37E1">
        <w:rPr>
          <w:rFonts w:ascii="Arial" w:hAnsi="Arial" w:cs="Arial"/>
          <w:sz w:val="22"/>
          <w:szCs w:val="22"/>
          <w:lang w:val="en-US"/>
        </w:rPr>
        <w:t>w</w:t>
      </w:r>
      <w:r w:rsidR="006D28E2" w:rsidRPr="007A37E1">
        <w:rPr>
          <w:rFonts w:ascii="Arial" w:hAnsi="Arial" w:cs="Arial"/>
          <w:sz w:val="22"/>
          <w:szCs w:val="22"/>
          <w:lang w:val="en-US"/>
        </w:rPr>
        <w:t>e</w:t>
      </w:r>
      <w:r w:rsidR="008430C6" w:rsidRPr="007A37E1">
        <w:rPr>
          <w:rFonts w:ascii="Arial" w:hAnsi="Arial" w:cs="Arial"/>
          <w:sz w:val="22"/>
          <w:szCs w:val="22"/>
          <w:lang w:val="en-US"/>
        </w:rPr>
        <w:t xml:space="preserve"> </w:t>
      </w:r>
      <w:r w:rsidR="006D28E2" w:rsidRPr="007A37E1">
        <w:rPr>
          <w:rFonts w:ascii="Arial" w:hAnsi="Arial" w:cs="Arial"/>
          <w:sz w:val="22"/>
          <w:szCs w:val="22"/>
          <w:lang w:val="en-US"/>
        </w:rPr>
        <w:t xml:space="preserve">view as a further sign of the </w:t>
      </w:r>
      <w:r w:rsidR="008430C6" w:rsidRPr="007A37E1">
        <w:rPr>
          <w:rFonts w:ascii="Arial" w:hAnsi="Arial" w:cs="Arial"/>
          <w:sz w:val="22"/>
          <w:szCs w:val="22"/>
          <w:lang w:val="en-US"/>
        </w:rPr>
        <w:t>[M</w:t>
      </w:r>
      <w:r w:rsidR="006D28E2" w:rsidRPr="007A37E1">
        <w:rPr>
          <w:rFonts w:ascii="Arial" w:hAnsi="Arial" w:cs="Arial"/>
          <w:sz w:val="22"/>
          <w:szCs w:val="22"/>
          <w:lang w:val="en-US"/>
        </w:rPr>
        <w:t>inister</w:t>
      </w:r>
      <w:r w:rsidR="008430C6" w:rsidRPr="007A37E1">
        <w:rPr>
          <w:rFonts w:ascii="Arial" w:hAnsi="Arial" w:cs="Arial"/>
          <w:sz w:val="22"/>
          <w:szCs w:val="22"/>
          <w:lang w:val="en-US"/>
        </w:rPr>
        <w:t>]</w:t>
      </w:r>
      <w:r w:rsidR="006D28E2" w:rsidRPr="007A37E1">
        <w:rPr>
          <w:rFonts w:ascii="Arial" w:hAnsi="Arial" w:cs="Arial"/>
          <w:sz w:val="22"/>
          <w:szCs w:val="22"/>
          <w:lang w:val="en-US"/>
        </w:rPr>
        <w:t xml:space="preserve"> having acted irrationally by imposing the </w:t>
      </w:r>
      <w:r w:rsidR="00A11BC1" w:rsidRPr="007A37E1">
        <w:rPr>
          <w:rFonts w:ascii="Arial" w:hAnsi="Arial" w:cs="Arial"/>
          <w:sz w:val="22"/>
          <w:szCs w:val="22"/>
          <w:lang w:val="en-US"/>
        </w:rPr>
        <w:t>[</w:t>
      </w:r>
      <w:r w:rsidR="006D28E2" w:rsidRPr="007A37E1">
        <w:rPr>
          <w:rFonts w:ascii="Arial" w:hAnsi="Arial" w:cs="Arial"/>
          <w:sz w:val="22"/>
          <w:szCs w:val="22"/>
          <w:lang w:val="en-US"/>
        </w:rPr>
        <w:t>regulations</w:t>
      </w:r>
      <w:r w:rsidR="00A11BC1" w:rsidRPr="007A37E1">
        <w:rPr>
          <w:rFonts w:ascii="Arial" w:hAnsi="Arial" w:cs="Arial"/>
          <w:sz w:val="22"/>
          <w:szCs w:val="22"/>
          <w:lang w:val="en-US"/>
        </w:rPr>
        <w:t>]</w:t>
      </w:r>
      <w:r w:rsidR="006D28E2" w:rsidRPr="007A37E1">
        <w:rPr>
          <w:rFonts w:ascii="Arial" w:hAnsi="Arial" w:cs="Arial"/>
          <w:sz w:val="22"/>
          <w:szCs w:val="22"/>
          <w:lang w:val="en-US"/>
        </w:rPr>
        <w:t>.</w:t>
      </w:r>
      <w:r w:rsidR="00A11BC1" w:rsidRPr="007A37E1">
        <w:rPr>
          <w:rFonts w:ascii="Arial" w:hAnsi="Arial" w:cs="Arial"/>
          <w:sz w:val="22"/>
          <w:szCs w:val="22"/>
          <w:lang w:val="en-US"/>
        </w:rPr>
        <w:t xml:space="preserve"> K</w:t>
      </w:r>
      <w:r w:rsidR="006D28E2" w:rsidRPr="007A37E1">
        <w:rPr>
          <w:rFonts w:ascii="Arial" w:hAnsi="Arial" w:cs="Arial"/>
          <w:sz w:val="22"/>
          <w:szCs w:val="22"/>
          <w:lang w:val="en-US"/>
        </w:rPr>
        <w:t xml:space="preserve">indly </w:t>
      </w:r>
      <w:r w:rsidR="003536E3" w:rsidRPr="007A37E1">
        <w:rPr>
          <w:rFonts w:ascii="Arial" w:hAnsi="Arial" w:cs="Arial"/>
          <w:sz w:val="22"/>
          <w:szCs w:val="22"/>
          <w:lang w:val="en-US"/>
        </w:rPr>
        <w:t xml:space="preserve">find attached as </w:t>
      </w:r>
      <w:r w:rsidR="00A11BC1" w:rsidRPr="007A37E1">
        <w:rPr>
          <w:rFonts w:ascii="Arial" w:hAnsi="Arial" w:cs="Arial"/>
          <w:sz w:val="22"/>
          <w:szCs w:val="22"/>
          <w:lang w:val="en-US"/>
        </w:rPr>
        <w:t xml:space="preserve">Annexure </w:t>
      </w:r>
      <w:r w:rsidR="00003BA9" w:rsidRPr="007A37E1">
        <w:rPr>
          <w:rFonts w:ascii="Arial" w:hAnsi="Arial" w:cs="Arial"/>
          <w:sz w:val="22"/>
          <w:szCs w:val="22"/>
          <w:lang w:val="en-US"/>
        </w:rPr>
        <w:t>“</w:t>
      </w:r>
      <w:r w:rsidR="00A11BC1" w:rsidRPr="007A37E1">
        <w:rPr>
          <w:rFonts w:ascii="Arial" w:hAnsi="Arial" w:cs="Arial"/>
          <w:sz w:val="22"/>
          <w:szCs w:val="22"/>
          <w:lang w:val="en-US"/>
        </w:rPr>
        <w:t>B</w:t>
      </w:r>
      <w:r w:rsidR="00003BA9" w:rsidRPr="007A37E1">
        <w:rPr>
          <w:rFonts w:ascii="Arial" w:hAnsi="Arial" w:cs="Arial"/>
          <w:sz w:val="22"/>
          <w:szCs w:val="22"/>
          <w:lang w:val="en-US"/>
        </w:rPr>
        <w:t>”</w:t>
      </w:r>
      <w:r w:rsidR="003536E3" w:rsidRPr="007A37E1">
        <w:rPr>
          <w:rFonts w:ascii="Arial" w:hAnsi="Arial" w:cs="Arial"/>
          <w:sz w:val="22"/>
          <w:szCs w:val="22"/>
          <w:lang w:val="en-US"/>
        </w:rPr>
        <w:t xml:space="preserve"> </w:t>
      </w:r>
      <w:r w:rsidR="00003BA9" w:rsidRPr="007A37E1">
        <w:rPr>
          <w:rFonts w:ascii="Arial" w:hAnsi="Arial" w:cs="Arial"/>
          <w:sz w:val="22"/>
          <w:szCs w:val="22"/>
          <w:lang w:val="en-US"/>
        </w:rPr>
        <w:t xml:space="preserve">only </w:t>
      </w:r>
      <w:r w:rsidR="003536E3" w:rsidRPr="007A37E1">
        <w:rPr>
          <w:rFonts w:ascii="Arial" w:hAnsi="Arial" w:cs="Arial"/>
          <w:sz w:val="22"/>
          <w:szCs w:val="22"/>
          <w:lang w:val="en-US"/>
        </w:rPr>
        <w:t>a tiny number of these complaints</w:t>
      </w:r>
      <w:r w:rsidR="003D1C2F" w:rsidRPr="007A37E1">
        <w:rPr>
          <w:rFonts w:ascii="Arial" w:hAnsi="Arial" w:cs="Arial"/>
          <w:sz w:val="22"/>
          <w:szCs w:val="22"/>
          <w:lang w:val="en-US"/>
        </w:rPr>
        <w:t>.</w:t>
      </w:r>
      <w:r w:rsidR="00A11BC1" w:rsidRPr="007A37E1">
        <w:rPr>
          <w:rFonts w:ascii="Arial" w:hAnsi="Arial" w:cs="Arial"/>
          <w:sz w:val="22"/>
          <w:szCs w:val="22"/>
          <w:lang w:val="en-US"/>
        </w:rPr>
        <w:t>’</w:t>
      </w:r>
      <w:r w:rsidR="003536E3" w:rsidRPr="007A37E1">
        <w:rPr>
          <w:rFonts w:ascii="Arial" w:hAnsi="Arial" w:cs="Arial"/>
          <w:sz w:val="22"/>
          <w:szCs w:val="22"/>
          <w:lang w:val="en-US"/>
        </w:rPr>
        <w:t xml:space="preserve"> </w:t>
      </w:r>
      <w:r w:rsidR="006D28E2" w:rsidRPr="007A37E1">
        <w:rPr>
          <w:rFonts w:ascii="Arial" w:hAnsi="Arial" w:cs="Arial"/>
          <w:sz w:val="22"/>
          <w:szCs w:val="22"/>
          <w:lang w:val="en-US"/>
        </w:rPr>
        <w:t xml:space="preserve"> </w:t>
      </w:r>
      <w:r w:rsidR="00961DF4" w:rsidRPr="007A37E1">
        <w:rPr>
          <w:rFonts w:ascii="Arial" w:hAnsi="Arial" w:cs="Arial"/>
          <w:sz w:val="22"/>
          <w:szCs w:val="22"/>
          <w:lang w:val="en-US"/>
        </w:rPr>
        <w:t xml:space="preserve">  </w:t>
      </w:r>
      <w:r w:rsidR="006F58D1" w:rsidRPr="007A37E1">
        <w:rPr>
          <w:rFonts w:ascii="Arial" w:hAnsi="Arial" w:cs="Arial"/>
          <w:sz w:val="22"/>
          <w:szCs w:val="22"/>
          <w:lang w:val="en-US"/>
        </w:rPr>
        <w:t xml:space="preserve"> </w:t>
      </w:r>
      <w:r w:rsidRPr="007A37E1">
        <w:rPr>
          <w:rFonts w:ascii="Arial" w:hAnsi="Arial" w:cs="Arial"/>
          <w:sz w:val="22"/>
          <w:szCs w:val="22"/>
        </w:rPr>
        <w:t xml:space="preserve"> </w:t>
      </w:r>
      <w:r w:rsidR="00B70BB5" w:rsidRPr="007A37E1">
        <w:rPr>
          <w:rFonts w:ascii="Arial" w:hAnsi="Arial" w:cs="Arial"/>
        </w:rPr>
        <w:t xml:space="preserve"> </w:t>
      </w:r>
    </w:p>
    <w:p w14:paraId="4A843608" w14:textId="15C5E587" w:rsidR="00B70BB5" w:rsidRPr="007A37E1" w:rsidRDefault="00995624" w:rsidP="00B70BB5">
      <w:pPr>
        <w:tabs>
          <w:tab w:val="left" w:pos="284"/>
        </w:tabs>
        <w:spacing w:line="360" w:lineRule="auto"/>
        <w:jc w:val="both"/>
        <w:rPr>
          <w:rFonts w:ascii="Arial" w:hAnsi="Arial" w:cs="Arial"/>
        </w:rPr>
      </w:pPr>
      <w:r w:rsidRPr="007A37E1">
        <w:rPr>
          <w:rFonts w:ascii="Arial" w:hAnsi="Arial" w:cs="Arial"/>
        </w:rPr>
        <w:lastRenderedPageBreak/>
        <w:t>[</w:t>
      </w:r>
      <w:r w:rsidR="00FB7478" w:rsidRPr="007A37E1">
        <w:rPr>
          <w:rFonts w:ascii="Arial" w:hAnsi="Arial" w:cs="Arial"/>
        </w:rPr>
        <w:t>9</w:t>
      </w:r>
      <w:r w:rsidRPr="007A37E1">
        <w:rPr>
          <w:rFonts w:ascii="Arial" w:hAnsi="Arial" w:cs="Arial"/>
        </w:rPr>
        <w:t>]</w:t>
      </w:r>
      <w:r w:rsidRPr="007A37E1">
        <w:rPr>
          <w:rFonts w:ascii="Arial" w:hAnsi="Arial" w:cs="Arial"/>
        </w:rPr>
        <w:tab/>
      </w:r>
      <w:r w:rsidR="00B70BB5" w:rsidRPr="007A37E1">
        <w:rPr>
          <w:rFonts w:ascii="Arial" w:hAnsi="Arial" w:cs="Arial"/>
        </w:rPr>
        <w:tab/>
        <w:t>Further</w:t>
      </w:r>
      <w:r w:rsidR="00DF7FC4" w:rsidRPr="007A37E1">
        <w:rPr>
          <w:rFonts w:ascii="Arial" w:hAnsi="Arial" w:cs="Arial"/>
        </w:rPr>
        <w:t>,</w:t>
      </w:r>
      <w:r w:rsidR="00B70BB5" w:rsidRPr="007A37E1">
        <w:rPr>
          <w:rFonts w:ascii="Arial" w:hAnsi="Arial" w:cs="Arial"/>
        </w:rPr>
        <w:t xml:space="preserve"> under ‘</w:t>
      </w:r>
      <w:r w:rsidR="003F218E" w:rsidRPr="007A37E1">
        <w:rPr>
          <w:rFonts w:ascii="Arial" w:hAnsi="Arial" w:cs="Arial"/>
        </w:rPr>
        <w:t>E</w:t>
      </w:r>
      <w:r w:rsidR="00B70BB5" w:rsidRPr="007A37E1">
        <w:rPr>
          <w:rFonts w:ascii="Arial" w:hAnsi="Arial" w:cs="Arial"/>
        </w:rPr>
        <w:t xml:space="preserve">ssential </w:t>
      </w:r>
      <w:r w:rsidR="003F218E" w:rsidRPr="007A37E1">
        <w:rPr>
          <w:rFonts w:ascii="Arial" w:hAnsi="Arial" w:cs="Arial"/>
        </w:rPr>
        <w:t>F</w:t>
      </w:r>
      <w:r w:rsidR="00B70BB5" w:rsidRPr="007A37E1">
        <w:rPr>
          <w:rFonts w:ascii="Arial" w:hAnsi="Arial" w:cs="Arial"/>
        </w:rPr>
        <w:t>acts’, the LFN complained that it and like</w:t>
      </w:r>
      <w:r w:rsidR="00475396" w:rsidRPr="007A37E1">
        <w:rPr>
          <w:rFonts w:ascii="Arial" w:hAnsi="Arial" w:cs="Arial"/>
        </w:rPr>
        <w:t xml:space="preserve"> </w:t>
      </w:r>
      <w:r w:rsidR="00B70BB5" w:rsidRPr="007A37E1">
        <w:rPr>
          <w:rFonts w:ascii="Arial" w:hAnsi="Arial" w:cs="Arial"/>
        </w:rPr>
        <w:t>organisations received no funding or assistance during this time. The LFN asserted that its social media platforms</w:t>
      </w:r>
      <w:r w:rsidR="006A656C" w:rsidRPr="007A37E1">
        <w:rPr>
          <w:rFonts w:ascii="Arial" w:hAnsi="Arial" w:cs="Arial"/>
        </w:rPr>
        <w:t>, which</w:t>
      </w:r>
      <w:r w:rsidR="00B70BB5" w:rsidRPr="007A37E1">
        <w:rPr>
          <w:rFonts w:ascii="Arial" w:hAnsi="Arial" w:cs="Arial"/>
        </w:rPr>
        <w:t xml:space="preserve"> advis</w:t>
      </w:r>
      <w:r w:rsidR="0053592D" w:rsidRPr="007A37E1">
        <w:rPr>
          <w:rFonts w:ascii="Arial" w:hAnsi="Arial" w:cs="Arial"/>
        </w:rPr>
        <w:t>e</w:t>
      </w:r>
      <w:r w:rsidR="00B70BB5" w:rsidRPr="007A37E1">
        <w:rPr>
          <w:rFonts w:ascii="Arial" w:hAnsi="Arial" w:cs="Arial"/>
        </w:rPr>
        <w:t xml:space="preserve"> tenants of their rights</w:t>
      </w:r>
      <w:r w:rsidR="006A656C" w:rsidRPr="007A37E1">
        <w:rPr>
          <w:rFonts w:ascii="Arial" w:hAnsi="Arial" w:cs="Arial"/>
        </w:rPr>
        <w:t>,</w:t>
      </w:r>
      <w:r w:rsidR="00B70BB5" w:rsidRPr="007A37E1">
        <w:rPr>
          <w:rFonts w:ascii="Arial" w:hAnsi="Arial" w:cs="Arial"/>
        </w:rPr>
        <w:t xml:space="preserve"> were overwhelmed and that it was no longer able to cover its expenses in attempting to respond to affected persons. </w:t>
      </w:r>
      <w:r w:rsidR="0053592D" w:rsidRPr="007A37E1">
        <w:rPr>
          <w:rFonts w:ascii="Arial" w:hAnsi="Arial" w:cs="Arial"/>
        </w:rPr>
        <w:t xml:space="preserve">Mr </w:t>
      </w:r>
      <w:r w:rsidR="00475396" w:rsidRPr="007A37E1">
        <w:rPr>
          <w:rFonts w:ascii="Arial" w:hAnsi="Arial" w:cs="Arial"/>
        </w:rPr>
        <w:t>d</w:t>
      </w:r>
      <w:r w:rsidR="00B70BB5" w:rsidRPr="007A37E1">
        <w:rPr>
          <w:rFonts w:ascii="Arial" w:hAnsi="Arial" w:cs="Arial"/>
        </w:rPr>
        <w:t>e Beer complained that his salary could not be paid and that he was unable to buy sufficient food to feed his family.</w:t>
      </w:r>
      <w:r w:rsidR="003C09F5" w:rsidRPr="007A37E1">
        <w:rPr>
          <w:rFonts w:ascii="Arial" w:hAnsi="Arial" w:cs="Arial"/>
        </w:rPr>
        <w:t xml:space="preserve"> </w:t>
      </w:r>
    </w:p>
    <w:p w14:paraId="31557CE9" w14:textId="77777777" w:rsidR="003F218E" w:rsidRPr="007A37E1" w:rsidRDefault="003F218E" w:rsidP="00B70BB5">
      <w:pPr>
        <w:tabs>
          <w:tab w:val="left" w:pos="284"/>
        </w:tabs>
        <w:spacing w:line="360" w:lineRule="auto"/>
        <w:jc w:val="both"/>
        <w:rPr>
          <w:rFonts w:ascii="Arial" w:hAnsi="Arial" w:cs="Arial"/>
        </w:rPr>
      </w:pPr>
    </w:p>
    <w:p w14:paraId="6FA9512C" w14:textId="3BF39FC6" w:rsidR="00B70BB5" w:rsidRPr="007A37E1" w:rsidRDefault="00B70BB5" w:rsidP="009B2DB1">
      <w:pPr>
        <w:tabs>
          <w:tab w:val="left" w:pos="284"/>
          <w:tab w:val="left" w:pos="851"/>
        </w:tabs>
        <w:spacing w:line="360" w:lineRule="auto"/>
        <w:jc w:val="both"/>
        <w:rPr>
          <w:rFonts w:ascii="Arial" w:hAnsi="Arial" w:cs="Arial"/>
        </w:rPr>
      </w:pPr>
      <w:r w:rsidRPr="007A37E1">
        <w:rPr>
          <w:rFonts w:ascii="Arial" w:hAnsi="Arial" w:cs="Arial"/>
        </w:rPr>
        <w:t>[</w:t>
      </w:r>
      <w:r w:rsidR="003C09F5" w:rsidRPr="007A37E1">
        <w:rPr>
          <w:rFonts w:ascii="Arial" w:hAnsi="Arial" w:cs="Arial"/>
        </w:rPr>
        <w:t>10</w:t>
      </w:r>
      <w:r w:rsidRPr="007A37E1">
        <w:rPr>
          <w:rFonts w:ascii="Arial" w:hAnsi="Arial" w:cs="Arial"/>
        </w:rPr>
        <w:t>]</w:t>
      </w:r>
      <w:r w:rsidRPr="007A37E1">
        <w:rPr>
          <w:rFonts w:ascii="Arial" w:hAnsi="Arial" w:cs="Arial"/>
        </w:rPr>
        <w:tab/>
      </w:r>
      <w:r w:rsidR="0053592D" w:rsidRPr="007A37E1">
        <w:rPr>
          <w:rFonts w:ascii="Arial" w:hAnsi="Arial" w:cs="Arial"/>
        </w:rPr>
        <w:t xml:space="preserve">Mr </w:t>
      </w:r>
      <w:r w:rsidR="00475396" w:rsidRPr="007A37E1">
        <w:rPr>
          <w:rFonts w:ascii="Arial" w:hAnsi="Arial" w:cs="Arial"/>
        </w:rPr>
        <w:t>d</w:t>
      </w:r>
      <w:r w:rsidRPr="007A37E1">
        <w:rPr>
          <w:rFonts w:ascii="Arial" w:hAnsi="Arial" w:cs="Arial"/>
        </w:rPr>
        <w:t>e Beer also brought to the court’s attention that the LFN represented a group of 90 out of a total of 347 employees of hair and beauty salon</w:t>
      </w:r>
      <w:r w:rsidR="00F177F3" w:rsidRPr="007A37E1">
        <w:rPr>
          <w:rFonts w:ascii="Arial" w:hAnsi="Arial" w:cs="Arial"/>
        </w:rPr>
        <w:t>s</w:t>
      </w:r>
      <w:r w:rsidRPr="007A37E1">
        <w:rPr>
          <w:rFonts w:ascii="Arial" w:hAnsi="Arial" w:cs="Arial"/>
        </w:rPr>
        <w:t xml:space="preserve"> known as ‘Bob Cuts’, which refused to pay salaries for March 2020. This employer and others, according to </w:t>
      </w:r>
      <w:r w:rsidR="00475396" w:rsidRPr="007A37E1">
        <w:rPr>
          <w:rFonts w:ascii="Arial" w:hAnsi="Arial" w:cs="Arial"/>
        </w:rPr>
        <w:t xml:space="preserve">the </w:t>
      </w:r>
      <w:r w:rsidRPr="007A37E1">
        <w:rPr>
          <w:rFonts w:ascii="Arial" w:hAnsi="Arial" w:cs="Arial"/>
        </w:rPr>
        <w:t>LFN</w:t>
      </w:r>
      <w:r w:rsidR="0053592D" w:rsidRPr="007A37E1">
        <w:rPr>
          <w:rFonts w:ascii="Arial" w:hAnsi="Arial" w:cs="Arial"/>
        </w:rPr>
        <w:t>,</w:t>
      </w:r>
      <w:r w:rsidRPr="007A37E1">
        <w:rPr>
          <w:rFonts w:ascii="Arial" w:hAnsi="Arial" w:cs="Arial"/>
        </w:rPr>
        <w:t xml:space="preserve"> had failed to submit Unemployment Insurance </w:t>
      </w:r>
      <w:r w:rsidR="00F938D7" w:rsidRPr="007A37E1">
        <w:rPr>
          <w:rFonts w:ascii="Arial" w:hAnsi="Arial" w:cs="Arial"/>
        </w:rPr>
        <w:t xml:space="preserve">Fund </w:t>
      </w:r>
      <w:r w:rsidR="003F218E" w:rsidRPr="007A37E1">
        <w:rPr>
          <w:rFonts w:ascii="Arial" w:hAnsi="Arial" w:cs="Arial"/>
        </w:rPr>
        <w:t xml:space="preserve">(UIF) </w:t>
      </w:r>
      <w:r w:rsidRPr="007A37E1">
        <w:rPr>
          <w:rFonts w:ascii="Arial" w:hAnsi="Arial" w:cs="Arial"/>
        </w:rPr>
        <w:t xml:space="preserve">contributions, leaving workers without an income, whilst complaints to the </w:t>
      </w:r>
      <w:r w:rsidR="003F218E" w:rsidRPr="007A37E1">
        <w:rPr>
          <w:rFonts w:ascii="Arial" w:hAnsi="Arial" w:cs="Arial"/>
        </w:rPr>
        <w:t>Commission for Conciliation, Mediation and Arbitration (</w:t>
      </w:r>
      <w:r w:rsidRPr="007A37E1">
        <w:rPr>
          <w:rFonts w:ascii="Arial" w:hAnsi="Arial" w:cs="Arial"/>
        </w:rPr>
        <w:t>CCMA</w:t>
      </w:r>
      <w:r w:rsidR="003F218E" w:rsidRPr="007A37E1">
        <w:rPr>
          <w:rFonts w:ascii="Arial" w:hAnsi="Arial" w:cs="Arial"/>
        </w:rPr>
        <w:t>)</w:t>
      </w:r>
      <w:r w:rsidRPr="007A37E1">
        <w:rPr>
          <w:rFonts w:ascii="Arial" w:hAnsi="Arial" w:cs="Arial"/>
        </w:rPr>
        <w:t xml:space="preserve"> and Department of Labour could not be processed</w:t>
      </w:r>
      <w:r w:rsidR="006A656C" w:rsidRPr="007A37E1">
        <w:rPr>
          <w:rFonts w:ascii="Arial" w:hAnsi="Arial" w:cs="Arial"/>
        </w:rPr>
        <w:t>,</w:t>
      </w:r>
      <w:r w:rsidRPr="007A37E1">
        <w:rPr>
          <w:rFonts w:ascii="Arial" w:hAnsi="Arial" w:cs="Arial"/>
        </w:rPr>
        <w:t xml:space="preserve"> as they were not operational during lockdown and it could take months before they are fully functional. </w:t>
      </w:r>
    </w:p>
    <w:p w14:paraId="4D9BFF31" w14:textId="77777777" w:rsidR="00B70BB5" w:rsidRPr="007A37E1" w:rsidRDefault="00B70BB5" w:rsidP="00B70BB5">
      <w:pPr>
        <w:tabs>
          <w:tab w:val="left" w:pos="284"/>
        </w:tabs>
        <w:spacing w:line="360" w:lineRule="auto"/>
        <w:jc w:val="both"/>
        <w:rPr>
          <w:rFonts w:ascii="Arial" w:hAnsi="Arial" w:cs="Arial"/>
        </w:rPr>
      </w:pPr>
    </w:p>
    <w:p w14:paraId="7499DE87" w14:textId="698F6538"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w:t>
      </w:r>
      <w:r w:rsidR="00A045B9" w:rsidRPr="007A37E1">
        <w:rPr>
          <w:rFonts w:ascii="Arial" w:hAnsi="Arial" w:cs="Arial"/>
        </w:rPr>
        <w:t>11</w:t>
      </w:r>
      <w:r w:rsidRPr="007A37E1">
        <w:rPr>
          <w:rFonts w:ascii="Arial" w:hAnsi="Arial" w:cs="Arial"/>
        </w:rPr>
        <w:t>]</w:t>
      </w:r>
      <w:r w:rsidRPr="007A37E1">
        <w:rPr>
          <w:rFonts w:ascii="Arial" w:hAnsi="Arial" w:cs="Arial"/>
        </w:rPr>
        <w:tab/>
      </w:r>
      <w:r w:rsidR="0027018A" w:rsidRPr="007A37E1">
        <w:rPr>
          <w:rFonts w:ascii="Arial" w:hAnsi="Arial" w:cs="Arial"/>
        </w:rPr>
        <w:t xml:space="preserve">A further </w:t>
      </w:r>
      <w:r w:rsidR="009936F7" w:rsidRPr="007A37E1">
        <w:rPr>
          <w:rFonts w:ascii="Arial" w:hAnsi="Arial" w:cs="Arial"/>
        </w:rPr>
        <w:t>‘essential fact’</w:t>
      </w:r>
      <w:r w:rsidR="0027018A" w:rsidRPr="007A37E1">
        <w:rPr>
          <w:rFonts w:ascii="Arial" w:hAnsi="Arial" w:cs="Arial"/>
        </w:rPr>
        <w:t xml:space="preserve"> </w:t>
      </w:r>
      <w:r w:rsidR="00F938D7" w:rsidRPr="007A37E1">
        <w:rPr>
          <w:rFonts w:ascii="Arial" w:hAnsi="Arial" w:cs="Arial"/>
        </w:rPr>
        <w:t xml:space="preserve">asserted </w:t>
      </w:r>
      <w:r w:rsidR="0027018A" w:rsidRPr="007A37E1">
        <w:rPr>
          <w:rFonts w:ascii="Arial" w:hAnsi="Arial" w:cs="Arial"/>
        </w:rPr>
        <w:t>was that p</w:t>
      </w:r>
      <w:r w:rsidRPr="007A37E1">
        <w:rPr>
          <w:rFonts w:ascii="Arial" w:hAnsi="Arial" w:cs="Arial"/>
        </w:rPr>
        <w:t xml:space="preserve">arents were expected to </w:t>
      </w:r>
      <w:r w:rsidR="00BC2660" w:rsidRPr="007A37E1">
        <w:rPr>
          <w:rFonts w:ascii="Arial" w:hAnsi="Arial" w:cs="Arial"/>
        </w:rPr>
        <w:t>home-school</w:t>
      </w:r>
      <w:r w:rsidR="00F938D7" w:rsidRPr="007A37E1">
        <w:rPr>
          <w:rFonts w:ascii="Arial" w:hAnsi="Arial" w:cs="Arial"/>
        </w:rPr>
        <w:t xml:space="preserve"> their children</w:t>
      </w:r>
      <w:r w:rsidR="004E2FFF" w:rsidRPr="007A37E1">
        <w:rPr>
          <w:rFonts w:ascii="Arial" w:hAnsi="Arial" w:cs="Arial"/>
        </w:rPr>
        <w:t>,</w:t>
      </w:r>
      <w:r w:rsidRPr="007A37E1">
        <w:rPr>
          <w:rFonts w:ascii="Arial" w:hAnsi="Arial" w:cs="Arial"/>
        </w:rPr>
        <w:t xml:space="preserve"> using data for which they have no money</w:t>
      </w:r>
      <w:r w:rsidR="0053592D" w:rsidRPr="007A37E1">
        <w:rPr>
          <w:rFonts w:ascii="Arial" w:hAnsi="Arial" w:cs="Arial"/>
        </w:rPr>
        <w:t>,</w:t>
      </w:r>
      <w:r w:rsidRPr="007A37E1">
        <w:rPr>
          <w:rFonts w:ascii="Arial" w:hAnsi="Arial" w:cs="Arial"/>
        </w:rPr>
        <w:t xml:space="preserve"> over and above the fact that </w:t>
      </w:r>
      <w:r w:rsidR="0027018A" w:rsidRPr="007A37E1">
        <w:rPr>
          <w:rFonts w:ascii="Arial" w:hAnsi="Arial" w:cs="Arial"/>
        </w:rPr>
        <w:t xml:space="preserve">they </w:t>
      </w:r>
      <w:r w:rsidRPr="007A37E1">
        <w:rPr>
          <w:rFonts w:ascii="Arial" w:hAnsi="Arial" w:cs="Arial"/>
        </w:rPr>
        <w:t xml:space="preserve">have no money for food. The LFN considered it lamentable that people were expected by Government to purchase data to keep up with legislative changes in the lockdown regime. </w:t>
      </w:r>
      <w:r w:rsidR="00F177F3" w:rsidRPr="007A37E1">
        <w:rPr>
          <w:rFonts w:ascii="Arial" w:hAnsi="Arial" w:cs="Arial"/>
        </w:rPr>
        <w:t xml:space="preserve">Mr </w:t>
      </w:r>
      <w:r w:rsidR="00475396" w:rsidRPr="007A37E1">
        <w:rPr>
          <w:rFonts w:ascii="Arial" w:hAnsi="Arial" w:cs="Arial"/>
        </w:rPr>
        <w:t>d</w:t>
      </w:r>
      <w:r w:rsidRPr="007A37E1">
        <w:rPr>
          <w:rFonts w:ascii="Arial" w:hAnsi="Arial" w:cs="Arial"/>
        </w:rPr>
        <w:t>e Beer complained that the R350 per month promised as COVID</w:t>
      </w:r>
      <w:r w:rsidR="000D7049" w:rsidRPr="007A37E1">
        <w:rPr>
          <w:rFonts w:ascii="Arial" w:hAnsi="Arial" w:cs="Arial"/>
        </w:rPr>
        <w:t>-19</w:t>
      </w:r>
      <w:r w:rsidRPr="007A37E1">
        <w:rPr>
          <w:rFonts w:ascii="Arial" w:hAnsi="Arial" w:cs="Arial"/>
        </w:rPr>
        <w:t xml:space="preserve"> relief </w:t>
      </w:r>
      <w:r w:rsidR="000D7049" w:rsidRPr="007A37E1">
        <w:rPr>
          <w:rFonts w:ascii="Arial" w:hAnsi="Arial" w:cs="Arial"/>
        </w:rPr>
        <w:t xml:space="preserve">funding by the </w:t>
      </w:r>
      <w:r w:rsidR="00EB1103" w:rsidRPr="007A37E1">
        <w:rPr>
          <w:rFonts w:ascii="Arial" w:hAnsi="Arial" w:cs="Arial"/>
        </w:rPr>
        <w:t>G</w:t>
      </w:r>
      <w:r w:rsidR="000D7049" w:rsidRPr="007A37E1">
        <w:rPr>
          <w:rFonts w:ascii="Arial" w:hAnsi="Arial" w:cs="Arial"/>
        </w:rPr>
        <w:t xml:space="preserve">overnment </w:t>
      </w:r>
      <w:r w:rsidRPr="007A37E1">
        <w:rPr>
          <w:rFonts w:ascii="Arial" w:hAnsi="Arial" w:cs="Arial"/>
        </w:rPr>
        <w:t xml:space="preserve">was difficult to access. </w:t>
      </w:r>
    </w:p>
    <w:p w14:paraId="4DFAD82E" w14:textId="77777777" w:rsidR="00B70BB5" w:rsidRPr="007A37E1" w:rsidRDefault="00B70BB5" w:rsidP="00B70BB5">
      <w:pPr>
        <w:tabs>
          <w:tab w:val="left" w:pos="284"/>
        </w:tabs>
        <w:spacing w:line="360" w:lineRule="auto"/>
        <w:jc w:val="both"/>
        <w:rPr>
          <w:rFonts w:ascii="Arial" w:hAnsi="Arial" w:cs="Arial"/>
        </w:rPr>
      </w:pPr>
    </w:p>
    <w:p w14:paraId="2B442F5C" w14:textId="70E9FDAB"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w:t>
      </w:r>
      <w:r w:rsidR="004E2FFF" w:rsidRPr="007A37E1">
        <w:rPr>
          <w:rFonts w:ascii="Arial" w:hAnsi="Arial" w:cs="Arial"/>
        </w:rPr>
        <w:t>12</w:t>
      </w:r>
      <w:r w:rsidRPr="007A37E1">
        <w:rPr>
          <w:rFonts w:ascii="Arial" w:hAnsi="Arial" w:cs="Arial"/>
        </w:rPr>
        <w:t>]</w:t>
      </w:r>
      <w:r w:rsidRPr="007A37E1">
        <w:rPr>
          <w:rFonts w:ascii="Arial" w:hAnsi="Arial" w:cs="Arial"/>
        </w:rPr>
        <w:tab/>
        <w:t>As part of this litany of complaints under the rubric of essential facts</w:t>
      </w:r>
      <w:r w:rsidR="00EF39A6" w:rsidRPr="007A37E1">
        <w:rPr>
          <w:rFonts w:ascii="Arial" w:hAnsi="Arial" w:cs="Arial"/>
        </w:rPr>
        <w:t>,</w:t>
      </w:r>
      <w:r w:rsidRPr="007A37E1">
        <w:rPr>
          <w:rFonts w:ascii="Arial" w:hAnsi="Arial" w:cs="Arial"/>
        </w:rPr>
        <w:t xml:space="preserve"> the LF</w:t>
      </w:r>
      <w:r w:rsidR="000D7049" w:rsidRPr="007A37E1">
        <w:rPr>
          <w:rFonts w:ascii="Arial" w:hAnsi="Arial" w:cs="Arial"/>
        </w:rPr>
        <w:t>N</w:t>
      </w:r>
      <w:r w:rsidRPr="007A37E1">
        <w:rPr>
          <w:rFonts w:ascii="Arial" w:hAnsi="Arial" w:cs="Arial"/>
        </w:rPr>
        <w:t xml:space="preserve"> went on to accuse the Minister of mismanagement in the distribution of food parcels</w:t>
      </w:r>
      <w:r w:rsidR="000D7049" w:rsidRPr="007A37E1">
        <w:rPr>
          <w:rFonts w:ascii="Arial" w:hAnsi="Arial" w:cs="Arial"/>
        </w:rPr>
        <w:t>,</w:t>
      </w:r>
      <w:r w:rsidRPr="007A37E1">
        <w:rPr>
          <w:rFonts w:ascii="Arial" w:hAnsi="Arial" w:cs="Arial"/>
        </w:rPr>
        <w:t xml:space="preserve"> and stated that the ruling </w:t>
      </w:r>
      <w:r w:rsidR="0053592D" w:rsidRPr="007A37E1">
        <w:rPr>
          <w:rFonts w:ascii="Arial" w:hAnsi="Arial" w:cs="Arial"/>
        </w:rPr>
        <w:t>p</w:t>
      </w:r>
      <w:r w:rsidRPr="007A37E1">
        <w:rPr>
          <w:rFonts w:ascii="Arial" w:hAnsi="Arial" w:cs="Arial"/>
        </w:rPr>
        <w:t>arty’s branches ha</w:t>
      </w:r>
      <w:r w:rsidR="00EF39A6" w:rsidRPr="007A37E1">
        <w:rPr>
          <w:rFonts w:ascii="Arial" w:hAnsi="Arial" w:cs="Arial"/>
        </w:rPr>
        <w:t>d</w:t>
      </w:r>
      <w:r w:rsidRPr="007A37E1">
        <w:rPr>
          <w:rFonts w:ascii="Arial" w:hAnsi="Arial" w:cs="Arial"/>
        </w:rPr>
        <w:t xml:space="preserve"> hijacked the distribution of essential aid. </w:t>
      </w:r>
      <w:r w:rsidR="00D60127">
        <w:rPr>
          <w:rFonts w:ascii="Arial" w:hAnsi="Arial" w:cs="Arial"/>
        </w:rPr>
        <w:t xml:space="preserve">           </w:t>
      </w:r>
      <w:r w:rsidRPr="007A37E1">
        <w:rPr>
          <w:rFonts w:ascii="Arial" w:hAnsi="Arial" w:cs="Arial"/>
        </w:rPr>
        <w:t>In support of this latter accusation</w:t>
      </w:r>
      <w:r w:rsidR="006A656C" w:rsidRPr="007A37E1">
        <w:rPr>
          <w:rFonts w:ascii="Arial" w:hAnsi="Arial" w:cs="Arial"/>
        </w:rPr>
        <w:t>,</w:t>
      </w:r>
      <w:r w:rsidRPr="007A37E1">
        <w:rPr>
          <w:rFonts w:ascii="Arial" w:hAnsi="Arial" w:cs="Arial"/>
        </w:rPr>
        <w:t xml:space="preserve"> </w:t>
      </w:r>
      <w:r w:rsidR="0053592D" w:rsidRPr="007A37E1">
        <w:rPr>
          <w:rFonts w:ascii="Arial" w:hAnsi="Arial" w:cs="Arial"/>
        </w:rPr>
        <w:t xml:space="preserve">Mr </w:t>
      </w:r>
      <w:r w:rsidR="00475396" w:rsidRPr="007A37E1">
        <w:rPr>
          <w:rFonts w:ascii="Arial" w:hAnsi="Arial" w:cs="Arial"/>
        </w:rPr>
        <w:t>d</w:t>
      </w:r>
      <w:r w:rsidRPr="007A37E1">
        <w:rPr>
          <w:rFonts w:ascii="Arial" w:hAnsi="Arial" w:cs="Arial"/>
        </w:rPr>
        <w:t xml:space="preserve">e Beer attached an article that appeared in the publication, </w:t>
      </w:r>
      <w:r w:rsidRPr="007A37E1">
        <w:rPr>
          <w:rFonts w:ascii="Arial" w:hAnsi="Arial" w:cs="Arial"/>
          <w:i/>
          <w:iCs/>
        </w:rPr>
        <w:t>Daily Maverick</w:t>
      </w:r>
      <w:r w:rsidRPr="007A37E1">
        <w:rPr>
          <w:rFonts w:ascii="Arial" w:hAnsi="Arial" w:cs="Arial"/>
        </w:rPr>
        <w:t>. The LF</w:t>
      </w:r>
      <w:r w:rsidR="000D7049" w:rsidRPr="007A37E1">
        <w:rPr>
          <w:rFonts w:ascii="Arial" w:hAnsi="Arial" w:cs="Arial"/>
        </w:rPr>
        <w:t>N</w:t>
      </w:r>
      <w:r w:rsidRPr="007A37E1">
        <w:rPr>
          <w:rFonts w:ascii="Arial" w:hAnsi="Arial" w:cs="Arial"/>
        </w:rPr>
        <w:t xml:space="preserve"> was adamant that its members were, as a result of the regulations</w:t>
      </w:r>
      <w:r w:rsidR="000D7049" w:rsidRPr="007A37E1">
        <w:rPr>
          <w:rFonts w:ascii="Arial" w:hAnsi="Arial" w:cs="Arial"/>
        </w:rPr>
        <w:t>,</w:t>
      </w:r>
      <w:r w:rsidRPr="007A37E1">
        <w:rPr>
          <w:rFonts w:ascii="Arial" w:hAnsi="Arial" w:cs="Arial"/>
        </w:rPr>
        <w:t xml:space="preserve"> treated unfairly and discriminated against. </w:t>
      </w:r>
      <w:r w:rsidR="0053592D" w:rsidRPr="007A37E1">
        <w:rPr>
          <w:rFonts w:ascii="Arial" w:hAnsi="Arial" w:cs="Arial"/>
        </w:rPr>
        <w:t xml:space="preserve">Mr </w:t>
      </w:r>
      <w:r w:rsidR="00475396" w:rsidRPr="007A37E1">
        <w:rPr>
          <w:rFonts w:ascii="Arial" w:hAnsi="Arial" w:cs="Arial"/>
        </w:rPr>
        <w:t>d</w:t>
      </w:r>
      <w:r w:rsidRPr="007A37E1">
        <w:rPr>
          <w:rFonts w:ascii="Arial" w:hAnsi="Arial" w:cs="Arial"/>
        </w:rPr>
        <w:t xml:space="preserve">e Beer complained that </w:t>
      </w:r>
      <w:r w:rsidR="0053592D" w:rsidRPr="007A37E1">
        <w:rPr>
          <w:rFonts w:ascii="Arial" w:hAnsi="Arial" w:cs="Arial"/>
        </w:rPr>
        <w:t>his personal circumstances were such that</w:t>
      </w:r>
      <w:r w:rsidRPr="007A37E1">
        <w:rPr>
          <w:rFonts w:ascii="Arial" w:hAnsi="Arial" w:cs="Arial"/>
        </w:rPr>
        <w:t xml:space="preserve"> his two daughters were</w:t>
      </w:r>
      <w:r w:rsidR="0053592D" w:rsidRPr="007A37E1">
        <w:rPr>
          <w:rFonts w:ascii="Arial" w:hAnsi="Arial" w:cs="Arial"/>
        </w:rPr>
        <w:t xml:space="preserve">, </w:t>
      </w:r>
      <w:r w:rsidRPr="007A37E1">
        <w:rPr>
          <w:rFonts w:ascii="Arial" w:hAnsi="Arial" w:cs="Arial"/>
        </w:rPr>
        <w:t>as a result of the regulations</w:t>
      </w:r>
      <w:r w:rsidR="0053592D" w:rsidRPr="007A37E1">
        <w:rPr>
          <w:rFonts w:ascii="Arial" w:hAnsi="Arial" w:cs="Arial"/>
        </w:rPr>
        <w:t>,</w:t>
      </w:r>
      <w:r w:rsidRPr="007A37E1">
        <w:rPr>
          <w:rFonts w:ascii="Arial" w:hAnsi="Arial" w:cs="Arial"/>
        </w:rPr>
        <w:t xml:space="preserve"> losing out on proper schooling</w:t>
      </w:r>
      <w:r w:rsidR="0053592D" w:rsidRPr="007A37E1">
        <w:rPr>
          <w:rFonts w:ascii="Arial" w:hAnsi="Arial" w:cs="Arial"/>
        </w:rPr>
        <w:t>. I</w:t>
      </w:r>
      <w:r w:rsidRPr="007A37E1">
        <w:rPr>
          <w:rFonts w:ascii="Arial" w:hAnsi="Arial" w:cs="Arial"/>
        </w:rPr>
        <w:t xml:space="preserve">n addition, their school’s governing body had put him on terms to pay outstanding school fees. </w:t>
      </w:r>
    </w:p>
    <w:p w14:paraId="4474C514" w14:textId="4E37AC5D" w:rsidR="00B70BB5" w:rsidRPr="007A37E1" w:rsidRDefault="00B70BB5" w:rsidP="00E81C11">
      <w:pPr>
        <w:tabs>
          <w:tab w:val="left" w:pos="284"/>
          <w:tab w:val="left" w:pos="851"/>
        </w:tabs>
        <w:spacing w:line="360" w:lineRule="auto"/>
        <w:jc w:val="both"/>
        <w:rPr>
          <w:rFonts w:ascii="Arial" w:hAnsi="Arial" w:cs="Arial"/>
        </w:rPr>
      </w:pPr>
      <w:r w:rsidRPr="007A37E1">
        <w:rPr>
          <w:rFonts w:ascii="Arial" w:hAnsi="Arial" w:cs="Arial"/>
        </w:rPr>
        <w:lastRenderedPageBreak/>
        <w:t>[1</w:t>
      </w:r>
      <w:r w:rsidR="00162145" w:rsidRPr="007A37E1">
        <w:rPr>
          <w:rFonts w:ascii="Arial" w:hAnsi="Arial" w:cs="Arial"/>
        </w:rPr>
        <w:t>3</w:t>
      </w:r>
      <w:r w:rsidRPr="007A37E1">
        <w:rPr>
          <w:rFonts w:ascii="Arial" w:hAnsi="Arial" w:cs="Arial"/>
        </w:rPr>
        <w:t>]</w:t>
      </w:r>
      <w:r w:rsidRPr="007A37E1">
        <w:rPr>
          <w:rFonts w:ascii="Arial" w:hAnsi="Arial" w:cs="Arial"/>
        </w:rPr>
        <w:tab/>
      </w:r>
      <w:r w:rsidR="00655A0E" w:rsidRPr="007A37E1">
        <w:rPr>
          <w:rFonts w:ascii="Arial" w:hAnsi="Arial" w:cs="Arial"/>
        </w:rPr>
        <w:t>Still under</w:t>
      </w:r>
      <w:r w:rsidR="00F177F3" w:rsidRPr="007A37E1">
        <w:rPr>
          <w:rFonts w:ascii="Arial" w:hAnsi="Arial" w:cs="Arial"/>
        </w:rPr>
        <w:t xml:space="preserve"> the heading </w:t>
      </w:r>
      <w:r w:rsidRPr="007A37E1">
        <w:rPr>
          <w:rFonts w:ascii="Arial" w:hAnsi="Arial" w:cs="Arial"/>
        </w:rPr>
        <w:t>‘</w:t>
      </w:r>
      <w:r w:rsidR="000E1012" w:rsidRPr="007A37E1">
        <w:rPr>
          <w:rFonts w:ascii="Arial" w:hAnsi="Arial" w:cs="Arial"/>
        </w:rPr>
        <w:t>E</w:t>
      </w:r>
      <w:r w:rsidRPr="007A37E1">
        <w:rPr>
          <w:rFonts w:ascii="Arial" w:hAnsi="Arial" w:cs="Arial"/>
        </w:rPr>
        <w:t xml:space="preserve">ssential </w:t>
      </w:r>
      <w:r w:rsidR="000E1012" w:rsidRPr="007A37E1">
        <w:rPr>
          <w:rFonts w:ascii="Arial" w:hAnsi="Arial" w:cs="Arial"/>
        </w:rPr>
        <w:t>F</w:t>
      </w:r>
      <w:r w:rsidRPr="007A37E1">
        <w:rPr>
          <w:rFonts w:ascii="Arial" w:hAnsi="Arial" w:cs="Arial"/>
        </w:rPr>
        <w:t>acts’</w:t>
      </w:r>
      <w:r w:rsidR="00475396" w:rsidRPr="007A37E1">
        <w:rPr>
          <w:rFonts w:ascii="Arial" w:hAnsi="Arial" w:cs="Arial"/>
        </w:rPr>
        <w:t>,</w:t>
      </w:r>
      <w:r w:rsidR="00F177F3" w:rsidRPr="007A37E1">
        <w:rPr>
          <w:rFonts w:ascii="Arial" w:hAnsi="Arial" w:cs="Arial"/>
        </w:rPr>
        <w:t xml:space="preserve"> </w:t>
      </w:r>
      <w:r w:rsidRPr="007A37E1">
        <w:rPr>
          <w:rFonts w:ascii="Arial" w:hAnsi="Arial" w:cs="Arial"/>
        </w:rPr>
        <w:t>the LF</w:t>
      </w:r>
      <w:r w:rsidR="0044345F" w:rsidRPr="007A37E1">
        <w:rPr>
          <w:rFonts w:ascii="Arial" w:hAnsi="Arial" w:cs="Arial"/>
        </w:rPr>
        <w:t>N</w:t>
      </w:r>
      <w:r w:rsidRPr="007A37E1">
        <w:rPr>
          <w:rFonts w:ascii="Arial" w:hAnsi="Arial" w:cs="Arial"/>
        </w:rPr>
        <w:t>, albeit repeating</w:t>
      </w:r>
      <w:r w:rsidR="00F178D6" w:rsidRPr="007A37E1">
        <w:rPr>
          <w:rFonts w:ascii="Arial" w:hAnsi="Arial" w:cs="Arial"/>
        </w:rPr>
        <w:t>,</w:t>
      </w:r>
      <w:r w:rsidRPr="007A37E1">
        <w:rPr>
          <w:rFonts w:ascii="Arial" w:hAnsi="Arial" w:cs="Arial"/>
        </w:rPr>
        <w:t xml:space="preserve"> in essence, so</w:t>
      </w:r>
      <w:r w:rsidR="007C167B" w:rsidRPr="007A37E1">
        <w:rPr>
          <w:rFonts w:ascii="Arial" w:hAnsi="Arial" w:cs="Arial"/>
        </w:rPr>
        <w:t>me of the</w:t>
      </w:r>
      <w:r w:rsidRPr="007A37E1">
        <w:rPr>
          <w:rFonts w:ascii="Arial" w:hAnsi="Arial" w:cs="Arial"/>
        </w:rPr>
        <w:t xml:space="preserve"> earlier</w:t>
      </w:r>
      <w:r w:rsidR="007C167B" w:rsidRPr="007A37E1">
        <w:rPr>
          <w:rFonts w:ascii="Arial" w:hAnsi="Arial" w:cs="Arial"/>
        </w:rPr>
        <w:t xml:space="preserve"> allegations</w:t>
      </w:r>
      <w:r w:rsidRPr="007A37E1">
        <w:rPr>
          <w:rFonts w:ascii="Arial" w:hAnsi="Arial" w:cs="Arial"/>
        </w:rPr>
        <w:t>, commented that the ‘property industry’ has been ‘hit hard’</w:t>
      </w:r>
      <w:r w:rsidR="000E1012" w:rsidRPr="007A37E1">
        <w:rPr>
          <w:rFonts w:ascii="Arial" w:hAnsi="Arial" w:cs="Arial"/>
        </w:rPr>
        <w:t>,</w:t>
      </w:r>
      <w:r w:rsidRPr="007A37E1">
        <w:rPr>
          <w:rFonts w:ascii="Arial" w:hAnsi="Arial" w:cs="Arial"/>
        </w:rPr>
        <w:t xml:space="preserve"> and that there was a war between landlords and tenants</w:t>
      </w:r>
      <w:r w:rsidR="000E1012" w:rsidRPr="007A37E1">
        <w:rPr>
          <w:rFonts w:ascii="Arial" w:hAnsi="Arial" w:cs="Arial"/>
        </w:rPr>
        <w:t>,</w:t>
      </w:r>
      <w:r w:rsidRPr="007A37E1">
        <w:rPr>
          <w:rFonts w:ascii="Arial" w:hAnsi="Arial" w:cs="Arial"/>
        </w:rPr>
        <w:t xml:space="preserve"> and that tenants were compelled to secure microloans and sacrifice some of their belongings in order to survive financially. The following part of </w:t>
      </w:r>
      <w:r w:rsidR="00475396" w:rsidRPr="007A37E1">
        <w:rPr>
          <w:rFonts w:ascii="Arial" w:hAnsi="Arial" w:cs="Arial"/>
        </w:rPr>
        <w:t>Mr d</w:t>
      </w:r>
      <w:r w:rsidRPr="007A37E1">
        <w:rPr>
          <w:rFonts w:ascii="Arial" w:hAnsi="Arial" w:cs="Arial"/>
        </w:rPr>
        <w:t>e Beer’s narrative bears repeating:</w:t>
      </w:r>
    </w:p>
    <w:p w14:paraId="38C9AF42" w14:textId="42F25A8D" w:rsidR="00B70BB5" w:rsidRPr="007A37E1" w:rsidRDefault="00B70BB5" w:rsidP="00B70BB5">
      <w:pPr>
        <w:tabs>
          <w:tab w:val="left" w:pos="284"/>
        </w:tabs>
        <w:spacing w:line="360" w:lineRule="auto"/>
        <w:jc w:val="both"/>
        <w:rPr>
          <w:rFonts w:ascii="Arial" w:hAnsi="Arial" w:cs="Arial"/>
        </w:rPr>
      </w:pPr>
      <w:r w:rsidRPr="007A37E1">
        <w:rPr>
          <w:rFonts w:ascii="Arial" w:hAnsi="Arial" w:cs="Arial"/>
          <w:sz w:val="22"/>
          <w:szCs w:val="22"/>
        </w:rPr>
        <w:t xml:space="preserve">‘Based on the aforegoing and as </w:t>
      </w:r>
      <w:r w:rsidRPr="007A37E1">
        <w:rPr>
          <w:rFonts w:ascii="Arial" w:hAnsi="Arial" w:cs="Arial"/>
          <w:i/>
          <w:iCs/>
          <w:sz w:val="22"/>
          <w:szCs w:val="22"/>
        </w:rPr>
        <w:t>an expert</w:t>
      </w:r>
      <w:r w:rsidRPr="007A37E1">
        <w:rPr>
          <w:rFonts w:ascii="Arial" w:hAnsi="Arial" w:cs="Arial"/>
          <w:sz w:val="22"/>
          <w:szCs w:val="22"/>
        </w:rPr>
        <w:t xml:space="preserve"> in my field I am highly concerned that if the </w:t>
      </w:r>
      <w:r w:rsidR="00B756DE" w:rsidRPr="007A37E1">
        <w:rPr>
          <w:rFonts w:ascii="Arial" w:hAnsi="Arial" w:cs="Arial"/>
          <w:sz w:val="22"/>
          <w:szCs w:val="22"/>
        </w:rPr>
        <w:t>L</w:t>
      </w:r>
      <w:r w:rsidRPr="007A37E1">
        <w:rPr>
          <w:rFonts w:ascii="Arial" w:hAnsi="Arial" w:cs="Arial"/>
          <w:sz w:val="22"/>
          <w:szCs w:val="22"/>
        </w:rPr>
        <w:t xml:space="preserve">ockdown does not urgently come to an end, it is inevitable that the already tight tensions between tenants and landlords will spark into a </w:t>
      </w:r>
      <w:r w:rsidR="00F440B4" w:rsidRPr="007A37E1">
        <w:rPr>
          <w:rFonts w:ascii="Arial" w:hAnsi="Arial" w:cs="Arial"/>
          <w:sz w:val="22"/>
          <w:szCs w:val="22"/>
        </w:rPr>
        <w:t>[</w:t>
      </w:r>
      <w:r w:rsidRPr="007A37E1">
        <w:rPr>
          <w:rFonts w:ascii="Arial" w:hAnsi="Arial" w:cs="Arial"/>
          <w:sz w:val="22"/>
          <w:szCs w:val="22"/>
        </w:rPr>
        <w:t>fully-fledged</w:t>
      </w:r>
      <w:r w:rsidR="00F440B4" w:rsidRPr="007A37E1">
        <w:rPr>
          <w:rFonts w:ascii="Arial" w:hAnsi="Arial" w:cs="Arial"/>
          <w:sz w:val="22"/>
          <w:szCs w:val="22"/>
        </w:rPr>
        <w:t>]</w:t>
      </w:r>
      <w:r w:rsidRPr="007A37E1">
        <w:rPr>
          <w:rFonts w:ascii="Arial" w:hAnsi="Arial" w:cs="Arial"/>
          <w:sz w:val="22"/>
          <w:szCs w:val="22"/>
        </w:rPr>
        <w:t xml:space="preserve"> conflict. Even the already volatile land distribution issue in our country could become entangled in the current crisis. There is a potential loss of lives, injury to people and other damages that could by far outnumber all </w:t>
      </w:r>
      <w:r w:rsidRPr="007A37E1">
        <w:rPr>
          <w:rFonts w:ascii="Arial" w:hAnsi="Arial" w:cs="Arial"/>
          <w:i/>
          <w:sz w:val="22"/>
          <w:szCs w:val="22"/>
        </w:rPr>
        <w:t xml:space="preserve">negative effects the COVID-19 </w:t>
      </w:r>
      <w:r w:rsidR="004B493F" w:rsidRPr="007A37E1">
        <w:rPr>
          <w:rFonts w:ascii="Arial" w:hAnsi="Arial" w:cs="Arial"/>
          <w:i/>
          <w:sz w:val="22"/>
          <w:szCs w:val="22"/>
        </w:rPr>
        <w:t>d</w:t>
      </w:r>
      <w:r w:rsidRPr="007A37E1">
        <w:rPr>
          <w:rFonts w:ascii="Arial" w:hAnsi="Arial" w:cs="Arial"/>
          <w:i/>
          <w:sz w:val="22"/>
          <w:szCs w:val="22"/>
        </w:rPr>
        <w:t>isease is claimed to have</w:t>
      </w:r>
      <w:r w:rsidRPr="007A37E1">
        <w:rPr>
          <w:rFonts w:ascii="Arial" w:hAnsi="Arial" w:cs="Arial"/>
          <w:sz w:val="22"/>
          <w:szCs w:val="22"/>
        </w:rPr>
        <w:t>.’</w:t>
      </w:r>
      <w:r w:rsidR="003121D4" w:rsidRPr="007A37E1">
        <w:rPr>
          <w:rFonts w:ascii="Arial" w:hAnsi="Arial" w:cs="Arial"/>
          <w:sz w:val="22"/>
          <w:szCs w:val="22"/>
        </w:rPr>
        <w:t xml:space="preserve"> </w:t>
      </w:r>
      <w:r w:rsidR="00C76E5C" w:rsidRPr="007A37E1">
        <w:rPr>
          <w:rFonts w:ascii="Arial" w:hAnsi="Arial" w:cs="Arial"/>
          <w:sz w:val="22"/>
          <w:szCs w:val="22"/>
        </w:rPr>
        <w:t>(Our</w:t>
      </w:r>
      <w:r w:rsidRPr="007A37E1">
        <w:rPr>
          <w:rFonts w:ascii="Arial" w:hAnsi="Arial" w:cs="Arial"/>
          <w:sz w:val="22"/>
          <w:szCs w:val="22"/>
        </w:rPr>
        <w:t xml:space="preserve"> emphasis</w:t>
      </w:r>
      <w:r w:rsidR="003121D4" w:rsidRPr="007A37E1">
        <w:rPr>
          <w:rFonts w:ascii="Arial" w:hAnsi="Arial" w:cs="Arial"/>
          <w:sz w:val="22"/>
          <w:szCs w:val="22"/>
        </w:rPr>
        <w:t>.</w:t>
      </w:r>
      <w:r w:rsidRPr="007A37E1">
        <w:rPr>
          <w:rFonts w:ascii="Arial" w:hAnsi="Arial" w:cs="Arial"/>
          <w:sz w:val="22"/>
          <w:szCs w:val="22"/>
        </w:rPr>
        <w:t>)</w:t>
      </w:r>
      <w:r w:rsidRPr="007A37E1">
        <w:rPr>
          <w:rFonts w:ascii="Arial" w:hAnsi="Arial" w:cs="Arial"/>
        </w:rPr>
        <w:t xml:space="preserve">     </w:t>
      </w:r>
      <w:r w:rsidRPr="007A37E1">
        <w:rPr>
          <w:rFonts w:ascii="Arial" w:hAnsi="Arial" w:cs="Arial"/>
        </w:rPr>
        <w:tab/>
        <w:t xml:space="preserve">        </w:t>
      </w:r>
    </w:p>
    <w:p w14:paraId="2C55546A" w14:textId="31FD07D6" w:rsidR="00B70BB5" w:rsidRPr="007A37E1" w:rsidRDefault="007C167B" w:rsidP="00B70BB5">
      <w:pPr>
        <w:tabs>
          <w:tab w:val="left" w:pos="284"/>
        </w:tabs>
        <w:spacing w:line="360" w:lineRule="auto"/>
        <w:jc w:val="both"/>
        <w:rPr>
          <w:rFonts w:ascii="Arial" w:hAnsi="Arial" w:cs="Arial"/>
        </w:rPr>
      </w:pPr>
      <w:r w:rsidRPr="007A37E1">
        <w:rPr>
          <w:rFonts w:ascii="Arial" w:hAnsi="Arial" w:cs="Arial"/>
        </w:rPr>
        <w:t>That concluded</w:t>
      </w:r>
      <w:r w:rsidR="00B70BB5" w:rsidRPr="007A37E1">
        <w:rPr>
          <w:rFonts w:ascii="Arial" w:hAnsi="Arial" w:cs="Arial"/>
        </w:rPr>
        <w:t xml:space="preserve"> the narration by </w:t>
      </w:r>
      <w:r w:rsidR="002B0EF2" w:rsidRPr="007A37E1">
        <w:rPr>
          <w:rFonts w:ascii="Arial" w:hAnsi="Arial" w:cs="Arial"/>
        </w:rPr>
        <w:t>Mr d</w:t>
      </w:r>
      <w:r w:rsidR="00B70BB5" w:rsidRPr="007A37E1">
        <w:rPr>
          <w:rFonts w:ascii="Arial" w:hAnsi="Arial" w:cs="Arial"/>
        </w:rPr>
        <w:t>e Beer and the LF</w:t>
      </w:r>
      <w:r w:rsidR="0044345F" w:rsidRPr="007A37E1">
        <w:rPr>
          <w:rFonts w:ascii="Arial" w:hAnsi="Arial" w:cs="Arial"/>
        </w:rPr>
        <w:t>N</w:t>
      </w:r>
      <w:r w:rsidR="00B70BB5" w:rsidRPr="007A37E1">
        <w:rPr>
          <w:rFonts w:ascii="Arial" w:hAnsi="Arial" w:cs="Arial"/>
        </w:rPr>
        <w:t xml:space="preserve"> of essential facts</w:t>
      </w:r>
      <w:r w:rsidR="00DF0BF8" w:rsidRPr="007A37E1">
        <w:rPr>
          <w:rFonts w:ascii="Arial" w:hAnsi="Arial" w:cs="Arial"/>
        </w:rPr>
        <w:t xml:space="preserve"> underlying the legal challenge</w:t>
      </w:r>
      <w:r w:rsidR="00F12B55" w:rsidRPr="007A37E1">
        <w:rPr>
          <w:rFonts w:ascii="Arial" w:hAnsi="Arial" w:cs="Arial"/>
        </w:rPr>
        <w:t>.</w:t>
      </w:r>
    </w:p>
    <w:p w14:paraId="60942D63" w14:textId="77777777"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 xml:space="preserve"> </w:t>
      </w:r>
    </w:p>
    <w:p w14:paraId="2F9E28BA" w14:textId="2D983B16" w:rsidR="00B70BB5" w:rsidRPr="007A37E1" w:rsidRDefault="00B70BB5" w:rsidP="006748FE">
      <w:pPr>
        <w:tabs>
          <w:tab w:val="left" w:pos="284"/>
          <w:tab w:val="left" w:pos="851"/>
        </w:tabs>
        <w:spacing w:line="360" w:lineRule="auto"/>
        <w:jc w:val="both"/>
        <w:rPr>
          <w:rFonts w:ascii="Arial" w:hAnsi="Arial" w:cs="Arial"/>
        </w:rPr>
      </w:pPr>
      <w:r w:rsidRPr="007A37E1">
        <w:rPr>
          <w:rFonts w:ascii="Arial" w:hAnsi="Arial" w:cs="Arial"/>
        </w:rPr>
        <w:t>[1</w:t>
      </w:r>
      <w:r w:rsidR="00DF0BF8" w:rsidRPr="007A37E1">
        <w:rPr>
          <w:rFonts w:ascii="Arial" w:hAnsi="Arial" w:cs="Arial"/>
        </w:rPr>
        <w:t>4</w:t>
      </w:r>
      <w:r w:rsidRPr="007A37E1">
        <w:rPr>
          <w:rFonts w:ascii="Arial" w:hAnsi="Arial" w:cs="Arial"/>
        </w:rPr>
        <w:t>]</w:t>
      </w:r>
      <w:r w:rsidRPr="007A37E1">
        <w:rPr>
          <w:rFonts w:ascii="Arial" w:hAnsi="Arial" w:cs="Arial"/>
        </w:rPr>
        <w:tab/>
        <w:t xml:space="preserve">Proceeding from the </w:t>
      </w:r>
      <w:r w:rsidR="00DA745E" w:rsidRPr="007A37E1">
        <w:rPr>
          <w:rFonts w:ascii="Arial" w:hAnsi="Arial" w:cs="Arial"/>
        </w:rPr>
        <w:t>‘</w:t>
      </w:r>
      <w:r w:rsidRPr="007A37E1">
        <w:rPr>
          <w:rFonts w:ascii="Arial" w:hAnsi="Arial" w:cs="Arial"/>
        </w:rPr>
        <w:t>essential facts</w:t>
      </w:r>
      <w:r w:rsidR="00DA745E" w:rsidRPr="007A37E1">
        <w:rPr>
          <w:rFonts w:ascii="Arial" w:hAnsi="Arial" w:cs="Arial"/>
        </w:rPr>
        <w:t>’</w:t>
      </w:r>
      <w:r w:rsidRPr="007A37E1">
        <w:rPr>
          <w:rFonts w:ascii="Arial" w:hAnsi="Arial" w:cs="Arial"/>
        </w:rPr>
        <w:t>, the LF</w:t>
      </w:r>
      <w:r w:rsidR="0044345F" w:rsidRPr="007A37E1">
        <w:rPr>
          <w:rFonts w:ascii="Arial" w:hAnsi="Arial" w:cs="Arial"/>
        </w:rPr>
        <w:t>N</w:t>
      </w:r>
      <w:r w:rsidRPr="007A37E1">
        <w:rPr>
          <w:rFonts w:ascii="Arial" w:hAnsi="Arial" w:cs="Arial"/>
        </w:rPr>
        <w:t xml:space="preserve"> then contended that it was clear from the long title</w:t>
      </w:r>
      <w:r w:rsidR="00D83938" w:rsidRPr="007A37E1">
        <w:rPr>
          <w:rStyle w:val="FootnoteReference"/>
          <w:rFonts w:ascii="Arial" w:hAnsi="Arial" w:cs="Arial"/>
        </w:rPr>
        <w:footnoteReference w:id="4"/>
      </w:r>
      <w:r w:rsidRPr="007A37E1">
        <w:rPr>
          <w:rFonts w:ascii="Arial" w:hAnsi="Arial" w:cs="Arial"/>
        </w:rPr>
        <w:t xml:space="preserve"> of the Act that it was not intended to make severe inroads into personal freedoms. </w:t>
      </w:r>
      <w:r w:rsidR="004B493F" w:rsidRPr="007A37E1">
        <w:rPr>
          <w:rFonts w:ascii="Arial" w:hAnsi="Arial" w:cs="Arial"/>
        </w:rPr>
        <w:t>Mr d</w:t>
      </w:r>
      <w:r w:rsidRPr="007A37E1">
        <w:rPr>
          <w:rFonts w:ascii="Arial" w:hAnsi="Arial" w:cs="Arial"/>
        </w:rPr>
        <w:t>e Beer and the LF</w:t>
      </w:r>
      <w:r w:rsidR="0044345F" w:rsidRPr="007A37E1">
        <w:rPr>
          <w:rFonts w:ascii="Arial" w:hAnsi="Arial" w:cs="Arial"/>
        </w:rPr>
        <w:t>N</w:t>
      </w:r>
      <w:r w:rsidRPr="007A37E1">
        <w:rPr>
          <w:rFonts w:ascii="Arial" w:hAnsi="Arial" w:cs="Arial"/>
        </w:rPr>
        <w:t xml:space="preserve"> complained that the regulations were overbroad</w:t>
      </w:r>
      <w:r w:rsidR="000157C5" w:rsidRPr="007A37E1">
        <w:rPr>
          <w:rFonts w:ascii="Arial" w:hAnsi="Arial" w:cs="Arial"/>
        </w:rPr>
        <w:t>,</w:t>
      </w:r>
      <w:r w:rsidR="001A48D7" w:rsidRPr="007A37E1">
        <w:rPr>
          <w:rFonts w:ascii="Arial" w:hAnsi="Arial" w:cs="Arial"/>
        </w:rPr>
        <w:t xml:space="preserve"> </w:t>
      </w:r>
      <w:r w:rsidR="00D83938" w:rsidRPr="007A37E1">
        <w:rPr>
          <w:rFonts w:ascii="Arial" w:hAnsi="Arial" w:cs="Arial"/>
        </w:rPr>
        <w:t xml:space="preserve">but </w:t>
      </w:r>
      <w:r w:rsidR="001A48D7" w:rsidRPr="007A37E1">
        <w:rPr>
          <w:rFonts w:ascii="Arial" w:hAnsi="Arial" w:cs="Arial"/>
        </w:rPr>
        <w:t>without</w:t>
      </w:r>
      <w:r w:rsidR="00BE55D6" w:rsidRPr="007A37E1">
        <w:rPr>
          <w:rFonts w:ascii="Arial" w:hAnsi="Arial" w:cs="Arial"/>
        </w:rPr>
        <w:t xml:space="preserve"> providing a proper factual foundation</w:t>
      </w:r>
      <w:r w:rsidR="0024556B" w:rsidRPr="007A37E1">
        <w:rPr>
          <w:rFonts w:ascii="Arial" w:hAnsi="Arial" w:cs="Arial"/>
        </w:rPr>
        <w:t xml:space="preserve"> for that</w:t>
      </w:r>
      <w:r w:rsidR="00BB7F0A" w:rsidRPr="007A37E1">
        <w:rPr>
          <w:rFonts w:ascii="Arial" w:hAnsi="Arial" w:cs="Arial"/>
        </w:rPr>
        <w:t xml:space="preserve"> conclusion</w:t>
      </w:r>
      <w:r w:rsidR="0024556B" w:rsidRPr="007A37E1">
        <w:rPr>
          <w:rFonts w:ascii="Arial" w:hAnsi="Arial" w:cs="Arial"/>
        </w:rPr>
        <w:t>, and without specifying why that was so</w:t>
      </w:r>
      <w:r w:rsidRPr="007A37E1">
        <w:rPr>
          <w:rFonts w:ascii="Arial" w:hAnsi="Arial" w:cs="Arial"/>
        </w:rPr>
        <w:t xml:space="preserve">. What follows is a </w:t>
      </w:r>
      <w:r w:rsidR="003121D4" w:rsidRPr="007A37E1">
        <w:rPr>
          <w:rFonts w:ascii="Arial" w:hAnsi="Arial" w:cs="Arial"/>
        </w:rPr>
        <w:t>six-page</w:t>
      </w:r>
      <w:r w:rsidRPr="007A37E1">
        <w:rPr>
          <w:rFonts w:ascii="Arial" w:hAnsi="Arial" w:cs="Arial"/>
        </w:rPr>
        <w:t xml:space="preserve"> invective, in generali</w:t>
      </w:r>
      <w:r w:rsidR="00F440B4" w:rsidRPr="007A37E1">
        <w:rPr>
          <w:rFonts w:ascii="Arial" w:hAnsi="Arial" w:cs="Arial"/>
        </w:rPr>
        <w:t>s</w:t>
      </w:r>
      <w:r w:rsidRPr="007A37E1">
        <w:rPr>
          <w:rFonts w:ascii="Arial" w:hAnsi="Arial" w:cs="Arial"/>
        </w:rPr>
        <w:t>ed and dispersed terms, against the Government’s COVID</w:t>
      </w:r>
      <w:r w:rsidR="00F440B4" w:rsidRPr="007A37E1">
        <w:rPr>
          <w:rFonts w:ascii="Arial" w:hAnsi="Arial" w:cs="Arial"/>
        </w:rPr>
        <w:t>-19</w:t>
      </w:r>
      <w:r w:rsidRPr="007A37E1">
        <w:rPr>
          <w:rFonts w:ascii="Arial" w:hAnsi="Arial" w:cs="Arial"/>
        </w:rPr>
        <w:t xml:space="preserve"> respons</w:t>
      </w:r>
      <w:r w:rsidR="00375EDC" w:rsidRPr="007A37E1">
        <w:rPr>
          <w:rFonts w:ascii="Arial" w:hAnsi="Arial" w:cs="Arial"/>
        </w:rPr>
        <w:t>e</w:t>
      </w:r>
      <w:r w:rsidR="00F178D6" w:rsidRPr="007A37E1">
        <w:rPr>
          <w:rFonts w:ascii="Arial" w:hAnsi="Arial" w:cs="Arial"/>
        </w:rPr>
        <w:t>.</w:t>
      </w:r>
      <w:r w:rsidRPr="007A37E1">
        <w:rPr>
          <w:rFonts w:ascii="Arial" w:hAnsi="Arial" w:cs="Arial"/>
        </w:rPr>
        <w:t xml:space="preserve"> </w:t>
      </w:r>
      <w:r w:rsidR="00F178D6" w:rsidRPr="007A37E1">
        <w:rPr>
          <w:rFonts w:ascii="Arial" w:hAnsi="Arial" w:cs="Arial"/>
        </w:rPr>
        <w:t>It</w:t>
      </w:r>
      <w:r w:rsidRPr="007A37E1">
        <w:rPr>
          <w:rFonts w:ascii="Arial" w:hAnsi="Arial" w:cs="Arial"/>
        </w:rPr>
        <w:t xml:space="preserve"> defies a concise summary. In this regard</w:t>
      </w:r>
      <w:r w:rsidR="00F440B4" w:rsidRPr="007A37E1">
        <w:rPr>
          <w:rFonts w:ascii="Arial" w:hAnsi="Arial" w:cs="Arial"/>
        </w:rPr>
        <w:t>,</w:t>
      </w:r>
      <w:r w:rsidRPr="007A37E1">
        <w:rPr>
          <w:rFonts w:ascii="Arial" w:hAnsi="Arial" w:cs="Arial"/>
        </w:rPr>
        <w:t xml:space="preserve"> it is important to h</w:t>
      </w:r>
      <w:r w:rsidR="00C757B8" w:rsidRPr="007A37E1">
        <w:rPr>
          <w:rFonts w:ascii="Arial" w:hAnsi="Arial" w:cs="Arial"/>
        </w:rPr>
        <w:t>ave regard to the</w:t>
      </w:r>
      <w:r w:rsidR="00FF6505" w:rsidRPr="007A37E1">
        <w:rPr>
          <w:rFonts w:ascii="Arial" w:hAnsi="Arial" w:cs="Arial"/>
        </w:rPr>
        <w:t xml:space="preserve"> following</w:t>
      </w:r>
      <w:r w:rsidR="00C76E5C" w:rsidRPr="007A37E1">
        <w:rPr>
          <w:rFonts w:ascii="Arial" w:hAnsi="Arial" w:cs="Arial"/>
        </w:rPr>
        <w:t xml:space="preserve"> </w:t>
      </w:r>
      <w:r w:rsidRPr="007A37E1">
        <w:rPr>
          <w:rFonts w:ascii="Arial" w:hAnsi="Arial" w:cs="Arial"/>
        </w:rPr>
        <w:t>relevant parts of the founding affidavit:</w:t>
      </w:r>
    </w:p>
    <w:p w14:paraId="2457718B" w14:textId="762168C5" w:rsidR="002E04EB" w:rsidRPr="007A37E1" w:rsidRDefault="00CF0146" w:rsidP="002E04EB">
      <w:pPr>
        <w:tabs>
          <w:tab w:val="left" w:pos="284"/>
          <w:tab w:val="left" w:pos="567"/>
        </w:tabs>
        <w:spacing w:line="360" w:lineRule="auto"/>
        <w:ind w:left="567" w:hanging="567"/>
        <w:jc w:val="both"/>
        <w:rPr>
          <w:rFonts w:ascii="Arial" w:hAnsi="Arial" w:cs="Arial"/>
          <w:sz w:val="22"/>
          <w:szCs w:val="22"/>
        </w:rPr>
      </w:pPr>
      <w:r w:rsidRPr="007A37E1">
        <w:rPr>
          <w:rFonts w:ascii="Arial" w:hAnsi="Arial" w:cs="Arial"/>
          <w:sz w:val="22"/>
          <w:szCs w:val="22"/>
        </w:rPr>
        <w:t>‘</w:t>
      </w:r>
      <w:r w:rsidR="002E04EB" w:rsidRPr="007A37E1">
        <w:rPr>
          <w:rFonts w:ascii="Arial" w:hAnsi="Arial" w:cs="Arial"/>
          <w:sz w:val="22"/>
          <w:szCs w:val="22"/>
        </w:rPr>
        <w:t xml:space="preserve">6.2 </w:t>
      </w:r>
      <w:r w:rsidR="0052497C" w:rsidRPr="007A37E1">
        <w:rPr>
          <w:rFonts w:ascii="Arial" w:hAnsi="Arial" w:cs="Arial"/>
          <w:sz w:val="22"/>
          <w:szCs w:val="22"/>
        </w:rPr>
        <w:tab/>
      </w:r>
      <w:r w:rsidR="002E04EB" w:rsidRPr="007A37E1">
        <w:rPr>
          <w:rFonts w:ascii="Arial" w:hAnsi="Arial" w:cs="Arial"/>
          <w:sz w:val="22"/>
          <w:szCs w:val="22"/>
        </w:rPr>
        <w:t>The virus leading to the COVID-19 disease, SARS-Cov-2, was only recognised as a newly</w:t>
      </w:r>
    </w:p>
    <w:p w14:paraId="17D1977C" w14:textId="48514E4D" w:rsidR="002E04EB" w:rsidRPr="007A37E1" w:rsidRDefault="0052497C" w:rsidP="0052497C">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ab/>
      </w:r>
      <w:r w:rsidRPr="007A37E1">
        <w:rPr>
          <w:rFonts w:ascii="Arial" w:hAnsi="Arial" w:cs="Arial"/>
          <w:sz w:val="22"/>
          <w:szCs w:val="22"/>
        </w:rPr>
        <w:tab/>
      </w:r>
      <w:r w:rsidR="002E04EB" w:rsidRPr="007A37E1">
        <w:rPr>
          <w:rFonts w:ascii="Arial" w:hAnsi="Arial" w:cs="Arial"/>
          <w:sz w:val="22"/>
          <w:szCs w:val="22"/>
        </w:rPr>
        <w:t>identified novel virus by the International Committee on Taxonomy of Viruses (ICT</w:t>
      </w:r>
      <w:r w:rsidR="00731500" w:rsidRPr="007A37E1">
        <w:rPr>
          <w:rFonts w:ascii="Arial" w:hAnsi="Arial" w:cs="Arial"/>
          <w:sz w:val="22"/>
          <w:szCs w:val="22"/>
        </w:rPr>
        <w:t>V</w:t>
      </w:r>
      <w:r w:rsidR="002E04EB" w:rsidRPr="007A37E1">
        <w:rPr>
          <w:rFonts w:ascii="Arial" w:hAnsi="Arial" w:cs="Arial"/>
          <w:sz w:val="22"/>
          <w:szCs w:val="22"/>
        </w:rPr>
        <w:t>) when</w:t>
      </w:r>
      <w:r w:rsidRPr="007A37E1">
        <w:rPr>
          <w:rFonts w:ascii="Arial" w:hAnsi="Arial" w:cs="Arial"/>
          <w:sz w:val="22"/>
          <w:szCs w:val="22"/>
        </w:rPr>
        <w:t xml:space="preserve"> </w:t>
      </w:r>
      <w:r w:rsidR="002E04EB" w:rsidRPr="007A37E1">
        <w:rPr>
          <w:rFonts w:ascii="Arial" w:hAnsi="Arial" w:cs="Arial"/>
          <w:sz w:val="22"/>
          <w:szCs w:val="22"/>
        </w:rPr>
        <w:t>it was formally named on/or around 11 February 2020 (3 months ag</w:t>
      </w:r>
      <w:r w:rsidRPr="007A37E1">
        <w:rPr>
          <w:rFonts w:ascii="Arial" w:hAnsi="Arial" w:cs="Arial"/>
          <w:sz w:val="22"/>
          <w:szCs w:val="22"/>
        </w:rPr>
        <w:t>o</w:t>
      </w:r>
      <w:r w:rsidR="002E04EB" w:rsidRPr="007A37E1">
        <w:rPr>
          <w:rFonts w:ascii="Arial" w:hAnsi="Arial" w:cs="Arial"/>
          <w:sz w:val="22"/>
          <w:szCs w:val="22"/>
        </w:rPr>
        <w:t>) and subs</w:t>
      </w:r>
      <w:r w:rsidRPr="007A37E1">
        <w:rPr>
          <w:rFonts w:ascii="Arial" w:hAnsi="Arial" w:cs="Arial"/>
          <w:sz w:val="22"/>
          <w:szCs w:val="22"/>
        </w:rPr>
        <w:t>eq</w:t>
      </w:r>
      <w:r w:rsidR="002E04EB" w:rsidRPr="007A37E1">
        <w:rPr>
          <w:rFonts w:ascii="Arial" w:hAnsi="Arial" w:cs="Arial"/>
          <w:sz w:val="22"/>
          <w:szCs w:val="22"/>
        </w:rPr>
        <w:t>uently</w:t>
      </w:r>
      <w:r w:rsidRPr="007A37E1">
        <w:rPr>
          <w:rFonts w:ascii="Arial" w:hAnsi="Arial" w:cs="Arial"/>
          <w:sz w:val="22"/>
          <w:szCs w:val="22"/>
        </w:rPr>
        <w:t xml:space="preserve"> </w:t>
      </w:r>
      <w:r w:rsidR="002E04EB" w:rsidRPr="007A37E1">
        <w:rPr>
          <w:rFonts w:ascii="Arial" w:hAnsi="Arial" w:cs="Arial"/>
          <w:sz w:val="22"/>
          <w:szCs w:val="22"/>
        </w:rPr>
        <w:t>the World Health Organisation (WHO) named the asso</w:t>
      </w:r>
      <w:r w:rsidRPr="007A37E1">
        <w:rPr>
          <w:rFonts w:ascii="Arial" w:hAnsi="Arial" w:cs="Arial"/>
          <w:sz w:val="22"/>
          <w:szCs w:val="22"/>
        </w:rPr>
        <w:t>cia</w:t>
      </w:r>
      <w:r w:rsidR="002E04EB" w:rsidRPr="007A37E1">
        <w:rPr>
          <w:rFonts w:ascii="Arial" w:hAnsi="Arial" w:cs="Arial"/>
          <w:sz w:val="22"/>
          <w:szCs w:val="22"/>
        </w:rPr>
        <w:t>ted disease caused by this virus</w:t>
      </w:r>
      <w:r w:rsidRPr="007A37E1">
        <w:rPr>
          <w:rFonts w:ascii="Arial" w:hAnsi="Arial" w:cs="Arial"/>
          <w:sz w:val="22"/>
          <w:szCs w:val="22"/>
        </w:rPr>
        <w:t xml:space="preserve"> </w:t>
      </w:r>
      <w:r w:rsidRPr="007A37E1">
        <w:rPr>
          <w:rFonts w:ascii="Arial" w:hAnsi="Arial" w:cs="Arial"/>
          <w:sz w:val="22"/>
          <w:szCs w:val="22"/>
        </w:rPr>
        <w:lastRenderedPageBreak/>
        <w:t>as</w:t>
      </w:r>
      <w:r w:rsidR="002E04EB" w:rsidRPr="007A37E1">
        <w:rPr>
          <w:rFonts w:ascii="Arial" w:hAnsi="Arial" w:cs="Arial"/>
          <w:sz w:val="22"/>
          <w:szCs w:val="22"/>
        </w:rPr>
        <w:t xml:space="preserve"> COVID-19 on that same day. I attach and refer to the official announcement of this by</w:t>
      </w:r>
      <w:r w:rsidRPr="007A37E1">
        <w:rPr>
          <w:rFonts w:ascii="Arial" w:hAnsi="Arial" w:cs="Arial"/>
          <w:sz w:val="22"/>
          <w:szCs w:val="22"/>
        </w:rPr>
        <w:t xml:space="preserve"> </w:t>
      </w:r>
      <w:r w:rsidR="002E04EB" w:rsidRPr="007A37E1">
        <w:rPr>
          <w:rFonts w:ascii="Arial" w:hAnsi="Arial" w:cs="Arial"/>
          <w:sz w:val="22"/>
          <w:szCs w:val="22"/>
        </w:rPr>
        <w:t>WHO on their</w:t>
      </w:r>
      <w:r w:rsidRPr="007A37E1">
        <w:rPr>
          <w:rFonts w:ascii="Arial" w:hAnsi="Arial" w:cs="Arial"/>
          <w:sz w:val="22"/>
          <w:szCs w:val="22"/>
        </w:rPr>
        <w:t xml:space="preserve"> official website as Annexure “</w:t>
      </w:r>
      <w:r w:rsidR="002E04EB" w:rsidRPr="007A37E1">
        <w:rPr>
          <w:rFonts w:ascii="Arial" w:hAnsi="Arial" w:cs="Arial"/>
          <w:sz w:val="22"/>
          <w:szCs w:val="22"/>
        </w:rPr>
        <w:t>F</w:t>
      </w:r>
      <w:r w:rsidR="00EC446B" w:rsidRPr="007A37E1">
        <w:rPr>
          <w:rFonts w:ascii="Arial" w:hAnsi="Arial" w:cs="Arial"/>
          <w:sz w:val="22"/>
          <w:szCs w:val="22"/>
        </w:rPr>
        <w:t>”</w:t>
      </w:r>
      <w:r w:rsidR="002E04EB" w:rsidRPr="007A37E1">
        <w:rPr>
          <w:rFonts w:ascii="Arial" w:hAnsi="Arial" w:cs="Arial"/>
          <w:sz w:val="22"/>
          <w:szCs w:val="22"/>
        </w:rPr>
        <w:t>.</w:t>
      </w:r>
    </w:p>
    <w:p w14:paraId="26EBE5F0" w14:textId="15C97DDF" w:rsidR="002E04EB" w:rsidRPr="007A37E1" w:rsidRDefault="002E04EB" w:rsidP="0052497C">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 xml:space="preserve">6.3 </w:t>
      </w:r>
      <w:r w:rsidR="0052497C" w:rsidRPr="007A37E1">
        <w:rPr>
          <w:rFonts w:ascii="Arial" w:hAnsi="Arial" w:cs="Arial"/>
          <w:sz w:val="22"/>
          <w:szCs w:val="22"/>
        </w:rPr>
        <w:tab/>
      </w:r>
      <w:r w:rsidRPr="007A37E1">
        <w:rPr>
          <w:rFonts w:ascii="Arial" w:hAnsi="Arial" w:cs="Arial"/>
          <w:sz w:val="22"/>
          <w:szCs w:val="22"/>
        </w:rPr>
        <w:t>The problem created by this new naming of the viru</w:t>
      </w:r>
      <w:r w:rsidR="0052497C" w:rsidRPr="007A37E1">
        <w:rPr>
          <w:rFonts w:ascii="Arial" w:hAnsi="Arial" w:cs="Arial"/>
          <w:sz w:val="22"/>
          <w:szCs w:val="22"/>
        </w:rPr>
        <w:t>s and disease, confirming irrat</w:t>
      </w:r>
      <w:r w:rsidRPr="007A37E1">
        <w:rPr>
          <w:rFonts w:ascii="Arial" w:hAnsi="Arial" w:cs="Arial"/>
          <w:sz w:val="22"/>
          <w:szCs w:val="22"/>
        </w:rPr>
        <w:t>ionality</w:t>
      </w:r>
      <w:r w:rsidR="0052497C" w:rsidRPr="007A37E1">
        <w:rPr>
          <w:rFonts w:ascii="Arial" w:hAnsi="Arial" w:cs="Arial"/>
          <w:sz w:val="22"/>
          <w:szCs w:val="22"/>
        </w:rPr>
        <w:t xml:space="preserve"> </w:t>
      </w:r>
      <w:r w:rsidRPr="007A37E1">
        <w:rPr>
          <w:rFonts w:ascii="Arial" w:hAnsi="Arial" w:cs="Arial"/>
          <w:sz w:val="22"/>
          <w:szCs w:val="22"/>
        </w:rPr>
        <w:t xml:space="preserve">in </w:t>
      </w:r>
      <w:r w:rsidR="0052497C" w:rsidRPr="007A37E1">
        <w:rPr>
          <w:rFonts w:ascii="Arial" w:hAnsi="Arial" w:cs="Arial"/>
          <w:sz w:val="22"/>
          <w:szCs w:val="22"/>
        </w:rPr>
        <w:t>the decision to declare a National State of Dis</w:t>
      </w:r>
      <w:r w:rsidRPr="007A37E1">
        <w:rPr>
          <w:rFonts w:ascii="Arial" w:hAnsi="Arial" w:cs="Arial"/>
          <w:sz w:val="22"/>
          <w:szCs w:val="22"/>
        </w:rPr>
        <w:t>aster due to COV</w:t>
      </w:r>
      <w:r w:rsidR="0052497C" w:rsidRPr="007A37E1">
        <w:rPr>
          <w:rFonts w:ascii="Arial" w:hAnsi="Arial" w:cs="Arial"/>
          <w:sz w:val="22"/>
          <w:szCs w:val="22"/>
        </w:rPr>
        <w:t>I</w:t>
      </w:r>
      <w:r w:rsidRPr="007A37E1">
        <w:rPr>
          <w:rFonts w:ascii="Arial" w:hAnsi="Arial" w:cs="Arial"/>
          <w:sz w:val="22"/>
          <w:szCs w:val="22"/>
        </w:rPr>
        <w:t>D</w:t>
      </w:r>
      <w:r w:rsidR="0052497C" w:rsidRPr="007A37E1">
        <w:rPr>
          <w:rFonts w:ascii="Arial" w:hAnsi="Arial" w:cs="Arial"/>
          <w:sz w:val="22"/>
          <w:szCs w:val="22"/>
        </w:rPr>
        <w:t>-</w:t>
      </w:r>
      <w:r w:rsidRPr="007A37E1">
        <w:rPr>
          <w:rFonts w:ascii="Arial" w:hAnsi="Arial" w:cs="Arial"/>
          <w:sz w:val="22"/>
          <w:szCs w:val="22"/>
        </w:rPr>
        <w:t>19</w:t>
      </w:r>
      <w:r w:rsidR="004B493F" w:rsidRPr="007A37E1">
        <w:rPr>
          <w:rFonts w:ascii="Arial" w:hAnsi="Arial" w:cs="Arial"/>
          <w:sz w:val="22"/>
          <w:szCs w:val="22"/>
        </w:rPr>
        <w:t>,</w:t>
      </w:r>
      <w:r w:rsidRPr="007A37E1">
        <w:rPr>
          <w:rFonts w:ascii="Arial" w:hAnsi="Arial" w:cs="Arial"/>
          <w:sz w:val="22"/>
          <w:szCs w:val="22"/>
        </w:rPr>
        <w:t xml:space="preserve"> is the fact</w:t>
      </w:r>
      <w:r w:rsidR="0052497C" w:rsidRPr="007A37E1">
        <w:rPr>
          <w:rFonts w:ascii="Arial" w:hAnsi="Arial" w:cs="Arial"/>
          <w:sz w:val="22"/>
          <w:szCs w:val="22"/>
        </w:rPr>
        <w:t xml:space="preserve"> </w:t>
      </w:r>
      <w:r w:rsidRPr="007A37E1">
        <w:rPr>
          <w:rFonts w:ascii="Arial" w:hAnsi="Arial" w:cs="Arial"/>
          <w:sz w:val="22"/>
          <w:szCs w:val="22"/>
        </w:rPr>
        <w:t>that the</w:t>
      </w:r>
      <w:r w:rsidR="0052497C" w:rsidRPr="007A37E1">
        <w:rPr>
          <w:rFonts w:ascii="Arial" w:hAnsi="Arial" w:cs="Arial"/>
          <w:sz w:val="22"/>
          <w:szCs w:val="22"/>
        </w:rPr>
        <w:t xml:space="preserve"> </w:t>
      </w:r>
      <w:r w:rsidRPr="007A37E1">
        <w:rPr>
          <w:rFonts w:ascii="Arial" w:hAnsi="Arial" w:cs="Arial"/>
          <w:sz w:val="22"/>
          <w:szCs w:val="22"/>
        </w:rPr>
        <w:t>WHO did not have a separate ICD-</w:t>
      </w:r>
      <w:r w:rsidR="0052497C" w:rsidRPr="007A37E1">
        <w:rPr>
          <w:rFonts w:ascii="Arial" w:hAnsi="Arial" w:cs="Arial"/>
          <w:sz w:val="22"/>
          <w:szCs w:val="22"/>
        </w:rPr>
        <w:t>10</w:t>
      </w:r>
      <w:r w:rsidRPr="007A37E1">
        <w:rPr>
          <w:rFonts w:ascii="Arial" w:hAnsi="Arial" w:cs="Arial"/>
          <w:sz w:val="22"/>
          <w:szCs w:val="22"/>
        </w:rPr>
        <w:t xml:space="preserve"> coding for this new disease at that stage and</w:t>
      </w:r>
      <w:r w:rsidR="0052497C" w:rsidRPr="007A37E1">
        <w:rPr>
          <w:rFonts w:ascii="Arial" w:hAnsi="Arial" w:cs="Arial"/>
          <w:sz w:val="22"/>
          <w:szCs w:val="22"/>
        </w:rPr>
        <w:t xml:space="preserve"> announced during M</w:t>
      </w:r>
      <w:r w:rsidRPr="007A37E1">
        <w:rPr>
          <w:rFonts w:ascii="Arial" w:hAnsi="Arial" w:cs="Arial"/>
          <w:sz w:val="22"/>
          <w:szCs w:val="22"/>
        </w:rPr>
        <w:t>arch 20</w:t>
      </w:r>
      <w:r w:rsidR="0052497C" w:rsidRPr="007A37E1">
        <w:rPr>
          <w:rFonts w:ascii="Arial" w:hAnsi="Arial" w:cs="Arial"/>
          <w:sz w:val="22"/>
          <w:szCs w:val="22"/>
        </w:rPr>
        <w:t>20 that member s</w:t>
      </w:r>
      <w:r w:rsidRPr="007A37E1">
        <w:rPr>
          <w:rFonts w:ascii="Arial" w:hAnsi="Arial" w:cs="Arial"/>
          <w:sz w:val="22"/>
          <w:szCs w:val="22"/>
        </w:rPr>
        <w:t>tate</w:t>
      </w:r>
      <w:r w:rsidR="0052497C" w:rsidRPr="007A37E1">
        <w:rPr>
          <w:rFonts w:ascii="Arial" w:hAnsi="Arial" w:cs="Arial"/>
          <w:sz w:val="22"/>
          <w:szCs w:val="22"/>
        </w:rPr>
        <w:t>s</w:t>
      </w:r>
      <w:r w:rsidRPr="007A37E1">
        <w:rPr>
          <w:rFonts w:ascii="Arial" w:hAnsi="Arial" w:cs="Arial"/>
          <w:sz w:val="22"/>
          <w:szCs w:val="22"/>
        </w:rPr>
        <w:t xml:space="preserve"> </w:t>
      </w:r>
      <w:r w:rsidR="0052497C" w:rsidRPr="007A37E1">
        <w:rPr>
          <w:rFonts w:ascii="Arial" w:hAnsi="Arial" w:cs="Arial"/>
          <w:sz w:val="22"/>
          <w:szCs w:val="22"/>
        </w:rPr>
        <w:t>like</w:t>
      </w:r>
      <w:r w:rsidRPr="007A37E1">
        <w:rPr>
          <w:rFonts w:ascii="Arial" w:hAnsi="Arial" w:cs="Arial"/>
          <w:sz w:val="22"/>
          <w:szCs w:val="22"/>
        </w:rPr>
        <w:t xml:space="preserve"> South A</w:t>
      </w:r>
      <w:r w:rsidR="0052497C" w:rsidRPr="007A37E1">
        <w:rPr>
          <w:rFonts w:ascii="Arial" w:hAnsi="Arial" w:cs="Arial"/>
          <w:sz w:val="22"/>
          <w:szCs w:val="22"/>
        </w:rPr>
        <w:t>frica, should use the I</w:t>
      </w:r>
      <w:r w:rsidRPr="007A37E1">
        <w:rPr>
          <w:rFonts w:ascii="Arial" w:hAnsi="Arial" w:cs="Arial"/>
          <w:sz w:val="22"/>
          <w:szCs w:val="22"/>
        </w:rPr>
        <w:t>CD</w:t>
      </w:r>
      <w:r w:rsidR="0052497C" w:rsidRPr="007A37E1">
        <w:rPr>
          <w:rFonts w:ascii="Arial" w:hAnsi="Arial" w:cs="Arial"/>
          <w:sz w:val="22"/>
          <w:szCs w:val="22"/>
        </w:rPr>
        <w:t xml:space="preserve">-10 </w:t>
      </w:r>
      <w:r w:rsidRPr="007A37E1">
        <w:rPr>
          <w:rFonts w:ascii="Arial" w:hAnsi="Arial" w:cs="Arial"/>
          <w:sz w:val="22"/>
          <w:szCs w:val="22"/>
        </w:rPr>
        <w:t xml:space="preserve">codes for </w:t>
      </w:r>
      <w:r w:rsidR="004B493F" w:rsidRPr="007A37E1">
        <w:rPr>
          <w:rFonts w:ascii="Arial" w:hAnsi="Arial" w:cs="Arial"/>
          <w:sz w:val="22"/>
          <w:szCs w:val="22"/>
        </w:rPr>
        <w:t>I</w:t>
      </w:r>
      <w:r w:rsidRPr="007A37E1">
        <w:rPr>
          <w:rFonts w:ascii="Arial" w:hAnsi="Arial" w:cs="Arial"/>
          <w:sz w:val="22"/>
          <w:szCs w:val="22"/>
        </w:rPr>
        <w:t>nfluenza and Pneumonia (J12</w:t>
      </w:r>
      <w:r w:rsidR="0052497C" w:rsidRPr="007A37E1">
        <w:rPr>
          <w:rFonts w:ascii="Arial" w:hAnsi="Arial" w:cs="Arial"/>
          <w:sz w:val="22"/>
          <w:szCs w:val="22"/>
        </w:rPr>
        <w:t xml:space="preserve"> </w:t>
      </w:r>
      <w:r w:rsidRPr="007A37E1">
        <w:rPr>
          <w:rFonts w:ascii="Arial" w:hAnsi="Arial" w:cs="Arial"/>
          <w:sz w:val="22"/>
          <w:szCs w:val="22"/>
        </w:rPr>
        <w:t>in particular) for the inte</w:t>
      </w:r>
      <w:r w:rsidR="0052497C" w:rsidRPr="007A37E1">
        <w:rPr>
          <w:rFonts w:ascii="Arial" w:hAnsi="Arial" w:cs="Arial"/>
          <w:sz w:val="22"/>
          <w:szCs w:val="22"/>
        </w:rPr>
        <w:t>r</w:t>
      </w:r>
      <w:r w:rsidRPr="007A37E1">
        <w:rPr>
          <w:rFonts w:ascii="Arial" w:hAnsi="Arial" w:cs="Arial"/>
          <w:sz w:val="22"/>
          <w:szCs w:val="22"/>
        </w:rPr>
        <w:t>im. Find attached the</w:t>
      </w:r>
      <w:r w:rsidR="0052497C" w:rsidRPr="007A37E1">
        <w:rPr>
          <w:rFonts w:ascii="Arial" w:hAnsi="Arial" w:cs="Arial"/>
          <w:sz w:val="22"/>
          <w:szCs w:val="22"/>
        </w:rPr>
        <w:t xml:space="preserve"> published</w:t>
      </w:r>
      <w:r w:rsidRPr="007A37E1">
        <w:rPr>
          <w:rFonts w:ascii="Arial" w:hAnsi="Arial" w:cs="Arial"/>
          <w:sz w:val="22"/>
          <w:szCs w:val="22"/>
        </w:rPr>
        <w:t xml:space="preserve"> notices </w:t>
      </w:r>
      <w:r w:rsidR="0052497C" w:rsidRPr="007A37E1">
        <w:rPr>
          <w:rFonts w:ascii="Arial" w:hAnsi="Arial" w:cs="Arial"/>
          <w:sz w:val="22"/>
          <w:szCs w:val="22"/>
        </w:rPr>
        <w:t>and</w:t>
      </w:r>
      <w:r w:rsidRPr="007A37E1">
        <w:rPr>
          <w:rFonts w:ascii="Arial" w:hAnsi="Arial" w:cs="Arial"/>
          <w:sz w:val="22"/>
          <w:szCs w:val="22"/>
        </w:rPr>
        <w:t xml:space="preserve"> explanatory</w:t>
      </w:r>
      <w:r w:rsidR="0052497C" w:rsidRPr="007A37E1">
        <w:rPr>
          <w:rFonts w:ascii="Arial" w:hAnsi="Arial" w:cs="Arial"/>
          <w:sz w:val="22"/>
          <w:szCs w:val="22"/>
        </w:rPr>
        <w:t xml:space="preserve"> notes as Annexures </w:t>
      </w:r>
      <w:r w:rsidR="00EC446B" w:rsidRPr="007A37E1">
        <w:rPr>
          <w:rFonts w:ascii="Arial" w:hAnsi="Arial" w:cs="Arial"/>
          <w:sz w:val="22"/>
          <w:szCs w:val="22"/>
        </w:rPr>
        <w:t>“</w:t>
      </w:r>
      <w:r w:rsidRPr="007A37E1">
        <w:rPr>
          <w:rFonts w:ascii="Arial" w:hAnsi="Arial" w:cs="Arial"/>
          <w:sz w:val="22"/>
          <w:szCs w:val="22"/>
        </w:rPr>
        <w:t>G</w:t>
      </w:r>
      <w:r w:rsidR="0052497C" w:rsidRPr="007A37E1">
        <w:rPr>
          <w:rFonts w:ascii="Arial" w:hAnsi="Arial" w:cs="Arial"/>
          <w:sz w:val="22"/>
          <w:szCs w:val="22"/>
        </w:rPr>
        <w:t>”</w:t>
      </w:r>
      <w:r w:rsidRPr="007A37E1">
        <w:rPr>
          <w:rFonts w:ascii="Arial" w:hAnsi="Arial" w:cs="Arial"/>
          <w:sz w:val="22"/>
          <w:szCs w:val="22"/>
        </w:rPr>
        <w:t xml:space="preserve"> to</w:t>
      </w:r>
      <w:r w:rsidR="0052497C" w:rsidRPr="007A37E1">
        <w:rPr>
          <w:rFonts w:ascii="Arial" w:hAnsi="Arial" w:cs="Arial"/>
          <w:sz w:val="22"/>
          <w:szCs w:val="22"/>
        </w:rPr>
        <w:t xml:space="preserve"> “</w:t>
      </w:r>
      <w:r w:rsidRPr="007A37E1">
        <w:rPr>
          <w:rFonts w:ascii="Arial" w:hAnsi="Arial" w:cs="Arial"/>
          <w:sz w:val="22"/>
          <w:szCs w:val="22"/>
        </w:rPr>
        <w:t>J</w:t>
      </w:r>
      <w:r w:rsidR="00EC446B" w:rsidRPr="007A37E1">
        <w:rPr>
          <w:rFonts w:ascii="Arial" w:hAnsi="Arial" w:cs="Arial"/>
          <w:sz w:val="22"/>
          <w:szCs w:val="22"/>
        </w:rPr>
        <w:t>”</w:t>
      </w:r>
      <w:r w:rsidRPr="007A37E1">
        <w:rPr>
          <w:rFonts w:ascii="Arial" w:hAnsi="Arial" w:cs="Arial"/>
          <w:sz w:val="22"/>
          <w:szCs w:val="22"/>
        </w:rPr>
        <w:t>.</w:t>
      </w:r>
    </w:p>
    <w:p w14:paraId="7356B780" w14:textId="3D2B25B9" w:rsidR="00052552" w:rsidRPr="007A37E1" w:rsidRDefault="00052552" w:rsidP="00A636FB">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 xml:space="preserve">6.4 </w:t>
      </w:r>
      <w:r w:rsidR="00CF0146" w:rsidRPr="007A37E1">
        <w:rPr>
          <w:rFonts w:ascii="Arial" w:hAnsi="Arial" w:cs="Arial"/>
          <w:sz w:val="22"/>
          <w:szCs w:val="22"/>
        </w:rPr>
        <w:tab/>
      </w:r>
      <w:r w:rsidRPr="007A37E1">
        <w:rPr>
          <w:rFonts w:ascii="Arial" w:hAnsi="Arial" w:cs="Arial"/>
          <w:sz w:val="22"/>
          <w:szCs w:val="22"/>
        </w:rPr>
        <w:t>On 20 April 2020 (some three weeks ago), the WHO published a guide</w:t>
      </w:r>
      <w:r w:rsidR="005866A9" w:rsidRPr="007A37E1">
        <w:rPr>
          <w:rFonts w:ascii="Arial" w:hAnsi="Arial" w:cs="Arial"/>
          <w:sz w:val="22"/>
          <w:szCs w:val="22"/>
        </w:rPr>
        <w:t xml:space="preserve"> </w:t>
      </w:r>
      <w:r w:rsidRPr="007A37E1">
        <w:rPr>
          <w:rFonts w:ascii="Arial" w:hAnsi="Arial" w:cs="Arial"/>
          <w:sz w:val="22"/>
          <w:szCs w:val="22"/>
        </w:rPr>
        <w:t xml:space="preserve">on how COVID-19 death cases should be reported and proposed that COVID-19 should be recorded on the medical certificate of primary cause of death for ALL deceased regardless of whether the disease indeed caused, </w:t>
      </w:r>
      <w:r w:rsidR="004B493F" w:rsidRPr="007A37E1">
        <w:rPr>
          <w:rFonts w:ascii="Arial" w:hAnsi="Arial" w:cs="Arial"/>
          <w:sz w:val="22"/>
          <w:szCs w:val="22"/>
        </w:rPr>
        <w:t xml:space="preserve">or was simply assumed to have caused, </w:t>
      </w:r>
      <w:r w:rsidRPr="007A37E1">
        <w:rPr>
          <w:rFonts w:ascii="Arial" w:hAnsi="Arial" w:cs="Arial"/>
          <w:sz w:val="22"/>
          <w:szCs w:val="22"/>
        </w:rPr>
        <w:t xml:space="preserve">or just </w:t>
      </w:r>
      <w:r w:rsidRPr="007A37E1">
        <w:rPr>
          <w:rFonts w:ascii="Arial" w:hAnsi="Arial" w:cs="Arial"/>
          <w:sz w:val="22"/>
          <w:szCs w:val="22"/>
          <w:u w:val="single"/>
        </w:rPr>
        <w:t>contributed to the death</w:t>
      </w:r>
      <w:r w:rsidRPr="007A37E1">
        <w:rPr>
          <w:rFonts w:ascii="Arial" w:hAnsi="Arial" w:cs="Arial"/>
          <w:sz w:val="22"/>
          <w:szCs w:val="22"/>
        </w:rPr>
        <w:t xml:space="preserve">. This implies </w:t>
      </w:r>
      <w:r w:rsidRPr="007A37E1">
        <w:rPr>
          <w:rFonts w:ascii="Arial" w:hAnsi="Arial" w:cs="Arial"/>
          <w:i/>
          <w:sz w:val="22"/>
          <w:szCs w:val="22"/>
        </w:rPr>
        <w:t>inter alia</w:t>
      </w:r>
      <w:r w:rsidRPr="007A37E1">
        <w:rPr>
          <w:rFonts w:ascii="Arial" w:hAnsi="Arial" w:cs="Arial"/>
          <w:sz w:val="22"/>
          <w:szCs w:val="22"/>
        </w:rPr>
        <w:t xml:space="preserve"> that even if a person would have the SARS</w:t>
      </w:r>
      <w:r w:rsidR="00A5439F" w:rsidRPr="007A37E1">
        <w:rPr>
          <w:rFonts w:ascii="Arial" w:hAnsi="Arial" w:cs="Arial"/>
          <w:sz w:val="22"/>
          <w:szCs w:val="22"/>
        </w:rPr>
        <w:t>-</w:t>
      </w:r>
      <w:r w:rsidRPr="007A37E1">
        <w:rPr>
          <w:rFonts w:ascii="Arial" w:hAnsi="Arial" w:cs="Arial"/>
          <w:sz w:val="22"/>
          <w:szCs w:val="22"/>
        </w:rPr>
        <w:t>Cov-2 but it did</w:t>
      </w:r>
      <w:r w:rsidR="00CF0146" w:rsidRPr="007A37E1">
        <w:rPr>
          <w:rFonts w:ascii="Arial" w:hAnsi="Arial" w:cs="Arial"/>
          <w:sz w:val="22"/>
          <w:szCs w:val="22"/>
        </w:rPr>
        <w:t xml:space="preserve"> </w:t>
      </w:r>
      <w:r w:rsidRPr="007A37E1">
        <w:rPr>
          <w:rFonts w:ascii="Arial" w:hAnsi="Arial" w:cs="Arial"/>
          <w:sz w:val="22"/>
          <w:szCs w:val="22"/>
        </w:rPr>
        <w:t>not turn into COVID</w:t>
      </w:r>
      <w:r w:rsidR="00A5439F" w:rsidRPr="007A37E1">
        <w:rPr>
          <w:rFonts w:ascii="Arial" w:hAnsi="Arial" w:cs="Arial"/>
          <w:sz w:val="22"/>
          <w:szCs w:val="22"/>
        </w:rPr>
        <w:t>-</w:t>
      </w:r>
      <w:r w:rsidRPr="007A37E1">
        <w:rPr>
          <w:rFonts w:ascii="Arial" w:hAnsi="Arial" w:cs="Arial"/>
          <w:sz w:val="22"/>
          <w:szCs w:val="22"/>
        </w:rPr>
        <w:t>19 and in fact died of another cause like heart failure or cancer, WHO</w:t>
      </w:r>
      <w:r w:rsidR="00CF0146" w:rsidRPr="007A37E1">
        <w:rPr>
          <w:rFonts w:ascii="Arial" w:hAnsi="Arial" w:cs="Arial"/>
          <w:sz w:val="22"/>
          <w:szCs w:val="22"/>
        </w:rPr>
        <w:t xml:space="preserve"> </w:t>
      </w:r>
      <w:r w:rsidRPr="007A37E1">
        <w:rPr>
          <w:rFonts w:ascii="Arial" w:hAnsi="Arial" w:cs="Arial"/>
          <w:sz w:val="22"/>
          <w:szCs w:val="22"/>
        </w:rPr>
        <w:t xml:space="preserve">advised that such a death should also be reported </w:t>
      </w:r>
      <w:r w:rsidR="00A5439F" w:rsidRPr="007A37E1">
        <w:rPr>
          <w:rFonts w:ascii="Arial" w:hAnsi="Arial" w:cs="Arial"/>
          <w:sz w:val="22"/>
          <w:szCs w:val="22"/>
        </w:rPr>
        <w:t>as</w:t>
      </w:r>
      <w:r w:rsidRPr="007A37E1">
        <w:rPr>
          <w:rFonts w:ascii="Arial" w:hAnsi="Arial" w:cs="Arial"/>
          <w:sz w:val="22"/>
          <w:szCs w:val="22"/>
        </w:rPr>
        <w:t xml:space="preserve"> a COVID-19 case. This document</w:t>
      </w:r>
      <w:r w:rsidR="00CF0146" w:rsidRPr="007A37E1">
        <w:rPr>
          <w:rFonts w:ascii="Arial" w:hAnsi="Arial" w:cs="Arial"/>
          <w:sz w:val="22"/>
          <w:szCs w:val="22"/>
        </w:rPr>
        <w:t xml:space="preserve"> </w:t>
      </w:r>
      <w:r w:rsidRPr="007A37E1">
        <w:rPr>
          <w:rFonts w:ascii="Arial" w:hAnsi="Arial" w:cs="Arial"/>
          <w:sz w:val="22"/>
          <w:szCs w:val="22"/>
        </w:rPr>
        <w:t>by WHO is attached as Annexure</w:t>
      </w:r>
      <w:r w:rsidR="00A5439F" w:rsidRPr="007A37E1">
        <w:rPr>
          <w:rFonts w:ascii="Arial" w:hAnsi="Arial" w:cs="Arial"/>
          <w:sz w:val="22"/>
          <w:szCs w:val="22"/>
        </w:rPr>
        <w:t xml:space="preserve"> “</w:t>
      </w:r>
      <w:r w:rsidRPr="007A37E1">
        <w:rPr>
          <w:rFonts w:ascii="Arial" w:hAnsi="Arial" w:cs="Arial"/>
          <w:sz w:val="22"/>
          <w:szCs w:val="22"/>
        </w:rPr>
        <w:t>K</w:t>
      </w:r>
      <w:r w:rsidR="0009365A" w:rsidRPr="007A37E1">
        <w:rPr>
          <w:rFonts w:ascii="Arial" w:hAnsi="Arial" w:cs="Arial"/>
          <w:sz w:val="22"/>
          <w:szCs w:val="22"/>
        </w:rPr>
        <w:t>”</w:t>
      </w:r>
      <w:r w:rsidRPr="007A37E1">
        <w:rPr>
          <w:rFonts w:ascii="Arial" w:hAnsi="Arial" w:cs="Arial"/>
          <w:sz w:val="22"/>
          <w:szCs w:val="22"/>
        </w:rPr>
        <w:t xml:space="preserve">. </w:t>
      </w:r>
    </w:p>
    <w:p w14:paraId="0E869602" w14:textId="6606A8E6" w:rsidR="00052552" w:rsidRPr="007A37E1" w:rsidRDefault="00052552" w:rsidP="00A636FB">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 xml:space="preserve">6.5 </w:t>
      </w:r>
      <w:r w:rsidR="00CF0146" w:rsidRPr="007A37E1">
        <w:rPr>
          <w:rFonts w:ascii="Arial" w:hAnsi="Arial" w:cs="Arial"/>
          <w:sz w:val="22"/>
          <w:szCs w:val="22"/>
        </w:rPr>
        <w:tab/>
      </w:r>
      <w:r w:rsidRPr="007A37E1">
        <w:rPr>
          <w:rFonts w:ascii="Arial" w:hAnsi="Arial" w:cs="Arial"/>
          <w:sz w:val="22"/>
          <w:szCs w:val="22"/>
        </w:rPr>
        <w:t xml:space="preserve">As per the latest available </w:t>
      </w:r>
      <w:r w:rsidR="0009365A" w:rsidRPr="007A37E1">
        <w:rPr>
          <w:rFonts w:ascii="Arial" w:hAnsi="Arial" w:cs="Arial"/>
          <w:i/>
          <w:sz w:val="22"/>
          <w:szCs w:val="22"/>
        </w:rPr>
        <w:t>“</w:t>
      </w:r>
      <w:r w:rsidRPr="007A37E1">
        <w:rPr>
          <w:rFonts w:ascii="Arial" w:hAnsi="Arial" w:cs="Arial"/>
          <w:i/>
          <w:sz w:val="22"/>
          <w:szCs w:val="22"/>
        </w:rPr>
        <w:t>Mortality and causes of de</w:t>
      </w:r>
      <w:r w:rsidR="00A5439F" w:rsidRPr="007A37E1">
        <w:rPr>
          <w:rFonts w:ascii="Arial" w:hAnsi="Arial" w:cs="Arial"/>
          <w:i/>
          <w:sz w:val="22"/>
          <w:szCs w:val="22"/>
        </w:rPr>
        <w:t>ath in South Africa: Findings fr</w:t>
      </w:r>
      <w:r w:rsidRPr="007A37E1">
        <w:rPr>
          <w:rFonts w:ascii="Arial" w:hAnsi="Arial" w:cs="Arial"/>
          <w:i/>
          <w:sz w:val="22"/>
          <w:szCs w:val="22"/>
        </w:rPr>
        <w:t>om</w:t>
      </w:r>
      <w:r w:rsidR="00A5439F" w:rsidRPr="007A37E1">
        <w:rPr>
          <w:rFonts w:ascii="Arial" w:hAnsi="Arial" w:cs="Arial"/>
          <w:i/>
          <w:sz w:val="22"/>
          <w:szCs w:val="22"/>
        </w:rPr>
        <w:t xml:space="preserve"> </w:t>
      </w:r>
      <w:r w:rsidRPr="007A37E1">
        <w:rPr>
          <w:rFonts w:ascii="Arial" w:hAnsi="Arial" w:cs="Arial"/>
          <w:i/>
          <w:sz w:val="22"/>
          <w:szCs w:val="22"/>
        </w:rPr>
        <w:t>death notification 2017</w:t>
      </w:r>
      <w:r w:rsidR="0009365A" w:rsidRPr="007A37E1">
        <w:rPr>
          <w:rFonts w:ascii="Arial" w:hAnsi="Arial" w:cs="Arial"/>
          <w:i/>
          <w:sz w:val="22"/>
          <w:szCs w:val="22"/>
        </w:rPr>
        <w:t>”</w:t>
      </w:r>
      <w:r w:rsidRPr="007A37E1">
        <w:rPr>
          <w:rFonts w:ascii="Arial" w:hAnsi="Arial" w:cs="Arial"/>
          <w:sz w:val="22"/>
          <w:szCs w:val="22"/>
        </w:rPr>
        <w:t>, which was embargoed by Statistics SA (Stats SA) for release unt</w:t>
      </w:r>
      <w:r w:rsidR="00A5439F" w:rsidRPr="007A37E1">
        <w:rPr>
          <w:rFonts w:ascii="Arial" w:hAnsi="Arial" w:cs="Arial"/>
          <w:sz w:val="22"/>
          <w:szCs w:val="22"/>
        </w:rPr>
        <w:t xml:space="preserve">il </w:t>
      </w:r>
      <w:r w:rsidRPr="007A37E1">
        <w:rPr>
          <w:rFonts w:ascii="Arial" w:hAnsi="Arial" w:cs="Arial"/>
          <w:sz w:val="22"/>
          <w:szCs w:val="22"/>
        </w:rPr>
        <w:t>26 March 2020, it is interesting to note that while COV</w:t>
      </w:r>
      <w:r w:rsidR="00A5439F" w:rsidRPr="007A37E1">
        <w:rPr>
          <w:rFonts w:ascii="Arial" w:hAnsi="Arial" w:cs="Arial"/>
          <w:sz w:val="22"/>
          <w:szCs w:val="22"/>
        </w:rPr>
        <w:t>I</w:t>
      </w:r>
      <w:r w:rsidRPr="007A37E1">
        <w:rPr>
          <w:rFonts w:ascii="Arial" w:hAnsi="Arial" w:cs="Arial"/>
          <w:sz w:val="22"/>
          <w:szCs w:val="22"/>
        </w:rPr>
        <w:t>D-19 was not yet known, that the</w:t>
      </w:r>
      <w:r w:rsidR="00CF0146" w:rsidRPr="007A37E1">
        <w:rPr>
          <w:rFonts w:ascii="Arial" w:hAnsi="Arial" w:cs="Arial"/>
          <w:sz w:val="22"/>
          <w:szCs w:val="22"/>
        </w:rPr>
        <w:t xml:space="preserve"> </w:t>
      </w:r>
      <w:r w:rsidR="00A5439F" w:rsidRPr="007A37E1">
        <w:rPr>
          <w:rFonts w:ascii="Arial" w:hAnsi="Arial" w:cs="Arial"/>
          <w:sz w:val="22"/>
          <w:szCs w:val="22"/>
        </w:rPr>
        <w:t>I</w:t>
      </w:r>
      <w:r w:rsidRPr="007A37E1">
        <w:rPr>
          <w:rFonts w:ascii="Arial" w:hAnsi="Arial" w:cs="Arial"/>
          <w:sz w:val="22"/>
          <w:szCs w:val="22"/>
        </w:rPr>
        <w:t>CD cod</w:t>
      </w:r>
      <w:r w:rsidR="00A5439F" w:rsidRPr="007A37E1">
        <w:rPr>
          <w:rFonts w:ascii="Arial" w:hAnsi="Arial" w:cs="Arial"/>
          <w:sz w:val="22"/>
          <w:szCs w:val="22"/>
        </w:rPr>
        <w:t>i</w:t>
      </w:r>
      <w:r w:rsidRPr="007A37E1">
        <w:rPr>
          <w:rFonts w:ascii="Arial" w:hAnsi="Arial" w:cs="Arial"/>
          <w:sz w:val="22"/>
          <w:szCs w:val="22"/>
        </w:rPr>
        <w:t>ng and spec</w:t>
      </w:r>
      <w:r w:rsidR="00A5439F" w:rsidRPr="007A37E1">
        <w:rPr>
          <w:rFonts w:ascii="Arial" w:hAnsi="Arial" w:cs="Arial"/>
          <w:sz w:val="22"/>
          <w:szCs w:val="22"/>
        </w:rPr>
        <w:t>i</w:t>
      </w:r>
      <w:r w:rsidRPr="007A37E1">
        <w:rPr>
          <w:rFonts w:ascii="Arial" w:hAnsi="Arial" w:cs="Arial"/>
          <w:sz w:val="22"/>
          <w:szCs w:val="22"/>
        </w:rPr>
        <w:t>fica</w:t>
      </w:r>
      <w:r w:rsidR="00A5439F" w:rsidRPr="007A37E1">
        <w:rPr>
          <w:rFonts w:ascii="Arial" w:hAnsi="Arial" w:cs="Arial"/>
          <w:sz w:val="22"/>
          <w:szCs w:val="22"/>
        </w:rPr>
        <w:t>ll</w:t>
      </w:r>
      <w:r w:rsidRPr="007A37E1">
        <w:rPr>
          <w:rFonts w:ascii="Arial" w:hAnsi="Arial" w:cs="Arial"/>
          <w:sz w:val="22"/>
          <w:szCs w:val="22"/>
        </w:rPr>
        <w:t>y code J12, for Influenza and Pneumonia (which were also</w:t>
      </w:r>
      <w:r w:rsidR="00A636FB" w:rsidRPr="007A37E1">
        <w:rPr>
          <w:rFonts w:ascii="Arial" w:hAnsi="Arial" w:cs="Arial"/>
          <w:sz w:val="22"/>
          <w:szCs w:val="22"/>
        </w:rPr>
        <w:t xml:space="preserve"> </w:t>
      </w:r>
      <w:r w:rsidRPr="007A37E1">
        <w:rPr>
          <w:rFonts w:ascii="Arial" w:hAnsi="Arial" w:cs="Arial"/>
          <w:sz w:val="22"/>
          <w:szCs w:val="22"/>
        </w:rPr>
        <w:t>shared for a wh</w:t>
      </w:r>
      <w:r w:rsidR="00A5439F" w:rsidRPr="007A37E1">
        <w:rPr>
          <w:rFonts w:ascii="Arial" w:hAnsi="Arial" w:cs="Arial"/>
          <w:sz w:val="22"/>
          <w:szCs w:val="22"/>
        </w:rPr>
        <w:t xml:space="preserve">ile </w:t>
      </w:r>
      <w:r w:rsidRPr="007A37E1">
        <w:rPr>
          <w:rFonts w:ascii="Arial" w:hAnsi="Arial" w:cs="Arial"/>
          <w:sz w:val="22"/>
          <w:szCs w:val="22"/>
        </w:rPr>
        <w:t>by COVID-19 until 1 April 2020), resulted in underlying</w:t>
      </w:r>
      <w:r w:rsidR="00A5439F" w:rsidRPr="007A37E1">
        <w:rPr>
          <w:rFonts w:ascii="Arial" w:hAnsi="Arial" w:cs="Arial"/>
          <w:sz w:val="22"/>
          <w:szCs w:val="22"/>
        </w:rPr>
        <w:t>,</w:t>
      </w:r>
      <w:r w:rsidRPr="007A37E1">
        <w:rPr>
          <w:rFonts w:ascii="Arial" w:hAnsi="Arial" w:cs="Arial"/>
          <w:sz w:val="22"/>
          <w:szCs w:val="22"/>
        </w:rPr>
        <w:t xml:space="preserve"> immediate or</w:t>
      </w:r>
      <w:r w:rsidR="00A636FB" w:rsidRPr="007A37E1">
        <w:rPr>
          <w:rFonts w:ascii="Arial" w:hAnsi="Arial" w:cs="Arial"/>
          <w:sz w:val="22"/>
          <w:szCs w:val="22"/>
        </w:rPr>
        <w:t xml:space="preserve"> </w:t>
      </w:r>
      <w:r w:rsidRPr="007A37E1">
        <w:rPr>
          <w:rFonts w:ascii="Arial" w:hAnsi="Arial" w:cs="Arial"/>
          <w:sz w:val="22"/>
          <w:szCs w:val="22"/>
        </w:rPr>
        <w:t>contributed to the death of 42385 people during 2017 imp</w:t>
      </w:r>
      <w:r w:rsidR="00A5439F" w:rsidRPr="007A37E1">
        <w:rPr>
          <w:rFonts w:ascii="Arial" w:hAnsi="Arial" w:cs="Arial"/>
          <w:sz w:val="22"/>
          <w:szCs w:val="22"/>
        </w:rPr>
        <w:t>lyi</w:t>
      </w:r>
      <w:r w:rsidRPr="007A37E1">
        <w:rPr>
          <w:rFonts w:ascii="Arial" w:hAnsi="Arial" w:cs="Arial"/>
          <w:sz w:val="22"/>
          <w:szCs w:val="22"/>
        </w:rPr>
        <w:t>ng that on an average 3532</w:t>
      </w:r>
      <w:r w:rsidR="00A636FB" w:rsidRPr="007A37E1">
        <w:rPr>
          <w:rFonts w:ascii="Arial" w:hAnsi="Arial" w:cs="Arial"/>
          <w:sz w:val="22"/>
          <w:szCs w:val="22"/>
        </w:rPr>
        <w:t xml:space="preserve"> </w:t>
      </w:r>
      <w:r w:rsidRPr="007A37E1">
        <w:rPr>
          <w:rFonts w:ascii="Arial" w:hAnsi="Arial" w:cs="Arial"/>
          <w:sz w:val="22"/>
          <w:szCs w:val="22"/>
        </w:rPr>
        <w:t xml:space="preserve">people died every </w:t>
      </w:r>
      <w:r w:rsidR="00A5439F" w:rsidRPr="007A37E1">
        <w:rPr>
          <w:rFonts w:ascii="Arial" w:hAnsi="Arial" w:cs="Arial"/>
          <w:sz w:val="22"/>
          <w:szCs w:val="22"/>
        </w:rPr>
        <w:t xml:space="preserve">month </w:t>
      </w:r>
      <w:r w:rsidRPr="007A37E1">
        <w:rPr>
          <w:rFonts w:ascii="Arial" w:hAnsi="Arial" w:cs="Arial"/>
          <w:sz w:val="22"/>
          <w:szCs w:val="22"/>
        </w:rPr>
        <w:t>in South Africa due to the underlying, immediate or contributing</w:t>
      </w:r>
      <w:r w:rsidR="00A636FB" w:rsidRPr="007A37E1">
        <w:rPr>
          <w:rFonts w:ascii="Arial" w:hAnsi="Arial" w:cs="Arial"/>
          <w:sz w:val="22"/>
          <w:szCs w:val="22"/>
        </w:rPr>
        <w:t xml:space="preserve"> </w:t>
      </w:r>
      <w:r w:rsidRPr="007A37E1">
        <w:rPr>
          <w:rFonts w:ascii="Arial" w:hAnsi="Arial" w:cs="Arial"/>
          <w:sz w:val="22"/>
          <w:szCs w:val="22"/>
        </w:rPr>
        <w:t xml:space="preserve">of Influenza and Pneumonia of which statistics from previous years were </w:t>
      </w:r>
      <w:r w:rsidR="00A5439F" w:rsidRPr="007A37E1">
        <w:rPr>
          <w:rFonts w:ascii="Arial" w:hAnsi="Arial" w:cs="Arial"/>
          <w:sz w:val="22"/>
          <w:szCs w:val="22"/>
        </w:rPr>
        <w:t>similar</w:t>
      </w:r>
      <w:r w:rsidRPr="007A37E1">
        <w:rPr>
          <w:rFonts w:ascii="Arial" w:hAnsi="Arial" w:cs="Arial"/>
          <w:sz w:val="22"/>
          <w:szCs w:val="22"/>
        </w:rPr>
        <w:t>. Extracts</w:t>
      </w:r>
      <w:r w:rsidR="00A636FB" w:rsidRPr="007A37E1">
        <w:rPr>
          <w:rFonts w:ascii="Arial" w:hAnsi="Arial" w:cs="Arial"/>
          <w:sz w:val="22"/>
          <w:szCs w:val="22"/>
        </w:rPr>
        <w:t xml:space="preserve"> </w:t>
      </w:r>
      <w:r w:rsidRPr="007A37E1">
        <w:rPr>
          <w:rFonts w:ascii="Arial" w:hAnsi="Arial" w:cs="Arial"/>
          <w:sz w:val="22"/>
          <w:szCs w:val="22"/>
        </w:rPr>
        <w:t xml:space="preserve">of this Stats SA statistical report of some relevant parts are attached as Annexure </w:t>
      </w:r>
      <w:r w:rsidR="00284B34" w:rsidRPr="007A37E1">
        <w:rPr>
          <w:rFonts w:ascii="Arial" w:hAnsi="Arial" w:cs="Arial"/>
          <w:sz w:val="22"/>
          <w:szCs w:val="22"/>
        </w:rPr>
        <w:t>“</w:t>
      </w:r>
      <w:r w:rsidR="00A5439F" w:rsidRPr="007A37E1">
        <w:rPr>
          <w:rFonts w:ascii="Arial" w:hAnsi="Arial" w:cs="Arial"/>
          <w:sz w:val="22"/>
          <w:szCs w:val="22"/>
        </w:rPr>
        <w:t>L</w:t>
      </w:r>
      <w:r w:rsidR="00284B34" w:rsidRPr="007A37E1">
        <w:rPr>
          <w:rFonts w:ascii="Arial" w:hAnsi="Arial" w:cs="Arial"/>
          <w:sz w:val="22"/>
          <w:szCs w:val="22"/>
        </w:rPr>
        <w:t>”</w:t>
      </w:r>
      <w:r w:rsidRPr="007A37E1">
        <w:rPr>
          <w:rFonts w:ascii="Arial" w:hAnsi="Arial" w:cs="Arial"/>
          <w:sz w:val="22"/>
          <w:szCs w:val="22"/>
        </w:rPr>
        <w:t xml:space="preserve"> where</w:t>
      </w:r>
      <w:r w:rsidR="00A5439F" w:rsidRPr="007A37E1">
        <w:rPr>
          <w:rFonts w:ascii="Arial" w:hAnsi="Arial" w:cs="Arial"/>
          <w:sz w:val="22"/>
          <w:szCs w:val="22"/>
        </w:rPr>
        <w:t xml:space="preserve"> </w:t>
      </w:r>
      <w:r w:rsidRPr="007A37E1">
        <w:rPr>
          <w:rFonts w:ascii="Arial" w:hAnsi="Arial" w:cs="Arial"/>
          <w:sz w:val="22"/>
          <w:szCs w:val="22"/>
        </w:rPr>
        <w:t>the fu</w:t>
      </w:r>
      <w:r w:rsidR="00A5439F" w:rsidRPr="007A37E1">
        <w:rPr>
          <w:rFonts w:ascii="Arial" w:hAnsi="Arial" w:cs="Arial"/>
          <w:sz w:val="22"/>
          <w:szCs w:val="22"/>
        </w:rPr>
        <w:t>l</w:t>
      </w:r>
      <w:r w:rsidRPr="007A37E1">
        <w:rPr>
          <w:rFonts w:ascii="Arial" w:hAnsi="Arial" w:cs="Arial"/>
          <w:sz w:val="22"/>
          <w:szCs w:val="22"/>
        </w:rPr>
        <w:t>l report</w:t>
      </w:r>
      <w:r w:rsidR="00A5439F" w:rsidRPr="007A37E1">
        <w:rPr>
          <w:rFonts w:ascii="Arial" w:hAnsi="Arial" w:cs="Arial"/>
          <w:sz w:val="22"/>
          <w:szCs w:val="22"/>
        </w:rPr>
        <w:t xml:space="preserve"> </w:t>
      </w:r>
      <w:r w:rsidRPr="007A37E1">
        <w:rPr>
          <w:rFonts w:ascii="Arial" w:hAnsi="Arial" w:cs="Arial"/>
          <w:sz w:val="22"/>
          <w:szCs w:val="22"/>
        </w:rPr>
        <w:t>will be provided to the Court at the hearing.</w:t>
      </w:r>
    </w:p>
    <w:p w14:paraId="0E687781" w14:textId="5B926189" w:rsidR="00052552" w:rsidRPr="007A37E1" w:rsidRDefault="00A5439F" w:rsidP="00A636FB">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 xml:space="preserve">6.6 </w:t>
      </w:r>
      <w:r w:rsidR="00A636FB" w:rsidRPr="007A37E1">
        <w:rPr>
          <w:rFonts w:ascii="Arial" w:hAnsi="Arial" w:cs="Arial"/>
          <w:sz w:val="22"/>
          <w:szCs w:val="22"/>
        </w:rPr>
        <w:tab/>
      </w:r>
      <w:r w:rsidRPr="007A37E1">
        <w:rPr>
          <w:rFonts w:ascii="Arial" w:hAnsi="Arial" w:cs="Arial"/>
          <w:sz w:val="22"/>
          <w:szCs w:val="22"/>
        </w:rPr>
        <w:t>Wi</w:t>
      </w:r>
      <w:r w:rsidR="00052552" w:rsidRPr="007A37E1">
        <w:rPr>
          <w:rFonts w:ascii="Arial" w:hAnsi="Arial" w:cs="Arial"/>
          <w:sz w:val="22"/>
          <w:szCs w:val="22"/>
        </w:rPr>
        <w:t>t</w:t>
      </w:r>
      <w:r w:rsidRPr="007A37E1">
        <w:rPr>
          <w:rFonts w:ascii="Arial" w:hAnsi="Arial" w:cs="Arial"/>
          <w:sz w:val="22"/>
          <w:szCs w:val="22"/>
        </w:rPr>
        <w:t>h</w:t>
      </w:r>
      <w:r w:rsidR="00052552" w:rsidRPr="007A37E1">
        <w:rPr>
          <w:rFonts w:ascii="Arial" w:hAnsi="Arial" w:cs="Arial"/>
          <w:sz w:val="22"/>
          <w:szCs w:val="22"/>
        </w:rPr>
        <w:t>out the availability of the full historic number of deaths for the ICD</w:t>
      </w:r>
      <w:r w:rsidRPr="007A37E1">
        <w:rPr>
          <w:rFonts w:ascii="Arial" w:hAnsi="Arial" w:cs="Arial"/>
          <w:sz w:val="22"/>
          <w:szCs w:val="22"/>
        </w:rPr>
        <w:t>-</w:t>
      </w:r>
      <w:r w:rsidR="00052552" w:rsidRPr="007A37E1">
        <w:rPr>
          <w:rFonts w:ascii="Arial" w:hAnsi="Arial" w:cs="Arial"/>
          <w:sz w:val="22"/>
          <w:szCs w:val="22"/>
        </w:rPr>
        <w:t>10 codes J12 to</w:t>
      </w:r>
      <w:r w:rsidRPr="007A37E1">
        <w:rPr>
          <w:rFonts w:ascii="Arial" w:hAnsi="Arial" w:cs="Arial"/>
          <w:sz w:val="22"/>
          <w:szCs w:val="22"/>
        </w:rPr>
        <w:t xml:space="preserve"> </w:t>
      </w:r>
      <w:r w:rsidR="00052552" w:rsidRPr="007A37E1">
        <w:rPr>
          <w:rFonts w:ascii="Arial" w:hAnsi="Arial" w:cs="Arial"/>
          <w:sz w:val="22"/>
          <w:szCs w:val="22"/>
        </w:rPr>
        <w:t>J</w:t>
      </w:r>
      <w:r w:rsidRPr="007A37E1">
        <w:rPr>
          <w:rFonts w:ascii="Arial" w:hAnsi="Arial" w:cs="Arial"/>
          <w:sz w:val="22"/>
          <w:szCs w:val="22"/>
        </w:rPr>
        <w:t>1</w:t>
      </w:r>
      <w:r w:rsidR="00052552" w:rsidRPr="007A37E1">
        <w:rPr>
          <w:rFonts w:ascii="Arial" w:hAnsi="Arial" w:cs="Arial"/>
          <w:sz w:val="22"/>
          <w:szCs w:val="22"/>
        </w:rPr>
        <w:t xml:space="preserve">8 </w:t>
      </w:r>
      <w:r w:rsidRPr="007A37E1">
        <w:rPr>
          <w:rFonts w:ascii="Arial" w:hAnsi="Arial" w:cs="Arial"/>
          <w:sz w:val="22"/>
          <w:szCs w:val="22"/>
        </w:rPr>
        <w:t>i</w:t>
      </w:r>
      <w:r w:rsidR="00052552" w:rsidRPr="007A37E1">
        <w:rPr>
          <w:rFonts w:ascii="Arial" w:hAnsi="Arial" w:cs="Arial"/>
          <w:sz w:val="22"/>
          <w:szCs w:val="22"/>
        </w:rPr>
        <w:t xml:space="preserve">n comparison to the so called reported </w:t>
      </w:r>
      <w:r w:rsidRPr="007A37E1">
        <w:rPr>
          <w:rFonts w:ascii="Arial" w:hAnsi="Arial" w:cs="Arial"/>
          <w:sz w:val="22"/>
          <w:szCs w:val="22"/>
        </w:rPr>
        <w:t>COVID-</w:t>
      </w:r>
      <w:r w:rsidR="00052552" w:rsidRPr="007A37E1">
        <w:rPr>
          <w:rFonts w:ascii="Arial" w:hAnsi="Arial" w:cs="Arial"/>
          <w:sz w:val="22"/>
          <w:szCs w:val="22"/>
        </w:rPr>
        <w:t>19 cases, it is simply not possible to</w:t>
      </w:r>
      <w:r w:rsidRPr="007A37E1">
        <w:rPr>
          <w:rFonts w:ascii="Arial" w:hAnsi="Arial" w:cs="Arial"/>
          <w:sz w:val="22"/>
          <w:szCs w:val="22"/>
        </w:rPr>
        <w:t xml:space="preserve"> </w:t>
      </w:r>
      <w:r w:rsidR="00052552" w:rsidRPr="007A37E1">
        <w:rPr>
          <w:rFonts w:ascii="Arial" w:hAnsi="Arial" w:cs="Arial"/>
          <w:sz w:val="22"/>
          <w:szCs w:val="22"/>
        </w:rPr>
        <w:t>have made an informed decision and any decision not taking into consideration the already</w:t>
      </w:r>
      <w:r w:rsidRPr="007A37E1">
        <w:rPr>
          <w:rFonts w:ascii="Arial" w:hAnsi="Arial" w:cs="Arial"/>
          <w:sz w:val="22"/>
          <w:szCs w:val="22"/>
        </w:rPr>
        <w:t xml:space="preserve"> </w:t>
      </w:r>
      <w:r w:rsidR="00052552" w:rsidRPr="007A37E1">
        <w:rPr>
          <w:rFonts w:ascii="Arial" w:hAnsi="Arial" w:cs="Arial"/>
          <w:sz w:val="22"/>
          <w:szCs w:val="22"/>
        </w:rPr>
        <w:t>known diseases which norma</w:t>
      </w:r>
      <w:r w:rsidRPr="007A37E1">
        <w:rPr>
          <w:rFonts w:ascii="Arial" w:hAnsi="Arial" w:cs="Arial"/>
          <w:sz w:val="22"/>
          <w:szCs w:val="22"/>
        </w:rPr>
        <w:t>ll</w:t>
      </w:r>
      <w:r w:rsidR="00052552" w:rsidRPr="007A37E1">
        <w:rPr>
          <w:rFonts w:ascii="Arial" w:hAnsi="Arial" w:cs="Arial"/>
          <w:sz w:val="22"/>
          <w:szCs w:val="22"/>
        </w:rPr>
        <w:t>y are reported under those same ICD</w:t>
      </w:r>
      <w:r w:rsidRPr="007A37E1">
        <w:rPr>
          <w:rFonts w:ascii="Arial" w:hAnsi="Arial" w:cs="Arial"/>
          <w:sz w:val="22"/>
          <w:szCs w:val="22"/>
        </w:rPr>
        <w:t>-</w:t>
      </w:r>
      <w:r w:rsidR="00052552" w:rsidRPr="007A37E1">
        <w:rPr>
          <w:rFonts w:ascii="Arial" w:hAnsi="Arial" w:cs="Arial"/>
          <w:sz w:val="22"/>
          <w:szCs w:val="22"/>
        </w:rPr>
        <w:t>10 codes, the decision</w:t>
      </w:r>
      <w:r w:rsidRPr="007A37E1">
        <w:rPr>
          <w:rFonts w:ascii="Arial" w:hAnsi="Arial" w:cs="Arial"/>
          <w:sz w:val="22"/>
          <w:szCs w:val="22"/>
        </w:rPr>
        <w:t xml:space="preserve"> o</w:t>
      </w:r>
      <w:r w:rsidR="00052552" w:rsidRPr="007A37E1">
        <w:rPr>
          <w:rFonts w:ascii="Arial" w:hAnsi="Arial" w:cs="Arial"/>
          <w:sz w:val="22"/>
          <w:szCs w:val="22"/>
        </w:rPr>
        <w:t xml:space="preserve">f the </w:t>
      </w:r>
      <w:r w:rsidR="00052552" w:rsidRPr="007A37E1">
        <w:rPr>
          <w:rFonts w:ascii="Arial" w:hAnsi="Arial" w:cs="Arial"/>
          <w:iCs/>
          <w:sz w:val="22"/>
          <w:szCs w:val="22"/>
        </w:rPr>
        <w:t>C</w:t>
      </w:r>
      <w:r w:rsidR="003C1A34" w:rsidRPr="007A37E1">
        <w:rPr>
          <w:rFonts w:ascii="Arial" w:hAnsi="Arial" w:cs="Arial"/>
          <w:iCs/>
          <w:sz w:val="22"/>
          <w:szCs w:val="22"/>
        </w:rPr>
        <w:t>O</w:t>
      </w:r>
      <w:r w:rsidR="00052552" w:rsidRPr="007A37E1">
        <w:rPr>
          <w:rFonts w:ascii="Arial" w:hAnsi="Arial" w:cs="Arial"/>
          <w:iCs/>
          <w:sz w:val="22"/>
          <w:szCs w:val="22"/>
        </w:rPr>
        <w:t>GTA</w:t>
      </w:r>
      <w:r w:rsidRPr="007A37E1">
        <w:rPr>
          <w:rFonts w:ascii="Arial" w:hAnsi="Arial" w:cs="Arial"/>
          <w:iCs/>
          <w:sz w:val="22"/>
          <w:szCs w:val="22"/>
        </w:rPr>
        <w:t xml:space="preserve"> </w:t>
      </w:r>
      <w:r w:rsidR="00052552" w:rsidRPr="007A37E1">
        <w:rPr>
          <w:rFonts w:ascii="Arial" w:hAnsi="Arial" w:cs="Arial"/>
          <w:iCs/>
          <w:sz w:val="22"/>
          <w:szCs w:val="22"/>
        </w:rPr>
        <w:t>Minister</w:t>
      </w:r>
      <w:r w:rsidR="00052552" w:rsidRPr="007A37E1">
        <w:rPr>
          <w:rFonts w:ascii="Arial" w:hAnsi="Arial" w:cs="Arial"/>
          <w:sz w:val="22"/>
          <w:szCs w:val="22"/>
        </w:rPr>
        <w:t xml:space="preserve"> to have declared a National S</w:t>
      </w:r>
      <w:r w:rsidRPr="007A37E1">
        <w:rPr>
          <w:rFonts w:ascii="Arial" w:hAnsi="Arial" w:cs="Arial"/>
          <w:sz w:val="22"/>
          <w:szCs w:val="22"/>
        </w:rPr>
        <w:t>ta</w:t>
      </w:r>
      <w:r w:rsidR="00052552" w:rsidRPr="007A37E1">
        <w:rPr>
          <w:rFonts w:ascii="Arial" w:hAnsi="Arial" w:cs="Arial"/>
          <w:sz w:val="22"/>
          <w:szCs w:val="22"/>
        </w:rPr>
        <w:t>te of Disaster was therefore</w:t>
      </w:r>
      <w:r w:rsidRPr="007A37E1">
        <w:rPr>
          <w:rFonts w:ascii="Arial" w:hAnsi="Arial" w:cs="Arial"/>
          <w:sz w:val="22"/>
          <w:szCs w:val="22"/>
        </w:rPr>
        <w:t xml:space="preserve"> </w:t>
      </w:r>
      <w:r w:rsidR="00052552" w:rsidRPr="007A37E1">
        <w:rPr>
          <w:rFonts w:ascii="Arial" w:hAnsi="Arial" w:cs="Arial"/>
          <w:sz w:val="22"/>
          <w:szCs w:val="22"/>
        </w:rPr>
        <w:t>respectfully</w:t>
      </w:r>
      <w:r w:rsidRPr="007A37E1">
        <w:rPr>
          <w:rFonts w:ascii="Arial" w:hAnsi="Arial" w:cs="Arial"/>
          <w:sz w:val="22"/>
          <w:szCs w:val="22"/>
        </w:rPr>
        <w:t xml:space="preserve"> </w:t>
      </w:r>
      <w:r w:rsidR="00052552" w:rsidRPr="007A37E1">
        <w:rPr>
          <w:rFonts w:ascii="Arial" w:hAnsi="Arial" w:cs="Arial"/>
          <w:sz w:val="22"/>
          <w:szCs w:val="22"/>
        </w:rPr>
        <w:t>ir</w:t>
      </w:r>
      <w:r w:rsidRPr="007A37E1">
        <w:rPr>
          <w:rFonts w:ascii="Arial" w:hAnsi="Arial" w:cs="Arial"/>
          <w:sz w:val="22"/>
          <w:szCs w:val="22"/>
        </w:rPr>
        <w:t xml:space="preserve">rational and timed </w:t>
      </w:r>
      <w:r w:rsidR="00052552" w:rsidRPr="007A37E1">
        <w:rPr>
          <w:rFonts w:ascii="Arial" w:hAnsi="Arial" w:cs="Arial"/>
          <w:sz w:val="22"/>
          <w:szCs w:val="22"/>
        </w:rPr>
        <w:t>inco</w:t>
      </w:r>
      <w:r w:rsidRPr="007A37E1">
        <w:rPr>
          <w:rFonts w:ascii="Arial" w:hAnsi="Arial" w:cs="Arial"/>
          <w:sz w:val="22"/>
          <w:szCs w:val="22"/>
        </w:rPr>
        <w:t>rrectly</w:t>
      </w:r>
      <w:r w:rsidR="00052552" w:rsidRPr="007A37E1">
        <w:rPr>
          <w:rFonts w:ascii="Arial" w:hAnsi="Arial" w:cs="Arial"/>
          <w:sz w:val="22"/>
          <w:szCs w:val="22"/>
        </w:rPr>
        <w:t>.</w:t>
      </w:r>
    </w:p>
    <w:p w14:paraId="5C1C3768" w14:textId="4841B6A7" w:rsidR="00052552" w:rsidRPr="007A37E1" w:rsidRDefault="00052552" w:rsidP="00A636FB">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lastRenderedPageBreak/>
        <w:t xml:space="preserve">6.7 </w:t>
      </w:r>
      <w:r w:rsidR="00A636FB" w:rsidRPr="007A37E1">
        <w:rPr>
          <w:rFonts w:ascii="Arial" w:hAnsi="Arial" w:cs="Arial"/>
          <w:sz w:val="22"/>
          <w:szCs w:val="22"/>
        </w:rPr>
        <w:tab/>
      </w:r>
      <w:r w:rsidRPr="007A37E1">
        <w:rPr>
          <w:rFonts w:ascii="Arial" w:hAnsi="Arial" w:cs="Arial"/>
          <w:sz w:val="22"/>
          <w:szCs w:val="22"/>
        </w:rPr>
        <w:t>Taking into further consideration that a recently published research report by the Center</w:t>
      </w:r>
      <w:r w:rsidR="00A5439F" w:rsidRPr="007A37E1">
        <w:rPr>
          <w:rFonts w:ascii="Arial" w:hAnsi="Arial" w:cs="Arial"/>
          <w:sz w:val="22"/>
          <w:szCs w:val="22"/>
        </w:rPr>
        <w:t xml:space="preserve"> </w:t>
      </w:r>
      <w:r w:rsidRPr="007A37E1">
        <w:rPr>
          <w:rFonts w:ascii="Arial" w:hAnsi="Arial" w:cs="Arial"/>
          <w:sz w:val="22"/>
          <w:szCs w:val="22"/>
        </w:rPr>
        <w:t>for Disease Control and Prevention (CDC), amongst others, established that the SARS</w:t>
      </w:r>
      <w:r w:rsidR="00A5439F" w:rsidRPr="007A37E1">
        <w:rPr>
          <w:rFonts w:ascii="Arial" w:hAnsi="Arial" w:cs="Arial"/>
          <w:sz w:val="22"/>
          <w:szCs w:val="22"/>
        </w:rPr>
        <w:t>-Cov-2 and Influenza A viruses can co-</w:t>
      </w:r>
      <w:r w:rsidRPr="007A37E1">
        <w:rPr>
          <w:rFonts w:ascii="Arial" w:hAnsi="Arial" w:cs="Arial"/>
          <w:sz w:val="22"/>
          <w:szCs w:val="22"/>
        </w:rPr>
        <w:t>infect</w:t>
      </w:r>
      <w:r w:rsidR="00A5439F" w:rsidRPr="007A37E1">
        <w:rPr>
          <w:rFonts w:ascii="Arial" w:hAnsi="Arial" w:cs="Arial"/>
          <w:sz w:val="22"/>
          <w:szCs w:val="22"/>
        </w:rPr>
        <w:t xml:space="preserve"> </w:t>
      </w:r>
      <w:r w:rsidRPr="007A37E1">
        <w:rPr>
          <w:rFonts w:ascii="Arial" w:hAnsi="Arial" w:cs="Arial"/>
          <w:sz w:val="22"/>
          <w:szCs w:val="22"/>
        </w:rPr>
        <w:t>the same patient which is also possible within</w:t>
      </w:r>
      <w:r w:rsidR="00A5439F" w:rsidRPr="007A37E1">
        <w:rPr>
          <w:rFonts w:ascii="Arial" w:hAnsi="Arial" w:cs="Arial"/>
          <w:sz w:val="22"/>
          <w:szCs w:val="22"/>
        </w:rPr>
        <w:t xml:space="preserve"> </w:t>
      </w:r>
      <w:r w:rsidRPr="007A37E1">
        <w:rPr>
          <w:rFonts w:ascii="Arial" w:hAnsi="Arial" w:cs="Arial"/>
          <w:sz w:val="22"/>
          <w:szCs w:val="22"/>
        </w:rPr>
        <w:t>the science of virology where trillions of viruses and other m</w:t>
      </w:r>
      <w:r w:rsidR="005866A9" w:rsidRPr="007A37E1">
        <w:rPr>
          <w:rFonts w:ascii="Arial" w:hAnsi="Arial" w:cs="Arial"/>
          <w:sz w:val="22"/>
          <w:szCs w:val="22"/>
        </w:rPr>
        <w:t>icrobes are already living</w:t>
      </w:r>
      <w:r w:rsidRPr="007A37E1">
        <w:rPr>
          <w:rFonts w:ascii="Arial" w:hAnsi="Arial" w:cs="Arial"/>
          <w:sz w:val="22"/>
          <w:szCs w:val="22"/>
        </w:rPr>
        <w:t xml:space="preserve"> inside</w:t>
      </w:r>
      <w:r w:rsidR="00A5439F" w:rsidRPr="007A37E1">
        <w:rPr>
          <w:rFonts w:ascii="Arial" w:hAnsi="Arial" w:cs="Arial"/>
          <w:sz w:val="22"/>
          <w:szCs w:val="22"/>
        </w:rPr>
        <w:t xml:space="preserve"> </w:t>
      </w:r>
      <w:r w:rsidRPr="007A37E1">
        <w:rPr>
          <w:rFonts w:ascii="Arial" w:hAnsi="Arial" w:cs="Arial"/>
          <w:sz w:val="22"/>
          <w:szCs w:val="22"/>
        </w:rPr>
        <w:t>every human b</w:t>
      </w:r>
      <w:r w:rsidR="00A5439F" w:rsidRPr="007A37E1">
        <w:rPr>
          <w:rFonts w:ascii="Arial" w:hAnsi="Arial" w:cs="Arial"/>
          <w:sz w:val="22"/>
          <w:szCs w:val="22"/>
        </w:rPr>
        <w:t>o</w:t>
      </w:r>
      <w:r w:rsidR="005866A9" w:rsidRPr="007A37E1">
        <w:rPr>
          <w:rFonts w:ascii="Arial" w:hAnsi="Arial" w:cs="Arial"/>
          <w:sz w:val="22"/>
          <w:szCs w:val="22"/>
        </w:rPr>
        <w:t>dy. It i</w:t>
      </w:r>
      <w:r w:rsidRPr="007A37E1">
        <w:rPr>
          <w:rFonts w:ascii="Arial" w:hAnsi="Arial" w:cs="Arial"/>
          <w:sz w:val="22"/>
          <w:szCs w:val="22"/>
        </w:rPr>
        <w:t>s interesting to note that in pr</w:t>
      </w:r>
      <w:r w:rsidR="00A5439F" w:rsidRPr="007A37E1">
        <w:rPr>
          <w:rFonts w:ascii="Arial" w:hAnsi="Arial" w:cs="Arial"/>
          <w:sz w:val="22"/>
          <w:szCs w:val="22"/>
        </w:rPr>
        <w:t>actice</w:t>
      </w:r>
      <w:r w:rsidRPr="007A37E1">
        <w:rPr>
          <w:rFonts w:ascii="Arial" w:hAnsi="Arial" w:cs="Arial"/>
          <w:sz w:val="22"/>
          <w:szCs w:val="22"/>
        </w:rPr>
        <w:t xml:space="preserve"> few people were historically</w:t>
      </w:r>
      <w:r w:rsidR="00655AE8" w:rsidRPr="007A37E1">
        <w:rPr>
          <w:rFonts w:ascii="Arial" w:hAnsi="Arial" w:cs="Arial"/>
          <w:sz w:val="22"/>
          <w:szCs w:val="22"/>
        </w:rPr>
        <w:t xml:space="preserve"> </w:t>
      </w:r>
      <w:r w:rsidRPr="007A37E1">
        <w:rPr>
          <w:rFonts w:ascii="Arial" w:hAnsi="Arial" w:cs="Arial"/>
          <w:sz w:val="22"/>
          <w:szCs w:val="22"/>
        </w:rPr>
        <w:t>tested for the Influenza vir</w:t>
      </w:r>
      <w:r w:rsidR="00655AE8" w:rsidRPr="007A37E1">
        <w:rPr>
          <w:rFonts w:ascii="Arial" w:hAnsi="Arial" w:cs="Arial"/>
          <w:sz w:val="22"/>
          <w:szCs w:val="22"/>
        </w:rPr>
        <w:t>us</w:t>
      </w:r>
      <w:r w:rsidRPr="007A37E1">
        <w:rPr>
          <w:rFonts w:ascii="Arial" w:hAnsi="Arial" w:cs="Arial"/>
          <w:sz w:val="22"/>
          <w:szCs w:val="22"/>
        </w:rPr>
        <w:t>es. Now, everyone is</w:t>
      </w:r>
      <w:r w:rsidR="00655AE8" w:rsidRPr="007A37E1">
        <w:rPr>
          <w:rFonts w:ascii="Arial" w:hAnsi="Arial" w:cs="Arial"/>
          <w:sz w:val="22"/>
          <w:szCs w:val="22"/>
        </w:rPr>
        <w:t xml:space="preserve"> </w:t>
      </w:r>
      <w:r w:rsidRPr="007A37E1">
        <w:rPr>
          <w:rFonts w:ascii="Arial" w:hAnsi="Arial" w:cs="Arial"/>
          <w:sz w:val="22"/>
          <w:szCs w:val="22"/>
        </w:rPr>
        <w:t>basica</w:t>
      </w:r>
      <w:r w:rsidR="00655AE8" w:rsidRPr="007A37E1">
        <w:rPr>
          <w:rFonts w:ascii="Arial" w:hAnsi="Arial" w:cs="Arial"/>
          <w:sz w:val="22"/>
          <w:szCs w:val="22"/>
        </w:rPr>
        <w:t>l</w:t>
      </w:r>
      <w:r w:rsidRPr="007A37E1">
        <w:rPr>
          <w:rFonts w:ascii="Arial" w:hAnsi="Arial" w:cs="Arial"/>
          <w:sz w:val="22"/>
          <w:szCs w:val="22"/>
        </w:rPr>
        <w:t>ly only te</w:t>
      </w:r>
      <w:r w:rsidR="00655AE8" w:rsidRPr="007A37E1">
        <w:rPr>
          <w:rFonts w:ascii="Arial" w:hAnsi="Arial" w:cs="Arial"/>
          <w:sz w:val="22"/>
          <w:szCs w:val="22"/>
        </w:rPr>
        <w:t>s</w:t>
      </w:r>
      <w:r w:rsidRPr="007A37E1">
        <w:rPr>
          <w:rFonts w:ascii="Arial" w:hAnsi="Arial" w:cs="Arial"/>
          <w:sz w:val="22"/>
          <w:szCs w:val="22"/>
        </w:rPr>
        <w:t>ted f</w:t>
      </w:r>
      <w:r w:rsidR="00655AE8" w:rsidRPr="007A37E1">
        <w:rPr>
          <w:rFonts w:ascii="Arial" w:hAnsi="Arial" w:cs="Arial"/>
          <w:sz w:val="22"/>
          <w:szCs w:val="22"/>
        </w:rPr>
        <w:t>o</w:t>
      </w:r>
      <w:r w:rsidRPr="007A37E1">
        <w:rPr>
          <w:rFonts w:ascii="Arial" w:hAnsi="Arial" w:cs="Arial"/>
          <w:sz w:val="22"/>
          <w:szCs w:val="22"/>
        </w:rPr>
        <w:t>r the SARS-</w:t>
      </w:r>
      <w:r w:rsidR="00655AE8" w:rsidRPr="007A37E1">
        <w:rPr>
          <w:rFonts w:ascii="Arial" w:hAnsi="Arial" w:cs="Arial"/>
          <w:sz w:val="22"/>
          <w:szCs w:val="22"/>
        </w:rPr>
        <w:t>C</w:t>
      </w:r>
      <w:r w:rsidRPr="007A37E1">
        <w:rPr>
          <w:rFonts w:ascii="Arial" w:hAnsi="Arial" w:cs="Arial"/>
          <w:sz w:val="22"/>
          <w:szCs w:val="22"/>
        </w:rPr>
        <w:t>ov-</w:t>
      </w:r>
      <w:r w:rsidR="00655AE8" w:rsidRPr="007A37E1">
        <w:rPr>
          <w:rFonts w:ascii="Arial" w:hAnsi="Arial" w:cs="Arial"/>
          <w:sz w:val="22"/>
          <w:szCs w:val="22"/>
        </w:rPr>
        <w:t>2 virus and not the Influenza v</w:t>
      </w:r>
      <w:r w:rsidRPr="007A37E1">
        <w:rPr>
          <w:rFonts w:ascii="Arial" w:hAnsi="Arial" w:cs="Arial"/>
          <w:sz w:val="22"/>
          <w:szCs w:val="22"/>
        </w:rPr>
        <w:t>iruses which seem to have miraculously disappeared with</w:t>
      </w:r>
      <w:r w:rsidR="00655AE8" w:rsidRPr="007A37E1">
        <w:rPr>
          <w:rFonts w:ascii="Arial" w:hAnsi="Arial" w:cs="Arial"/>
          <w:sz w:val="22"/>
          <w:szCs w:val="22"/>
        </w:rPr>
        <w:t xml:space="preserve"> </w:t>
      </w:r>
      <w:r w:rsidRPr="007A37E1">
        <w:rPr>
          <w:rFonts w:ascii="Arial" w:hAnsi="Arial" w:cs="Arial"/>
          <w:sz w:val="22"/>
          <w:szCs w:val="22"/>
        </w:rPr>
        <w:t>the re</w:t>
      </w:r>
      <w:r w:rsidR="00655AE8" w:rsidRPr="007A37E1">
        <w:rPr>
          <w:rFonts w:ascii="Arial" w:hAnsi="Arial" w:cs="Arial"/>
          <w:sz w:val="22"/>
          <w:szCs w:val="22"/>
        </w:rPr>
        <w:t>ce</w:t>
      </w:r>
      <w:r w:rsidRPr="007A37E1">
        <w:rPr>
          <w:rFonts w:ascii="Arial" w:hAnsi="Arial" w:cs="Arial"/>
          <w:sz w:val="22"/>
          <w:szCs w:val="22"/>
        </w:rPr>
        <w:t>nt discovery of the SARS-Cov-2 v</w:t>
      </w:r>
      <w:r w:rsidR="00655AE8" w:rsidRPr="007A37E1">
        <w:rPr>
          <w:rFonts w:ascii="Arial" w:hAnsi="Arial" w:cs="Arial"/>
          <w:sz w:val="22"/>
          <w:szCs w:val="22"/>
        </w:rPr>
        <w:t>irus</w:t>
      </w:r>
      <w:r w:rsidRPr="007A37E1">
        <w:rPr>
          <w:rFonts w:ascii="Arial" w:hAnsi="Arial" w:cs="Arial"/>
          <w:sz w:val="22"/>
          <w:szCs w:val="22"/>
        </w:rPr>
        <w:t>. We can see no indication of how m</w:t>
      </w:r>
      <w:r w:rsidR="00655AE8" w:rsidRPr="007A37E1">
        <w:rPr>
          <w:rFonts w:ascii="Arial" w:hAnsi="Arial" w:cs="Arial"/>
          <w:sz w:val="22"/>
          <w:szCs w:val="22"/>
        </w:rPr>
        <w:t>a</w:t>
      </w:r>
      <w:r w:rsidRPr="007A37E1">
        <w:rPr>
          <w:rFonts w:ascii="Arial" w:hAnsi="Arial" w:cs="Arial"/>
          <w:sz w:val="22"/>
          <w:szCs w:val="22"/>
        </w:rPr>
        <w:t xml:space="preserve">ny of the cases are simply Influenza and how many are COVID-19. </w:t>
      </w:r>
      <w:r w:rsidR="00655AE8" w:rsidRPr="007A37E1">
        <w:rPr>
          <w:rFonts w:ascii="Arial" w:hAnsi="Arial" w:cs="Arial"/>
          <w:sz w:val="22"/>
          <w:szCs w:val="22"/>
        </w:rPr>
        <w:t>L</w:t>
      </w:r>
      <w:r w:rsidRPr="007A37E1">
        <w:rPr>
          <w:rFonts w:ascii="Arial" w:hAnsi="Arial" w:cs="Arial"/>
          <w:sz w:val="22"/>
          <w:szCs w:val="22"/>
        </w:rPr>
        <w:t>ogically, one will only</w:t>
      </w:r>
      <w:r w:rsidR="00655AE8" w:rsidRPr="007A37E1">
        <w:rPr>
          <w:rFonts w:ascii="Arial" w:hAnsi="Arial" w:cs="Arial"/>
          <w:sz w:val="22"/>
          <w:szCs w:val="22"/>
        </w:rPr>
        <w:t xml:space="preserve"> </w:t>
      </w:r>
      <w:r w:rsidRPr="007A37E1">
        <w:rPr>
          <w:rFonts w:ascii="Arial" w:hAnsi="Arial" w:cs="Arial"/>
          <w:sz w:val="22"/>
          <w:szCs w:val="22"/>
        </w:rPr>
        <w:t>establish the SARS</w:t>
      </w:r>
      <w:r w:rsidR="00655AE8" w:rsidRPr="007A37E1">
        <w:rPr>
          <w:rFonts w:ascii="Arial" w:hAnsi="Arial" w:cs="Arial"/>
          <w:sz w:val="22"/>
          <w:szCs w:val="22"/>
        </w:rPr>
        <w:t>-</w:t>
      </w:r>
      <w:r w:rsidRPr="007A37E1">
        <w:rPr>
          <w:rFonts w:ascii="Arial" w:hAnsi="Arial" w:cs="Arial"/>
          <w:sz w:val="22"/>
          <w:szCs w:val="22"/>
        </w:rPr>
        <w:t xml:space="preserve">Cov-2 virus if the tests only target that virus and not the </w:t>
      </w:r>
      <w:r w:rsidR="00655AE8" w:rsidRPr="007A37E1">
        <w:rPr>
          <w:rFonts w:ascii="Arial" w:hAnsi="Arial" w:cs="Arial"/>
          <w:sz w:val="22"/>
          <w:szCs w:val="22"/>
        </w:rPr>
        <w:t>I</w:t>
      </w:r>
      <w:r w:rsidRPr="007A37E1">
        <w:rPr>
          <w:rFonts w:ascii="Arial" w:hAnsi="Arial" w:cs="Arial"/>
          <w:sz w:val="22"/>
          <w:szCs w:val="22"/>
        </w:rPr>
        <w:t>nfluenza</w:t>
      </w:r>
      <w:r w:rsidR="00655AE8" w:rsidRPr="007A37E1">
        <w:rPr>
          <w:rFonts w:ascii="Arial" w:hAnsi="Arial" w:cs="Arial"/>
          <w:sz w:val="22"/>
          <w:szCs w:val="22"/>
        </w:rPr>
        <w:t xml:space="preserve"> </w:t>
      </w:r>
      <w:r w:rsidRPr="007A37E1">
        <w:rPr>
          <w:rFonts w:ascii="Arial" w:hAnsi="Arial" w:cs="Arial"/>
          <w:sz w:val="22"/>
          <w:szCs w:val="22"/>
        </w:rPr>
        <w:t xml:space="preserve">viruses. Extract of this report is attached as Annexure </w:t>
      </w:r>
      <w:r w:rsidR="00E10FD9" w:rsidRPr="007A37E1">
        <w:rPr>
          <w:rFonts w:ascii="Arial" w:hAnsi="Arial" w:cs="Arial"/>
          <w:sz w:val="22"/>
          <w:szCs w:val="22"/>
        </w:rPr>
        <w:t>“</w:t>
      </w:r>
      <w:r w:rsidRPr="007A37E1">
        <w:rPr>
          <w:rFonts w:ascii="Arial" w:hAnsi="Arial" w:cs="Arial"/>
          <w:sz w:val="22"/>
          <w:szCs w:val="22"/>
        </w:rPr>
        <w:t>M</w:t>
      </w:r>
      <w:r w:rsidR="00E10FD9" w:rsidRPr="007A37E1">
        <w:rPr>
          <w:rFonts w:ascii="Arial" w:hAnsi="Arial" w:cs="Arial"/>
          <w:sz w:val="22"/>
          <w:szCs w:val="22"/>
        </w:rPr>
        <w:t>”</w:t>
      </w:r>
      <w:r w:rsidRPr="007A37E1">
        <w:rPr>
          <w:rFonts w:ascii="Arial" w:hAnsi="Arial" w:cs="Arial"/>
          <w:sz w:val="22"/>
          <w:szCs w:val="22"/>
        </w:rPr>
        <w:t>.</w:t>
      </w:r>
    </w:p>
    <w:p w14:paraId="64990388" w14:textId="77B782F7" w:rsidR="00052552" w:rsidRPr="007A37E1" w:rsidRDefault="00052552" w:rsidP="00A636FB">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 xml:space="preserve">6.8 </w:t>
      </w:r>
      <w:r w:rsidR="00A636FB" w:rsidRPr="007A37E1">
        <w:rPr>
          <w:rFonts w:ascii="Arial" w:hAnsi="Arial" w:cs="Arial"/>
          <w:sz w:val="22"/>
          <w:szCs w:val="22"/>
        </w:rPr>
        <w:tab/>
      </w:r>
      <w:r w:rsidRPr="007A37E1">
        <w:rPr>
          <w:rFonts w:ascii="Arial" w:hAnsi="Arial" w:cs="Arial"/>
          <w:sz w:val="22"/>
          <w:szCs w:val="22"/>
        </w:rPr>
        <w:t>It needs to be mentioned that WHO reported on 11 March 2019 (one ye</w:t>
      </w:r>
      <w:r w:rsidR="00655AE8" w:rsidRPr="007A37E1">
        <w:rPr>
          <w:rFonts w:ascii="Arial" w:hAnsi="Arial" w:cs="Arial"/>
          <w:sz w:val="22"/>
          <w:szCs w:val="22"/>
        </w:rPr>
        <w:t>a</w:t>
      </w:r>
      <w:r w:rsidRPr="007A37E1">
        <w:rPr>
          <w:rFonts w:ascii="Arial" w:hAnsi="Arial" w:cs="Arial"/>
          <w:sz w:val="22"/>
          <w:szCs w:val="22"/>
        </w:rPr>
        <w:t>r ag</w:t>
      </w:r>
      <w:r w:rsidR="005866A9" w:rsidRPr="007A37E1">
        <w:rPr>
          <w:rFonts w:ascii="Arial" w:hAnsi="Arial" w:cs="Arial"/>
          <w:sz w:val="22"/>
          <w:szCs w:val="22"/>
        </w:rPr>
        <w:t>o</w:t>
      </w:r>
      <w:r w:rsidRPr="007A37E1">
        <w:rPr>
          <w:rFonts w:ascii="Arial" w:hAnsi="Arial" w:cs="Arial"/>
          <w:sz w:val="22"/>
          <w:szCs w:val="22"/>
        </w:rPr>
        <w:t>) that the</w:t>
      </w:r>
      <w:r w:rsidR="00655AE8" w:rsidRPr="007A37E1">
        <w:rPr>
          <w:rFonts w:ascii="Arial" w:hAnsi="Arial" w:cs="Arial"/>
          <w:sz w:val="22"/>
          <w:szCs w:val="22"/>
        </w:rPr>
        <w:t xml:space="preserve"> </w:t>
      </w:r>
      <w:r w:rsidRPr="007A37E1">
        <w:rPr>
          <w:rFonts w:ascii="Arial" w:hAnsi="Arial" w:cs="Arial"/>
          <w:sz w:val="22"/>
          <w:szCs w:val="22"/>
        </w:rPr>
        <w:t>Influenza viruses are a threat to the world health</w:t>
      </w:r>
      <w:r w:rsidR="00655AE8" w:rsidRPr="007A37E1">
        <w:rPr>
          <w:rFonts w:ascii="Arial" w:hAnsi="Arial" w:cs="Arial"/>
          <w:sz w:val="22"/>
          <w:szCs w:val="22"/>
        </w:rPr>
        <w:t xml:space="preserve"> and result in approximately 1 b</w:t>
      </w:r>
      <w:r w:rsidRPr="007A37E1">
        <w:rPr>
          <w:rFonts w:ascii="Arial" w:hAnsi="Arial" w:cs="Arial"/>
          <w:sz w:val="22"/>
          <w:szCs w:val="22"/>
        </w:rPr>
        <w:t>illion cases</w:t>
      </w:r>
      <w:r w:rsidR="00655AE8" w:rsidRPr="007A37E1">
        <w:rPr>
          <w:rFonts w:ascii="Arial" w:hAnsi="Arial" w:cs="Arial"/>
          <w:sz w:val="22"/>
          <w:szCs w:val="22"/>
        </w:rPr>
        <w:t xml:space="preserve"> a</w:t>
      </w:r>
      <w:r w:rsidRPr="007A37E1">
        <w:rPr>
          <w:rFonts w:ascii="Arial" w:hAnsi="Arial" w:cs="Arial"/>
          <w:sz w:val="22"/>
          <w:szCs w:val="22"/>
        </w:rPr>
        <w:t>nnually</w:t>
      </w:r>
      <w:r w:rsidR="00655AE8" w:rsidRPr="007A37E1">
        <w:rPr>
          <w:rFonts w:ascii="Arial" w:hAnsi="Arial" w:cs="Arial"/>
          <w:sz w:val="22"/>
          <w:szCs w:val="22"/>
        </w:rPr>
        <w:t>;</w:t>
      </w:r>
      <w:r w:rsidRPr="007A37E1">
        <w:rPr>
          <w:rFonts w:ascii="Arial" w:hAnsi="Arial" w:cs="Arial"/>
          <w:sz w:val="22"/>
          <w:szCs w:val="22"/>
        </w:rPr>
        <w:t xml:space="preserve"> 5 </w:t>
      </w:r>
      <w:r w:rsidR="00655AE8" w:rsidRPr="007A37E1">
        <w:rPr>
          <w:rFonts w:ascii="Arial" w:hAnsi="Arial" w:cs="Arial"/>
          <w:sz w:val="22"/>
          <w:szCs w:val="22"/>
        </w:rPr>
        <w:t>bil</w:t>
      </w:r>
      <w:r w:rsidRPr="007A37E1">
        <w:rPr>
          <w:rFonts w:ascii="Arial" w:hAnsi="Arial" w:cs="Arial"/>
          <w:sz w:val="22"/>
          <w:szCs w:val="22"/>
        </w:rPr>
        <w:t>lion among them being severe a</w:t>
      </w:r>
      <w:r w:rsidR="005866A9" w:rsidRPr="007A37E1">
        <w:rPr>
          <w:rFonts w:ascii="Arial" w:hAnsi="Arial" w:cs="Arial"/>
          <w:sz w:val="22"/>
          <w:szCs w:val="22"/>
        </w:rPr>
        <w:t>n</w:t>
      </w:r>
      <w:r w:rsidRPr="007A37E1">
        <w:rPr>
          <w:rFonts w:ascii="Arial" w:hAnsi="Arial" w:cs="Arial"/>
          <w:sz w:val="22"/>
          <w:szCs w:val="22"/>
        </w:rPr>
        <w:t>d causing 650,000 deaths an</w:t>
      </w:r>
      <w:r w:rsidR="005866A9" w:rsidRPr="007A37E1">
        <w:rPr>
          <w:rFonts w:ascii="Arial" w:hAnsi="Arial" w:cs="Arial"/>
          <w:sz w:val="22"/>
          <w:szCs w:val="22"/>
        </w:rPr>
        <w:t>nua</w:t>
      </w:r>
      <w:r w:rsidRPr="007A37E1">
        <w:rPr>
          <w:rFonts w:ascii="Arial" w:hAnsi="Arial" w:cs="Arial"/>
          <w:sz w:val="22"/>
          <w:szCs w:val="22"/>
        </w:rPr>
        <w:t>ll</w:t>
      </w:r>
      <w:r w:rsidR="005866A9" w:rsidRPr="007A37E1">
        <w:rPr>
          <w:rFonts w:ascii="Arial" w:hAnsi="Arial" w:cs="Arial"/>
          <w:sz w:val="22"/>
          <w:szCs w:val="22"/>
        </w:rPr>
        <w:t>y</w:t>
      </w:r>
      <w:r w:rsidRPr="007A37E1">
        <w:rPr>
          <w:rFonts w:ascii="Arial" w:hAnsi="Arial" w:cs="Arial"/>
          <w:sz w:val="22"/>
          <w:szCs w:val="22"/>
        </w:rPr>
        <w:t>. Had</w:t>
      </w:r>
      <w:r w:rsidR="005866A9" w:rsidRPr="007A37E1">
        <w:rPr>
          <w:rFonts w:ascii="Arial" w:hAnsi="Arial" w:cs="Arial"/>
          <w:sz w:val="22"/>
          <w:szCs w:val="22"/>
        </w:rPr>
        <w:t xml:space="preserve"> </w:t>
      </w:r>
      <w:r w:rsidRPr="007A37E1">
        <w:rPr>
          <w:rFonts w:ascii="Arial" w:hAnsi="Arial" w:cs="Arial"/>
          <w:sz w:val="22"/>
          <w:szCs w:val="22"/>
        </w:rPr>
        <w:t xml:space="preserve">this been the criteria for </w:t>
      </w:r>
      <w:r w:rsidR="005866A9" w:rsidRPr="007A37E1">
        <w:rPr>
          <w:rFonts w:ascii="Arial" w:hAnsi="Arial" w:cs="Arial"/>
          <w:sz w:val="22"/>
          <w:szCs w:val="22"/>
        </w:rPr>
        <w:t>a</w:t>
      </w:r>
      <w:r w:rsidRPr="007A37E1">
        <w:rPr>
          <w:rFonts w:ascii="Arial" w:hAnsi="Arial" w:cs="Arial"/>
          <w:sz w:val="22"/>
          <w:szCs w:val="22"/>
        </w:rPr>
        <w:t xml:space="preserve"> </w:t>
      </w:r>
      <w:r w:rsidR="005866A9" w:rsidRPr="007A37E1">
        <w:rPr>
          <w:rFonts w:ascii="Arial" w:hAnsi="Arial" w:cs="Arial"/>
          <w:sz w:val="22"/>
          <w:szCs w:val="22"/>
        </w:rPr>
        <w:t>Lockdown</w:t>
      </w:r>
      <w:r w:rsidRPr="007A37E1">
        <w:rPr>
          <w:rFonts w:ascii="Arial" w:hAnsi="Arial" w:cs="Arial"/>
          <w:sz w:val="22"/>
          <w:szCs w:val="22"/>
        </w:rPr>
        <w:t xml:space="preserve"> requirement, we would need a Lockdown every year</w:t>
      </w:r>
      <w:r w:rsidR="005866A9" w:rsidRPr="007A37E1">
        <w:rPr>
          <w:rFonts w:ascii="Arial" w:hAnsi="Arial" w:cs="Arial"/>
          <w:sz w:val="22"/>
          <w:szCs w:val="22"/>
        </w:rPr>
        <w:t xml:space="preserve"> </w:t>
      </w:r>
      <w:r w:rsidRPr="007A37E1">
        <w:rPr>
          <w:rFonts w:ascii="Arial" w:hAnsi="Arial" w:cs="Arial"/>
          <w:sz w:val="22"/>
          <w:szCs w:val="22"/>
        </w:rPr>
        <w:t xml:space="preserve">for Influenza alone, pre SARS CoV-2. Yet, this </w:t>
      </w:r>
      <w:r w:rsidR="005866A9" w:rsidRPr="007A37E1">
        <w:rPr>
          <w:rFonts w:ascii="Arial" w:hAnsi="Arial" w:cs="Arial"/>
          <w:sz w:val="22"/>
          <w:szCs w:val="22"/>
        </w:rPr>
        <w:t>was</w:t>
      </w:r>
      <w:r w:rsidRPr="007A37E1">
        <w:rPr>
          <w:rFonts w:ascii="Arial" w:hAnsi="Arial" w:cs="Arial"/>
          <w:sz w:val="22"/>
          <w:szCs w:val="22"/>
        </w:rPr>
        <w:t xml:space="preserve"> never enacted even though the</w:t>
      </w:r>
      <w:r w:rsidR="005866A9" w:rsidRPr="007A37E1">
        <w:rPr>
          <w:rFonts w:ascii="Arial" w:hAnsi="Arial" w:cs="Arial"/>
          <w:sz w:val="22"/>
          <w:szCs w:val="22"/>
        </w:rPr>
        <w:t xml:space="preserve"> </w:t>
      </w:r>
      <w:r w:rsidRPr="007A37E1">
        <w:rPr>
          <w:rFonts w:ascii="Arial" w:hAnsi="Arial" w:cs="Arial"/>
          <w:sz w:val="22"/>
          <w:szCs w:val="22"/>
        </w:rPr>
        <w:t>statistics for In</w:t>
      </w:r>
      <w:r w:rsidR="005866A9" w:rsidRPr="007A37E1">
        <w:rPr>
          <w:rFonts w:ascii="Arial" w:hAnsi="Arial" w:cs="Arial"/>
          <w:sz w:val="22"/>
          <w:szCs w:val="22"/>
        </w:rPr>
        <w:t>fluenza appear much worse than the</w:t>
      </w:r>
      <w:r w:rsidRPr="007A37E1">
        <w:rPr>
          <w:rFonts w:ascii="Arial" w:hAnsi="Arial" w:cs="Arial"/>
          <w:sz w:val="22"/>
          <w:szCs w:val="22"/>
        </w:rPr>
        <w:t xml:space="preserve"> COVI</w:t>
      </w:r>
      <w:r w:rsidR="005866A9" w:rsidRPr="007A37E1">
        <w:rPr>
          <w:rFonts w:ascii="Arial" w:hAnsi="Arial" w:cs="Arial"/>
          <w:sz w:val="22"/>
          <w:szCs w:val="22"/>
        </w:rPr>
        <w:t>D</w:t>
      </w:r>
      <w:r w:rsidRPr="007A37E1">
        <w:rPr>
          <w:rFonts w:ascii="Arial" w:hAnsi="Arial" w:cs="Arial"/>
          <w:sz w:val="22"/>
          <w:szCs w:val="22"/>
        </w:rPr>
        <w:t>-19. Further: Merely having an</w:t>
      </w:r>
      <w:r w:rsidR="005866A9" w:rsidRPr="007A37E1">
        <w:rPr>
          <w:rFonts w:ascii="Arial" w:hAnsi="Arial" w:cs="Arial"/>
          <w:sz w:val="22"/>
          <w:szCs w:val="22"/>
        </w:rPr>
        <w:t xml:space="preserve"> </w:t>
      </w:r>
      <w:r w:rsidRPr="007A37E1">
        <w:rPr>
          <w:rFonts w:ascii="Arial" w:hAnsi="Arial" w:cs="Arial"/>
          <w:sz w:val="22"/>
          <w:szCs w:val="22"/>
        </w:rPr>
        <w:t>infection of the SARS</w:t>
      </w:r>
      <w:r w:rsidR="005866A9" w:rsidRPr="007A37E1">
        <w:rPr>
          <w:rFonts w:ascii="Arial" w:hAnsi="Arial" w:cs="Arial"/>
          <w:sz w:val="22"/>
          <w:szCs w:val="22"/>
        </w:rPr>
        <w:t>-</w:t>
      </w:r>
      <w:r w:rsidRPr="007A37E1">
        <w:rPr>
          <w:rFonts w:ascii="Arial" w:hAnsi="Arial" w:cs="Arial"/>
          <w:sz w:val="22"/>
          <w:szCs w:val="22"/>
        </w:rPr>
        <w:t>C</w:t>
      </w:r>
      <w:r w:rsidR="005866A9" w:rsidRPr="007A37E1">
        <w:rPr>
          <w:rFonts w:ascii="Arial" w:hAnsi="Arial" w:cs="Arial"/>
          <w:sz w:val="22"/>
          <w:szCs w:val="22"/>
        </w:rPr>
        <w:t>ov-</w:t>
      </w:r>
      <w:r w:rsidRPr="007A37E1">
        <w:rPr>
          <w:rFonts w:ascii="Arial" w:hAnsi="Arial" w:cs="Arial"/>
          <w:sz w:val="22"/>
          <w:szCs w:val="22"/>
        </w:rPr>
        <w:t>2 v</w:t>
      </w:r>
      <w:r w:rsidR="005866A9" w:rsidRPr="007A37E1">
        <w:rPr>
          <w:rFonts w:ascii="Arial" w:hAnsi="Arial" w:cs="Arial"/>
          <w:sz w:val="22"/>
          <w:szCs w:val="22"/>
        </w:rPr>
        <w:t>i</w:t>
      </w:r>
      <w:r w:rsidRPr="007A37E1">
        <w:rPr>
          <w:rFonts w:ascii="Arial" w:hAnsi="Arial" w:cs="Arial"/>
          <w:sz w:val="22"/>
          <w:szCs w:val="22"/>
        </w:rPr>
        <w:t>rus without leading to COVI</w:t>
      </w:r>
      <w:r w:rsidR="005866A9" w:rsidRPr="007A37E1">
        <w:rPr>
          <w:rFonts w:ascii="Arial" w:hAnsi="Arial" w:cs="Arial"/>
          <w:sz w:val="22"/>
          <w:szCs w:val="22"/>
        </w:rPr>
        <w:t>D</w:t>
      </w:r>
      <w:r w:rsidRPr="007A37E1">
        <w:rPr>
          <w:rFonts w:ascii="Arial" w:hAnsi="Arial" w:cs="Arial"/>
          <w:sz w:val="22"/>
          <w:szCs w:val="22"/>
        </w:rPr>
        <w:t>-19 is also very</w:t>
      </w:r>
      <w:r w:rsidR="005866A9" w:rsidRPr="007A37E1">
        <w:rPr>
          <w:rFonts w:ascii="Arial" w:hAnsi="Arial" w:cs="Arial"/>
          <w:sz w:val="22"/>
          <w:szCs w:val="22"/>
        </w:rPr>
        <w:t xml:space="preserve"> po</w:t>
      </w:r>
      <w:r w:rsidRPr="007A37E1">
        <w:rPr>
          <w:rFonts w:ascii="Arial" w:hAnsi="Arial" w:cs="Arial"/>
          <w:sz w:val="22"/>
          <w:szCs w:val="22"/>
        </w:rPr>
        <w:t xml:space="preserve">ssible. Find attached the WHO report as Annexure </w:t>
      </w:r>
      <w:r w:rsidR="00E10FD9" w:rsidRPr="007A37E1">
        <w:rPr>
          <w:rFonts w:ascii="Arial" w:hAnsi="Arial" w:cs="Arial"/>
          <w:sz w:val="22"/>
          <w:szCs w:val="22"/>
        </w:rPr>
        <w:t>“</w:t>
      </w:r>
      <w:r w:rsidR="005866A9" w:rsidRPr="007A37E1">
        <w:rPr>
          <w:rFonts w:ascii="Arial" w:hAnsi="Arial" w:cs="Arial"/>
          <w:sz w:val="22"/>
          <w:szCs w:val="22"/>
        </w:rPr>
        <w:t>N”</w:t>
      </w:r>
      <w:r w:rsidRPr="007A37E1">
        <w:rPr>
          <w:rFonts w:ascii="Arial" w:hAnsi="Arial" w:cs="Arial"/>
          <w:sz w:val="22"/>
          <w:szCs w:val="22"/>
        </w:rPr>
        <w:t>.</w:t>
      </w:r>
    </w:p>
    <w:p w14:paraId="741401E3" w14:textId="769F529F" w:rsidR="00052552" w:rsidRPr="007A37E1" w:rsidRDefault="00052552" w:rsidP="00A636FB">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 xml:space="preserve">6.9 </w:t>
      </w:r>
      <w:r w:rsidR="00A636FB" w:rsidRPr="007A37E1">
        <w:rPr>
          <w:rFonts w:ascii="Arial" w:hAnsi="Arial" w:cs="Arial"/>
          <w:sz w:val="22"/>
          <w:szCs w:val="22"/>
        </w:rPr>
        <w:tab/>
      </w:r>
      <w:r w:rsidRPr="007A37E1">
        <w:rPr>
          <w:rFonts w:ascii="Arial" w:hAnsi="Arial" w:cs="Arial"/>
          <w:sz w:val="22"/>
          <w:szCs w:val="22"/>
        </w:rPr>
        <w:t>Only a few days after the Lockdown star</w:t>
      </w:r>
      <w:r w:rsidR="005866A9" w:rsidRPr="007A37E1">
        <w:rPr>
          <w:rFonts w:ascii="Arial" w:hAnsi="Arial" w:cs="Arial"/>
          <w:sz w:val="22"/>
          <w:szCs w:val="22"/>
        </w:rPr>
        <w:t>ted, na</w:t>
      </w:r>
      <w:r w:rsidRPr="007A37E1">
        <w:rPr>
          <w:rFonts w:ascii="Arial" w:hAnsi="Arial" w:cs="Arial"/>
          <w:sz w:val="22"/>
          <w:szCs w:val="22"/>
        </w:rPr>
        <w:t xml:space="preserve">mely </w:t>
      </w:r>
      <w:r w:rsidR="005866A9" w:rsidRPr="007A37E1">
        <w:rPr>
          <w:rFonts w:ascii="Arial" w:hAnsi="Arial" w:cs="Arial"/>
          <w:sz w:val="22"/>
          <w:szCs w:val="22"/>
        </w:rPr>
        <w:t>on</w:t>
      </w:r>
      <w:r w:rsidRPr="007A37E1">
        <w:rPr>
          <w:rFonts w:ascii="Arial" w:hAnsi="Arial" w:cs="Arial"/>
          <w:sz w:val="22"/>
          <w:szCs w:val="22"/>
        </w:rPr>
        <w:t xml:space="preserve"> 2 April 2020, the NICD in Sout</w:t>
      </w:r>
      <w:r w:rsidR="005866A9" w:rsidRPr="007A37E1">
        <w:rPr>
          <w:rFonts w:ascii="Arial" w:hAnsi="Arial" w:cs="Arial"/>
          <w:sz w:val="22"/>
          <w:szCs w:val="22"/>
        </w:rPr>
        <w:t xml:space="preserve">h </w:t>
      </w:r>
      <w:r w:rsidRPr="007A37E1">
        <w:rPr>
          <w:rFonts w:ascii="Arial" w:hAnsi="Arial" w:cs="Arial"/>
          <w:sz w:val="22"/>
          <w:szCs w:val="22"/>
        </w:rPr>
        <w:t>Africa which is responsible for monitoring disease ou</w:t>
      </w:r>
      <w:r w:rsidR="005866A9" w:rsidRPr="007A37E1">
        <w:rPr>
          <w:rFonts w:ascii="Arial" w:hAnsi="Arial" w:cs="Arial"/>
          <w:sz w:val="22"/>
          <w:szCs w:val="22"/>
        </w:rPr>
        <w:t>tbreaks, reported in its Influe</w:t>
      </w:r>
      <w:r w:rsidRPr="007A37E1">
        <w:rPr>
          <w:rFonts w:ascii="Arial" w:hAnsi="Arial" w:cs="Arial"/>
          <w:sz w:val="22"/>
          <w:szCs w:val="22"/>
        </w:rPr>
        <w:t>nza</w:t>
      </w:r>
      <w:r w:rsidR="005866A9" w:rsidRPr="007A37E1">
        <w:rPr>
          <w:rFonts w:ascii="Arial" w:hAnsi="Arial" w:cs="Arial"/>
          <w:sz w:val="22"/>
          <w:szCs w:val="22"/>
        </w:rPr>
        <w:t xml:space="preserve"> recommendations for the di</w:t>
      </w:r>
      <w:r w:rsidRPr="007A37E1">
        <w:rPr>
          <w:rFonts w:ascii="Arial" w:hAnsi="Arial" w:cs="Arial"/>
          <w:sz w:val="22"/>
          <w:szCs w:val="22"/>
        </w:rPr>
        <w:t>agnosis, prevention, management and public health response,</w:t>
      </w:r>
      <w:r w:rsidR="005866A9" w:rsidRPr="007A37E1">
        <w:rPr>
          <w:rFonts w:ascii="Arial" w:hAnsi="Arial" w:cs="Arial"/>
          <w:sz w:val="22"/>
          <w:szCs w:val="22"/>
        </w:rPr>
        <w:t xml:space="preserve"> </w:t>
      </w:r>
      <w:r w:rsidRPr="007A37E1">
        <w:rPr>
          <w:rFonts w:ascii="Arial" w:hAnsi="Arial" w:cs="Arial"/>
          <w:sz w:val="22"/>
          <w:szCs w:val="22"/>
        </w:rPr>
        <w:t>that i</w:t>
      </w:r>
      <w:r w:rsidR="005866A9" w:rsidRPr="007A37E1">
        <w:rPr>
          <w:rFonts w:ascii="Arial" w:hAnsi="Arial" w:cs="Arial"/>
          <w:sz w:val="22"/>
          <w:szCs w:val="22"/>
        </w:rPr>
        <w:t>t is estimated that approximately 11,800 seasonal influenza-associated deaths occur annu</w:t>
      </w:r>
      <w:r w:rsidRPr="007A37E1">
        <w:rPr>
          <w:rFonts w:ascii="Arial" w:hAnsi="Arial" w:cs="Arial"/>
          <w:sz w:val="22"/>
          <w:szCs w:val="22"/>
        </w:rPr>
        <w:t>ally (wh</w:t>
      </w:r>
      <w:r w:rsidR="005866A9" w:rsidRPr="007A37E1">
        <w:rPr>
          <w:rFonts w:ascii="Arial" w:hAnsi="Arial" w:cs="Arial"/>
          <w:sz w:val="22"/>
          <w:szCs w:val="22"/>
        </w:rPr>
        <w:t>i</w:t>
      </w:r>
      <w:r w:rsidRPr="007A37E1">
        <w:rPr>
          <w:rFonts w:ascii="Arial" w:hAnsi="Arial" w:cs="Arial"/>
          <w:sz w:val="22"/>
          <w:szCs w:val="22"/>
        </w:rPr>
        <w:t>ch is based on 2013 results and not the latest figures avai</w:t>
      </w:r>
      <w:r w:rsidR="005866A9" w:rsidRPr="007A37E1">
        <w:rPr>
          <w:rFonts w:ascii="Arial" w:hAnsi="Arial" w:cs="Arial"/>
          <w:sz w:val="22"/>
          <w:szCs w:val="22"/>
        </w:rPr>
        <w:t>la</w:t>
      </w:r>
      <w:r w:rsidRPr="007A37E1">
        <w:rPr>
          <w:rFonts w:ascii="Arial" w:hAnsi="Arial" w:cs="Arial"/>
          <w:sz w:val="22"/>
          <w:szCs w:val="22"/>
        </w:rPr>
        <w:t>ble, namely</w:t>
      </w:r>
      <w:r w:rsidR="005866A9" w:rsidRPr="007A37E1">
        <w:rPr>
          <w:rFonts w:ascii="Arial" w:hAnsi="Arial" w:cs="Arial"/>
          <w:sz w:val="22"/>
          <w:szCs w:val="22"/>
        </w:rPr>
        <w:t xml:space="preserve"> </w:t>
      </w:r>
      <w:r w:rsidRPr="007A37E1">
        <w:rPr>
          <w:rFonts w:ascii="Arial" w:hAnsi="Arial" w:cs="Arial"/>
          <w:sz w:val="22"/>
          <w:szCs w:val="22"/>
        </w:rPr>
        <w:t>18</w:t>
      </w:r>
      <w:r w:rsidR="005866A9" w:rsidRPr="007A37E1">
        <w:rPr>
          <w:rFonts w:ascii="Arial" w:hAnsi="Arial" w:cs="Arial"/>
          <w:sz w:val="22"/>
          <w:szCs w:val="22"/>
        </w:rPr>
        <w:t>,</w:t>
      </w:r>
      <w:r w:rsidRPr="007A37E1">
        <w:rPr>
          <w:rFonts w:ascii="Arial" w:hAnsi="Arial" w:cs="Arial"/>
          <w:sz w:val="22"/>
          <w:szCs w:val="22"/>
        </w:rPr>
        <w:t>837 only for underlying deaths</w:t>
      </w:r>
      <w:r w:rsidR="005866A9" w:rsidRPr="007A37E1">
        <w:rPr>
          <w:rFonts w:ascii="Arial" w:hAnsi="Arial" w:cs="Arial"/>
          <w:sz w:val="22"/>
          <w:szCs w:val="22"/>
        </w:rPr>
        <w:t xml:space="preserve"> – </w:t>
      </w:r>
      <w:r w:rsidRPr="007A37E1">
        <w:rPr>
          <w:rFonts w:ascii="Arial" w:hAnsi="Arial" w:cs="Arial"/>
          <w:sz w:val="22"/>
          <w:szCs w:val="22"/>
        </w:rPr>
        <w:t>with</w:t>
      </w:r>
      <w:r w:rsidR="005866A9" w:rsidRPr="007A37E1">
        <w:rPr>
          <w:rFonts w:ascii="Arial" w:hAnsi="Arial" w:cs="Arial"/>
          <w:sz w:val="22"/>
          <w:szCs w:val="22"/>
        </w:rPr>
        <w:t xml:space="preserve"> </w:t>
      </w:r>
      <w:r w:rsidRPr="007A37E1">
        <w:rPr>
          <w:rFonts w:ascii="Arial" w:hAnsi="Arial" w:cs="Arial"/>
          <w:sz w:val="22"/>
          <w:szCs w:val="22"/>
        </w:rPr>
        <w:t>42</w:t>
      </w:r>
      <w:r w:rsidR="005866A9" w:rsidRPr="007A37E1">
        <w:rPr>
          <w:rFonts w:ascii="Arial" w:hAnsi="Arial" w:cs="Arial"/>
          <w:sz w:val="22"/>
          <w:szCs w:val="22"/>
        </w:rPr>
        <w:t>,385 combined cases). In addi</w:t>
      </w:r>
      <w:r w:rsidRPr="007A37E1">
        <w:rPr>
          <w:rFonts w:ascii="Arial" w:hAnsi="Arial" w:cs="Arial"/>
          <w:sz w:val="22"/>
          <w:szCs w:val="22"/>
        </w:rPr>
        <w:t>tion, an estimated</w:t>
      </w:r>
      <w:r w:rsidR="005866A9" w:rsidRPr="007A37E1">
        <w:rPr>
          <w:rFonts w:ascii="Arial" w:hAnsi="Arial" w:cs="Arial"/>
          <w:sz w:val="22"/>
          <w:szCs w:val="22"/>
        </w:rPr>
        <w:t xml:space="preserve"> </w:t>
      </w:r>
      <w:r w:rsidRPr="007A37E1">
        <w:rPr>
          <w:rFonts w:ascii="Arial" w:hAnsi="Arial" w:cs="Arial"/>
          <w:sz w:val="22"/>
          <w:szCs w:val="22"/>
        </w:rPr>
        <w:t>47</w:t>
      </w:r>
      <w:r w:rsidR="005866A9" w:rsidRPr="007A37E1">
        <w:rPr>
          <w:rFonts w:ascii="Arial" w:hAnsi="Arial" w:cs="Arial"/>
          <w:sz w:val="22"/>
          <w:szCs w:val="22"/>
        </w:rPr>
        <w:t>,</w:t>
      </w:r>
      <w:r w:rsidRPr="007A37E1">
        <w:rPr>
          <w:rFonts w:ascii="Arial" w:hAnsi="Arial" w:cs="Arial"/>
          <w:sz w:val="22"/>
          <w:szCs w:val="22"/>
        </w:rPr>
        <w:t>000 episodes of i</w:t>
      </w:r>
      <w:r w:rsidR="005866A9" w:rsidRPr="007A37E1">
        <w:rPr>
          <w:rFonts w:ascii="Arial" w:hAnsi="Arial" w:cs="Arial"/>
          <w:sz w:val="22"/>
          <w:szCs w:val="22"/>
        </w:rPr>
        <w:t>n</w:t>
      </w:r>
      <w:r w:rsidRPr="007A37E1">
        <w:rPr>
          <w:rFonts w:ascii="Arial" w:hAnsi="Arial" w:cs="Arial"/>
          <w:sz w:val="22"/>
          <w:szCs w:val="22"/>
        </w:rPr>
        <w:t>flue</w:t>
      </w:r>
      <w:r w:rsidR="005866A9" w:rsidRPr="007A37E1">
        <w:rPr>
          <w:rFonts w:ascii="Arial" w:hAnsi="Arial" w:cs="Arial"/>
          <w:sz w:val="22"/>
          <w:szCs w:val="22"/>
        </w:rPr>
        <w:t>n</w:t>
      </w:r>
      <w:r w:rsidRPr="007A37E1">
        <w:rPr>
          <w:rFonts w:ascii="Arial" w:hAnsi="Arial" w:cs="Arial"/>
          <w:sz w:val="22"/>
          <w:szCs w:val="22"/>
        </w:rPr>
        <w:t>za-ass</w:t>
      </w:r>
      <w:r w:rsidR="005866A9" w:rsidRPr="007A37E1">
        <w:rPr>
          <w:rFonts w:ascii="Arial" w:hAnsi="Arial" w:cs="Arial"/>
          <w:sz w:val="22"/>
          <w:szCs w:val="22"/>
        </w:rPr>
        <w:t>oc</w:t>
      </w:r>
      <w:r w:rsidRPr="007A37E1">
        <w:rPr>
          <w:rFonts w:ascii="Arial" w:hAnsi="Arial" w:cs="Arial"/>
          <w:sz w:val="22"/>
          <w:szCs w:val="22"/>
        </w:rPr>
        <w:t>iated severe acute respiratory illnesses occur annually</w:t>
      </w:r>
      <w:r w:rsidR="005866A9" w:rsidRPr="007A37E1">
        <w:rPr>
          <w:rFonts w:ascii="Arial" w:hAnsi="Arial" w:cs="Arial"/>
          <w:sz w:val="22"/>
          <w:szCs w:val="22"/>
        </w:rPr>
        <w:t xml:space="preserve"> </w:t>
      </w:r>
      <w:r w:rsidRPr="007A37E1">
        <w:rPr>
          <w:rFonts w:ascii="Arial" w:hAnsi="Arial" w:cs="Arial"/>
          <w:sz w:val="22"/>
          <w:szCs w:val="22"/>
        </w:rPr>
        <w:t xml:space="preserve">of which 22,481 </w:t>
      </w:r>
      <w:r w:rsidR="005866A9" w:rsidRPr="007A37E1">
        <w:rPr>
          <w:rFonts w:ascii="Arial" w:hAnsi="Arial" w:cs="Arial"/>
          <w:sz w:val="22"/>
          <w:szCs w:val="22"/>
        </w:rPr>
        <w:t>(</w:t>
      </w:r>
      <w:r w:rsidRPr="007A37E1">
        <w:rPr>
          <w:rFonts w:ascii="Arial" w:hAnsi="Arial" w:cs="Arial"/>
          <w:sz w:val="22"/>
          <w:szCs w:val="22"/>
        </w:rPr>
        <w:t xml:space="preserve">at an average </w:t>
      </w:r>
      <w:r w:rsidR="005866A9" w:rsidRPr="007A37E1">
        <w:rPr>
          <w:rFonts w:ascii="Arial" w:hAnsi="Arial" w:cs="Arial"/>
          <w:sz w:val="22"/>
          <w:szCs w:val="22"/>
        </w:rPr>
        <w:t>o</w:t>
      </w:r>
      <w:r w:rsidRPr="007A37E1">
        <w:rPr>
          <w:rFonts w:ascii="Arial" w:hAnsi="Arial" w:cs="Arial"/>
          <w:sz w:val="22"/>
          <w:szCs w:val="22"/>
        </w:rPr>
        <w:t>f 1,873 per month) result</w:t>
      </w:r>
      <w:r w:rsidR="005866A9" w:rsidRPr="007A37E1">
        <w:rPr>
          <w:rFonts w:ascii="Arial" w:hAnsi="Arial" w:cs="Arial"/>
          <w:sz w:val="22"/>
          <w:szCs w:val="22"/>
        </w:rPr>
        <w:t xml:space="preserve"> </w:t>
      </w:r>
      <w:r w:rsidR="007B161E" w:rsidRPr="007A37E1">
        <w:rPr>
          <w:rFonts w:ascii="Arial" w:hAnsi="Arial" w:cs="Arial"/>
          <w:sz w:val="22"/>
          <w:szCs w:val="22"/>
        </w:rPr>
        <w:t xml:space="preserve">in hospitalization. </w:t>
      </w:r>
      <w:r w:rsidRPr="007A37E1">
        <w:rPr>
          <w:rFonts w:ascii="Arial" w:hAnsi="Arial" w:cs="Arial"/>
          <w:sz w:val="22"/>
          <w:szCs w:val="22"/>
        </w:rPr>
        <w:t>The aforegoing</w:t>
      </w:r>
      <w:r w:rsidR="005866A9" w:rsidRPr="007A37E1">
        <w:rPr>
          <w:rFonts w:ascii="Arial" w:hAnsi="Arial" w:cs="Arial"/>
          <w:sz w:val="22"/>
          <w:szCs w:val="22"/>
        </w:rPr>
        <w:t xml:space="preserve"> compares to th</w:t>
      </w:r>
      <w:r w:rsidRPr="007A37E1">
        <w:rPr>
          <w:rFonts w:ascii="Arial" w:hAnsi="Arial" w:cs="Arial"/>
          <w:sz w:val="22"/>
          <w:szCs w:val="22"/>
        </w:rPr>
        <w:t>e current total of just 411 reported COV</w:t>
      </w:r>
      <w:r w:rsidR="00CF0146" w:rsidRPr="007A37E1">
        <w:rPr>
          <w:rFonts w:ascii="Arial" w:hAnsi="Arial" w:cs="Arial"/>
          <w:sz w:val="22"/>
          <w:szCs w:val="22"/>
        </w:rPr>
        <w:t>I</w:t>
      </w:r>
      <w:r w:rsidRPr="007A37E1">
        <w:rPr>
          <w:rFonts w:ascii="Arial" w:hAnsi="Arial" w:cs="Arial"/>
          <w:sz w:val="22"/>
          <w:szCs w:val="22"/>
        </w:rPr>
        <w:t>D</w:t>
      </w:r>
      <w:r w:rsidR="005866A9" w:rsidRPr="007A37E1">
        <w:rPr>
          <w:rFonts w:ascii="Arial" w:hAnsi="Arial" w:cs="Arial"/>
          <w:sz w:val="22"/>
          <w:szCs w:val="22"/>
        </w:rPr>
        <w:t>-</w:t>
      </w:r>
      <w:r w:rsidRPr="007A37E1">
        <w:rPr>
          <w:rFonts w:ascii="Arial" w:hAnsi="Arial" w:cs="Arial"/>
          <w:sz w:val="22"/>
          <w:szCs w:val="22"/>
        </w:rPr>
        <w:t xml:space="preserve">19 cases which deserved to have been hospitalized. </w:t>
      </w:r>
      <w:r w:rsidR="005866A9" w:rsidRPr="007A37E1">
        <w:rPr>
          <w:rFonts w:ascii="Arial" w:hAnsi="Arial" w:cs="Arial"/>
          <w:sz w:val="22"/>
          <w:szCs w:val="22"/>
        </w:rPr>
        <w:t>I</w:t>
      </w:r>
      <w:r w:rsidRPr="007A37E1">
        <w:rPr>
          <w:rFonts w:ascii="Arial" w:hAnsi="Arial" w:cs="Arial"/>
          <w:sz w:val="22"/>
          <w:szCs w:val="22"/>
        </w:rPr>
        <w:t xml:space="preserve"> refer to the NICD report as Annexure </w:t>
      </w:r>
      <w:r w:rsidR="00E10FD9" w:rsidRPr="007A37E1">
        <w:rPr>
          <w:rFonts w:ascii="Arial" w:hAnsi="Arial" w:cs="Arial"/>
          <w:sz w:val="22"/>
          <w:szCs w:val="22"/>
        </w:rPr>
        <w:t>“</w:t>
      </w:r>
      <w:r w:rsidR="005866A9" w:rsidRPr="007A37E1">
        <w:rPr>
          <w:rFonts w:ascii="Arial" w:hAnsi="Arial" w:cs="Arial"/>
          <w:sz w:val="22"/>
          <w:szCs w:val="22"/>
        </w:rPr>
        <w:t>O</w:t>
      </w:r>
      <w:r w:rsidR="00E10FD9" w:rsidRPr="007A37E1">
        <w:rPr>
          <w:rFonts w:ascii="Arial" w:hAnsi="Arial" w:cs="Arial"/>
          <w:sz w:val="22"/>
          <w:szCs w:val="22"/>
        </w:rPr>
        <w:t>”</w:t>
      </w:r>
      <w:r w:rsidRPr="007A37E1">
        <w:rPr>
          <w:rFonts w:ascii="Arial" w:hAnsi="Arial" w:cs="Arial"/>
          <w:sz w:val="22"/>
          <w:szCs w:val="22"/>
        </w:rPr>
        <w:t xml:space="preserve"> as well as the official report</w:t>
      </w:r>
      <w:r w:rsidR="005866A9" w:rsidRPr="007A37E1">
        <w:rPr>
          <w:rFonts w:ascii="Arial" w:hAnsi="Arial" w:cs="Arial"/>
          <w:sz w:val="22"/>
          <w:szCs w:val="22"/>
        </w:rPr>
        <w:t xml:space="preserve"> </w:t>
      </w:r>
      <w:r w:rsidRPr="007A37E1">
        <w:rPr>
          <w:rFonts w:ascii="Arial" w:hAnsi="Arial" w:cs="Arial"/>
          <w:sz w:val="22"/>
          <w:szCs w:val="22"/>
        </w:rPr>
        <w:t>of</w:t>
      </w:r>
      <w:r w:rsidR="005866A9" w:rsidRPr="007A37E1">
        <w:rPr>
          <w:rFonts w:ascii="Arial" w:hAnsi="Arial" w:cs="Arial"/>
          <w:sz w:val="22"/>
          <w:szCs w:val="22"/>
        </w:rPr>
        <w:t xml:space="preserve"> </w:t>
      </w:r>
      <w:r w:rsidRPr="007A37E1">
        <w:rPr>
          <w:rFonts w:ascii="Arial" w:hAnsi="Arial" w:cs="Arial"/>
          <w:sz w:val="22"/>
          <w:szCs w:val="22"/>
        </w:rPr>
        <w:t>the Health Minister on 4 May</w:t>
      </w:r>
      <w:r w:rsidR="00CF0146" w:rsidRPr="007A37E1">
        <w:rPr>
          <w:rFonts w:ascii="Arial" w:hAnsi="Arial" w:cs="Arial"/>
          <w:sz w:val="22"/>
          <w:szCs w:val="22"/>
        </w:rPr>
        <w:t xml:space="preserve"> </w:t>
      </w:r>
      <w:r w:rsidR="00B756DE" w:rsidRPr="007A37E1">
        <w:rPr>
          <w:rFonts w:ascii="Arial" w:hAnsi="Arial" w:cs="Arial"/>
          <w:sz w:val="22"/>
          <w:szCs w:val="22"/>
        </w:rPr>
        <w:t>2</w:t>
      </w:r>
      <w:r w:rsidR="00CF0146" w:rsidRPr="007A37E1">
        <w:rPr>
          <w:rFonts w:ascii="Arial" w:hAnsi="Arial" w:cs="Arial"/>
          <w:sz w:val="22"/>
          <w:szCs w:val="22"/>
        </w:rPr>
        <w:t>020 attached as Annexure “</w:t>
      </w:r>
      <w:r w:rsidRPr="007A37E1">
        <w:rPr>
          <w:rFonts w:ascii="Arial" w:hAnsi="Arial" w:cs="Arial"/>
          <w:sz w:val="22"/>
          <w:szCs w:val="22"/>
        </w:rPr>
        <w:t>P</w:t>
      </w:r>
      <w:r w:rsidR="00E10FD9" w:rsidRPr="007A37E1">
        <w:rPr>
          <w:rFonts w:ascii="Arial" w:hAnsi="Arial" w:cs="Arial"/>
          <w:sz w:val="22"/>
          <w:szCs w:val="22"/>
        </w:rPr>
        <w:t>”</w:t>
      </w:r>
      <w:r w:rsidRPr="007A37E1">
        <w:rPr>
          <w:rFonts w:ascii="Arial" w:hAnsi="Arial" w:cs="Arial"/>
          <w:sz w:val="22"/>
          <w:szCs w:val="22"/>
        </w:rPr>
        <w:t>.</w:t>
      </w:r>
    </w:p>
    <w:p w14:paraId="0FA45204" w14:textId="0116A6B7" w:rsidR="00052552" w:rsidRPr="007A37E1" w:rsidRDefault="00052552" w:rsidP="00D36EA0">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6</w:t>
      </w:r>
      <w:r w:rsidR="00CF0146" w:rsidRPr="007A37E1">
        <w:rPr>
          <w:rFonts w:ascii="Arial" w:hAnsi="Arial" w:cs="Arial"/>
          <w:sz w:val="22"/>
          <w:szCs w:val="22"/>
        </w:rPr>
        <w:t>.</w:t>
      </w:r>
      <w:r w:rsidR="006F14CC" w:rsidRPr="007A37E1">
        <w:rPr>
          <w:rFonts w:ascii="Arial" w:hAnsi="Arial" w:cs="Arial"/>
          <w:sz w:val="22"/>
          <w:szCs w:val="22"/>
        </w:rPr>
        <w:t>10</w:t>
      </w:r>
      <w:r w:rsidR="006F14CC" w:rsidRPr="007A37E1">
        <w:rPr>
          <w:rFonts w:ascii="Arial" w:hAnsi="Arial" w:cs="Arial"/>
          <w:sz w:val="22"/>
          <w:szCs w:val="22"/>
        </w:rPr>
        <w:tab/>
      </w:r>
      <w:r w:rsidRPr="007A37E1">
        <w:rPr>
          <w:rFonts w:ascii="Arial" w:hAnsi="Arial" w:cs="Arial"/>
          <w:sz w:val="22"/>
          <w:szCs w:val="22"/>
        </w:rPr>
        <w:t>Notwithstanding</w:t>
      </w:r>
      <w:r w:rsidR="00CF0146" w:rsidRPr="007A37E1">
        <w:rPr>
          <w:rFonts w:ascii="Arial" w:hAnsi="Arial" w:cs="Arial"/>
          <w:sz w:val="22"/>
          <w:szCs w:val="22"/>
        </w:rPr>
        <w:t xml:space="preserve"> </w:t>
      </w:r>
      <w:r w:rsidRPr="007A37E1">
        <w:rPr>
          <w:rFonts w:ascii="Arial" w:hAnsi="Arial" w:cs="Arial"/>
          <w:sz w:val="22"/>
          <w:szCs w:val="22"/>
        </w:rPr>
        <w:t>v</w:t>
      </w:r>
      <w:r w:rsidR="00CF0146" w:rsidRPr="007A37E1">
        <w:rPr>
          <w:rFonts w:ascii="Arial" w:hAnsi="Arial" w:cs="Arial"/>
          <w:sz w:val="22"/>
          <w:szCs w:val="22"/>
        </w:rPr>
        <w:t>a</w:t>
      </w:r>
      <w:r w:rsidRPr="007A37E1">
        <w:rPr>
          <w:rFonts w:ascii="Arial" w:hAnsi="Arial" w:cs="Arial"/>
          <w:sz w:val="22"/>
          <w:szCs w:val="22"/>
        </w:rPr>
        <w:t>rious reports relating to the allegati</w:t>
      </w:r>
      <w:r w:rsidR="00CF0146" w:rsidRPr="007A37E1">
        <w:rPr>
          <w:rFonts w:ascii="Arial" w:hAnsi="Arial" w:cs="Arial"/>
          <w:sz w:val="22"/>
          <w:szCs w:val="22"/>
        </w:rPr>
        <w:t>on</w:t>
      </w:r>
      <w:r w:rsidRPr="007A37E1">
        <w:rPr>
          <w:rFonts w:ascii="Arial" w:hAnsi="Arial" w:cs="Arial"/>
          <w:sz w:val="22"/>
          <w:szCs w:val="22"/>
        </w:rPr>
        <w:t xml:space="preserve"> that SARS</w:t>
      </w:r>
      <w:r w:rsidR="00CF0146" w:rsidRPr="007A37E1">
        <w:rPr>
          <w:rFonts w:ascii="Arial" w:hAnsi="Arial" w:cs="Arial"/>
          <w:sz w:val="22"/>
          <w:szCs w:val="22"/>
        </w:rPr>
        <w:t>-Cov-2 was</w:t>
      </w:r>
      <w:r w:rsidR="00A636FB" w:rsidRPr="007A37E1">
        <w:rPr>
          <w:rFonts w:ascii="Arial" w:hAnsi="Arial" w:cs="Arial"/>
          <w:sz w:val="22"/>
          <w:szCs w:val="22"/>
        </w:rPr>
        <w:t xml:space="preserve"> </w:t>
      </w:r>
      <w:r w:rsidR="00CF0146" w:rsidRPr="007A37E1">
        <w:rPr>
          <w:rFonts w:ascii="Arial" w:hAnsi="Arial" w:cs="Arial"/>
          <w:sz w:val="22"/>
          <w:szCs w:val="22"/>
        </w:rPr>
        <w:t>a newly created virus, i</w:t>
      </w:r>
      <w:r w:rsidRPr="007A37E1">
        <w:rPr>
          <w:rFonts w:ascii="Arial" w:hAnsi="Arial" w:cs="Arial"/>
          <w:sz w:val="22"/>
          <w:szCs w:val="22"/>
        </w:rPr>
        <w:t>t is unfounded and baseless to assume that t</w:t>
      </w:r>
      <w:r w:rsidR="00CF0146" w:rsidRPr="007A37E1">
        <w:rPr>
          <w:rFonts w:ascii="Arial" w:hAnsi="Arial" w:cs="Arial"/>
          <w:sz w:val="22"/>
          <w:szCs w:val="22"/>
        </w:rPr>
        <w:t>h</w:t>
      </w:r>
      <w:r w:rsidRPr="007A37E1">
        <w:rPr>
          <w:rFonts w:ascii="Arial" w:hAnsi="Arial" w:cs="Arial"/>
          <w:sz w:val="22"/>
          <w:szCs w:val="22"/>
        </w:rPr>
        <w:t>is new v</w:t>
      </w:r>
      <w:r w:rsidR="00CF0146" w:rsidRPr="007A37E1">
        <w:rPr>
          <w:rFonts w:ascii="Arial" w:hAnsi="Arial" w:cs="Arial"/>
          <w:sz w:val="22"/>
          <w:szCs w:val="22"/>
        </w:rPr>
        <w:t>i</w:t>
      </w:r>
      <w:r w:rsidRPr="007A37E1">
        <w:rPr>
          <w:rFonts w:ascii="Arial" w:hAnsi="Arial" w:cs="Arial"/>
          <w:sz w:val="22"/>
          <w:szCs w:val="22"/>
        </w:rPr>
        <w:t>rus was not already</w:t>
      </w:r>
      <w:r w:rsidR="00CF0146" w:rsidRPr="007A37E1">
        <w:rPr>
          <w:rFonts w:ascii="Arial" w:hAnsi="Arial" w:cs="Arial"/>
          <w:sz w:val="22"/>
          <w:szCs w:val="22"/>
        </w:rPr>
        <w:t xml:space="preserve"> </w:t>
      </w:r>
      <w:r w:rsidRPr="007A37E1">
        <w:rPr>
          <w:rFonts w:ascii="Arial" w:hAnsi="Arial" w:cs="Arial"/>
          <w:sz w:val="22"/>
          <w:szCs w:val="22"/>
        </w:rPr>
        <w:t xml:space="preserve">in existence for many Influenza seasons over many years and </w:t>
      </w:r>
      <w:r w:rsidR="00CF0146" w:rsidRPr="007A37E1">
        <w:rPr>
          <w:rFonts w:ascii="Arial" w:hAnsi="Arial" w:cs="Arial"/>
          <w:sz w:val="22"/>
          <w:szCs w:val="22"/>
        </w:rPr>
        <w:t>there</w:t>
      </w:r>
      <w:r w:rsidRPr="007A37E1">
        <w:rPr>
          <w:rFonts w:ascii="Arial" w:hAnsi="Arial" w:cs="Arial"/>
          <w:sz w:val="22"/>
          <w:szCs w:val="22"/>
        </w:rPr>
        <w:t>fore might already</w:t>
      </w:r>
      <w:r w:rsidR="00CF0146" w:rsidRPr="007A37E1">
        <w:rPr>
          <w:rFonts w:ascii="Arial" w:hAnsi="Arial" w:cs="Arial"/>
          <w:sz w:val="22"/>
          <w:szCs w:val="22"/>
        </w:rPr>
        <w:t xml:space="preserve"> </w:t>
      </w:r>
      <w:r w:rsidRPr="007A37E1">
        <w:rPr>
          <w:rFonts w:ascii="Arial" w:hAnsi="Arial" w:cs="Arial"/>
          <w:sz w:val="22"/>
          <w:szCs w:val="22"/>
        </w:rPr>
        <w:t xml:space="preserve">have </w:t>
      </w:r>
      <w:r w:rsidRPr="007A37E1">
        <w:rPr>
          <w:rFonts w:ascii="Arial" w:hAnsi="Arial" w:cs="Arial"/>
          <w:sz w:val="22"/>
          <w:szCs w:val="22"/>
        </w:rPr>
        <w:lastRenderedPageBreak/>
        <w:t>been included in ICD-10 code</w:t>
      </w:r>
      <w:r w:rsidR="00CF0146" w:rsidRPr="007A37E1">
        <w:rPr>
          <w:rFonts w:ascii="Arial" w:hAnsi="Arial" w:cs="Arial"/>
          <w:sz w:val="22"/>
          <w:szCs w:val="22"/>
        </w:rPr>
        <w:t xml:space="preserve"> reporting under respiratory ill</w:t>
      </w:r>
      <w:r w:rsidRPr="007A37E1">
        <w:rPr>
          <w:rFonts w:ascii="Arial" w:hAnsi="Arial" w:cs="Arial"/>
          <w:sz w:val="22"/>
          <w:szCs w:val="22"/>
        </w:rPr>
        <w:t>nesses under the J</w:t>
      </w:r>
      <w:r w:rsidR="00CF0146" w:rsidRPr="007A37E1">
        <w:rPr>
          <w:rFonts w:ascii="Arial" w:hAnsi="Arial" w:cs="Arial"/>
          <w:sz w:val="22"/>
          <w:szCs w:val="22"/>
        </w:rPr>
        <w:t xml:space="preserve"> </w:t>
      </w:r>
      <w:r w:rsidRPr="007A37E1">
        <w:rPr>
          <w:rFonts w:ascii="Arial" w:hAnsi="Arial" w:cs="Arial"/>
          <w:sz w:val="22"/>
          <w:szCs w:val="22"/>
        </w:rPr>
        <w:t>grouping</w:t>
      </w:r>
      <w:r w:rsidR="00B756DE" w:rsidRPr="007A37E1">
        <w:rPr>
          <w:rFonts w:ascii="Arial" w:hAnsi="Arial" w:cs="Arial"/>
          <w:sz w:val="22"/>
          <w:szCs w:val="22"/>
        </w:rPr>
        <w:t>.</w:t>
      </w:r>
      <w:r w:rsidRPr="007A37E1">
        <w:rPr>
          <w:rFonts w:ascii="Arial" w:hAnsi="Arial" w:cs="Arial"/>
          <w:sz w:val="22"/>
          <w:szCs w:val="22"/>
        </w:rPr>
        <w:t xml:space="preserve"> </w:t>
      </w:r>
      <w:r w:rsidR="00B756DE" w:rsidRPr="007A37E1">
        <w:rPr>
          <w:rFonts w:ascii="Arial" w:hAnsi="Arial" w:cs="Arial"/>
          <w:sz w:val="22"/>
          <w:szCs w:val="22"/>
        </w:rPr>
        <w:t>I</w:t>
      </w:r>
      <w:r w:rsidRPr="007A37E1">
        <w:rPr>
          <w:rFonts w:ascii="Arial" w:hAnsi="Arial" w:cs="Arial"/>
          <w:sz w:val="22"/>
          <w:szCs w:val="22"/>
        </w:rPr>
        <w:t>n history, the Influenza virus whi</w:t>
      </w:r>
      <w:r w:rsidR="00CF0146" w:rsidRPr="007A37E1">
        <w:rPr>
          <w:rFonts w:ascii="Arial" w:hAnsi="Arial" w:cs="Arial"/>
          <w:sz w:val="22"/>
          <w:szCs w:val="22"/>
        </w:rPr>
        <w:t>c</w:t>
      </w:r>
      <w:r w:rsidRPr="007A37E1">
        <w:rPr>
          <w:rFonts w:ascii="Arial" w:hAnsi="Arial" w:cs="Arial"/>
          <w:sz w:val="22"/>
          <w:szCs w:val="22"/>
        </w:rPr>
        <w:t>h was responsible for the 1918 Spanish Flu</w:t>
      </w:r>
      <w:r w:rsidR="00CF0146" w:rsidRPr="007A37E1">
        <w:rPr>
          <w:rFonts w:ascii="Arial" w:hAnsi="Arial" w:cs="Arial"/>
          <w:sz w:val="22"/>
          <w:szCs w:val="22"/>
        </w:rPr>
        <w:t xml:space="preserve"> </w:t>
      </w:r>
      <w:r w:rsidRPr="007A37E1">
        <w:rPr>
          <w:rFonts w:ascii="Arial" w:hAnsi="Arial" w:cs="Arial"/>
          <w:sz w:val="22"/>
          <w:szCs w:val="22"/>
        </w:rPr>
        <w:t>pandemic was not known at</w:t>
      </w:r>
      <w:r w:rsidR="00CF0146" w:rsidRPr="007A37E1">
        <w:rPr>
          <w:rFonts w:ascii="Arial" w:hAnsi="Arial" w:cs="Arial"/>
          <w:sz w:val="22"/>
          <w:szCs w:val="22"/>
        </w:rPr>
        <w:t xml:space="preserve"> </w:t>
      </w:r>
      <w:r w:rsidRPr="007A37E1">
        <w:rPr>
          <w:rFonts w:ascii="Arial" w:hAnsi="Arial" w:cs="Arial"/>
          <w:sz w:val="22"/>
          <w:szCs w:val="22"/>
        </w:rPr>
        <w:t>that stage and only discovered d</w:t>
      </w:r>
      <w:r w:rsidR="00CF0146" w:rsidRPr="007A37E1">
        <w:rPr>
          <w:rFonts w:ascii="Arial" w:hAnsi="Arial" w:cs="Arial"/>
          <w:sz w:val="22"/>
          <w:szCs w:val="22"/>
        </w:rPr>
        <w:t>u</w:t>
      </w:r>
      <w:r w:rsidRPr="007A37E1">
        <w:rPr>
          <w:rFonts w:ascii="Arial" w:hAnsi="Arial" w:cs="Arial"/>
          <w:sz w:val="22"/>
          <w:szCs w:val="22"/>
        </w:rPr>
        <w:t>ring 1930</w:t>
      </w:r>
      <w:r w:rsidR="00D27B63" w:rsidRPr="007A37E1">
        <w:rPr>
          <w:rFonts w:ascii="Arial" w:hAnsi="Arial" w:cs="Arial"/>
          <w:sz w:val="22"/>
          <w:szCs w:val="22"/>
        </w:rPr>
        <w:t>’</w:t>
      </w:r>
      <w:r w:rsidRPr="007A37E1">
        <w:rPr>
          <w:rFonts w:ascii="Arial" w:hAnsi="Arial" w:cs="Arial"/>
          <w:sz w:val="22"/>
          <w:szCs w:val="22"/>
        </w:rPr>
        <w:t>s</w:t>
      </w:r>
      <w:r w:rsidR="00CF0146" w:rsidRPr="007A37E1">
        <w:rPr>
          <w:rFonts w:ascii="Arial" w:hAnsi="Arial" w:cs="Arial"/>
          <w:sz w:val="22"/>
          <w:szCs w:val="22"/>
        </w:rPr>
        <w:t xml:space="preserve">. </w:t>
      </w:r>
      <w:r w:rsidRPr="007A37E1">
        <w:rPr>
          <w:rFonts w:ascii="Arial" w:hAnsi="Arial" w:cs="Arial"/>
          <w:sz w:val="22"/>
          <w:szCs w:val="22"/>
        </w:rPr>
        <w:t xml:space="preserve">The </w:t>
      </w:r>
      <w:r w:rsidRPr="007A37E1">
        <w:rPr>
          <w:rFonts w:ascii="Arial" w:hAnsi="Arial" w:cs="Arial"/>
          <w:iCs/>
          <w:sz w:val="22"/>
          <w:szCs w:val="22"/>
        </w:rPr>
        <w:t>CoGTA</w:t>
      </w:r>
      <w:r w:rsidR="00CF0146" w:rsidRPr="007A37E1">
        <w:rPr>
          <w:rFonts w:ascii="Arial" w:hAnsi="Arial" w:cs="Arial"/>
          <w:iCs/>
          <w:sz w:val="22"/>
          <w:szCs w:val="22"/>
        </w:rPr>
        <w:t xml:space="preserve"> </w:t>
      </w:r>
      <w:r w:rsidRPr="007A37E1">
        <w:rPr>
          <w:rFonts w:ascii="Arial" w:hAnsi="Arial" w:cs="Arial"/>
          <w:iCs/>
          <w:sz w:val="22"/>
          <w:szCs w:val="22"/>
        </w:rPr>
        <w:t>Minister</w:t>
      </w:r>
      <w:r w:rsidRPr="007A37E1">
        <w:rPr>
          <w:rFonts w:ascii="Arial" w:hAnsi="Arial" w:cs="Arial"/>
          <w:sz w:val="22"/>
          <w:szCs w:val="22"/>
        </w:rPr>
        <w:t xml:space="preserve"> is rely</w:t>
      </w:r>
      <w:r w:rsidR="00CF0146" w:rsidRPr="007A37E1">
        <w:rPr>
          <w:rFonts w:ascii="Arial" w:hAnsi="Arial" w:cs="Arial"/>
          <w:sz w:val="22"/>
          <w:szCs w:val="22"/>
        </w:rPr>
        <w:t>in</w:t>
      </w:r>
      <w:r w:rsidRPr="007A37E1">
        <w:rPr>
          <w:rFonts w:ascii="Arial" w:hAnsi="Arial" w:cs="Arial"/>
          <w:sz w:val="22"/>
          <w:szCs w:val="22"/>
        </w:rPr>
        <w:t xml:space="preserve">g on </w:t>
      </w:r>
      <w:r w:rsidR="00CF0146" w:rsidRPr="007A37E1">
        <w:rPr>
          <w:rFonts w:ascii="Arial" w:hAnsi="Arial" w:cs="Arial"/>
          <w:sz w:val="22"/>
          <w:szCs w:val="22"/>
        </w:rPr>
        <w:t>unconfirmed and</w:t>
      </w:r>
      <w:r w:rsidRPr="007A37E1">
        <w:rPr>
          <w:rFonts w:ascii="Arial" w:hAnsi="Arial" w:cs="Arial"/>
          <w:sz w:val="22"/>
          <w:szCs w:val="22"/>
        </w:rPr>
        <w:t xml:space="preserve"> incomple</w:t>
      </w:r>
      <w:r w:rsidR="00CF0146" w:rsidRPr="007A37E1">
        <w:rPr>
          <w:rFonts w:ascii="Arial" w:hAnsi="Arial" w:cs="Arial"/>
          <w:sz w:val="22"/>
          <w:szCs w:val="22"/>
        </w:rPr>
        <w:t>te data to try and justify the L</w:t>
      </w:r>
      <w:r w:rsidRPr="007A37E1">
        <w:rPr>
          <w:rFonts w:ascii="Arial" w:hAnsi="Arial" w:cs="Arial"/>
          <w:sz w:val="22"/>
          <w:szCs w:val="22"/>
        </w:rPr>
        <w:t>ockdown. In</w:t>
      </w:r>
      <w:r w:rsidR="00CF0146" w:rsidRPr="007A37E1">
        <w:rPr>
          <w:rFonts w:ascii="Arial" w:hAnsi="Arial" w:cs="Arial"/>
          <w:sz w:val="22"/>
          <w:szCs w:val="22"/>
        </w:rPr>
        <w:t xml:space="preserve"> </w:t>
      </w:r>
      <w:r w:rsidRPr="007A37E1">
        <w:rPr>
          <w:rFonts w:ascii="Arial" w:hAnsi="Arial" w:cs="Arial"/>
          <w:sz w:val="22"/>
          <w:szCs w:val="22"/>
        </w:rPr>
        <w:t>this context I att</w:t>
      </w:r>
      <w:r w:rsidR="00CF0146" w:rsidRPr="007A37E1">
        <w:rPr>
          <w:rFonts w:ascii="Arial" w:hAnsi="Arial" w:cs="Arial"/>
          <w:sz w:val="22"/>
          <w:szCs w:val="22"/>
        </w:rPr>
        <w:t>a</w:t>
      </w:r>
      <w:r w:rsidRPr="007A37E1">
        <w:rPr>
          <w:rFonts w:ascii="Arial" w:hAnsi="Arial" w:cs="Arial"/>
          <w:sz w:val="22"/>
          <w:szCs w:val="22"/>
        </w:rPr>
        <w:t>ch an article by the Medsca</w:t>
      </w:r>
      <w:r w:rsidR="00CF0146" w:rsidRPr="007A37E1">
        <w:rPr>
          <w:rFonts w:ascii="Arial" w:hAnsi="Arial" w:cs="Arial"/>
          <w:sz w:val="22"/>
          <w:szCs w:val="22"/>
        </w:rPr>
        <w:t>pe Online Magazine as Annexure “Q</w:t>
      </w:r>
      <w:r w:rsidR="00D27B63" w:rsidRPr="007A37E1">
        <w:rPr>
          <w:rFonts w:ascii="Arial" w:hAnsi="Arial" w:cs="Arial"/>
          <w:sz w:val="22"/>
          <w:szCs w:val="22"/>
        </w:rPr>
        <w:t>”</w:t>
      </w:r>
      <w:r w:rsidR="00CF0146" w:rsidRPr="007A37E1">
        <w:rPr>
          <w:rFonts w:ascii="Arial" w:hAnsi="Arial" w:cs="Arial"/>
          <w:sz w:val="22"/>
          <w:szCs w:val="22"/>
        </w:rPr>
        <w:t>.</w:t>
      </w:r>
    </w:p>
    <w:p w14:paraId="618D216A" w14:textId="7173765B" w:rsidR="00B70BB5" w:rsidRPr="007A37E1" w:rsidRDefault="006F14CC" w:rsidP="00362387">
      <w:pPr>
        <w:tabs>
          <w:tab w:val="left" w:pos="284"/>
          <w:tab w:val="left" w:pos="567"/>
        </w:tabs>
        <w:spacing w:line="360" w:lineRule="auto"/>
        <w:ind w:left="567" w:hanging="567"/>
        <w:jc w:val="both"/>
        <w:rPr>
          <w:rFonts w:ascii="Arial" w:hAnsi="Arial" w:cs="Arial"/>
          <w:color w:val="FF0000"/>
        </w:rPr>
      </w:pPr>
      <w:r w:rsidRPr="007A37E1">
        <w:rPr>
          <w:rFonts w:ascii="Arial" w:hAnsi="Arial" w:cs="Arial"/>
          <w:sz w:val="22"/>
          <w:szCs w:val="22"/>
        </w:rPr>
        <w:t>6.11</w:t>
      </w:r>
      <w:r w:rsidRPr="007A37E1">
        <w:rPr>
          <w:rFonts w:ascii="Arial" w:hAnsi="Arial" w:cs="Arial"/>
          <w:sz w:val="22"/>
          <w:szCs w:val="22"/>
        </w:rPr>
        <w:tab/>
      </w:r>
      <w:r w:rsidR="00052552" w:rsidRPr="007A37E1">
        <w:rPr>
          <w:rFonts w:ascii="Arial" w:hAnsi="Arial" w:cs="Arial"/>
          <w:sz w:val="22"/>
          <w:szCs w:val="22"/>
        </w:rPr>
        <w:t>It is important</w:t>
      </w:r>
      <w:r w:rsidR="00CF0146" w:rsidRPr="007A37E1">
        <w:rPr>
          <w:rFonts w:ascii="Arial" w:hAnsi="Arial" w:cs="Arial"/>
          <w:sz w:val="22"/>
          <w:szCs w:val="22"/>
        </w:rPr>
        <w:t xml:space="preserve"> </w:t>
      </w:r>
      <w:r w:rsidR="00052552" w:rsidRPr="007A37E1">
        <w:rPr>
          <w:rFonts w:ascii="Arial" w:hAnsi="Arial" w:cs="Arial"/>
          <w:sz w:val="22"/>
          <w:szCs w:val="22"/>
        </w:rPr>
        <w:t>to note th</w:t>
      </w:r>
      <w:r w:rsidR="00CF0146" w:rsidRPr="007A37E1">
        <w:rPr>
          <w:rFonts w:ascii="Arial" w:hAnsi="Arial" w:cs="Arial"/>
          <w:sz w:val="22"/>
          <w:szCs w:val="22"/>
        </w:rPr>
        <w:t>at the NICD has declared that for the 2020 I</w:t>
      </w:r>
      <w:r w:rsidR="00052552" w:rsidRPr="007A37E1">
        <w:rPr>
          <w:rFonts w:ascii="Arial" w:hAnsi="Arial" w:cs="Arial"/>
          <w:sz w:val="22"/>
          <w:szCs w:val="22"/>
        </w:rPr>
        <w:t>nfluenza Season</w:t>
      </w:r>
      <w:r w:rsidR="00A636FB" w:rsidRPr="007A37E1">
        <w:rPr>
          <w:rFonts w:ascii="Arial" w:hAnsi="Arial" w:cs="Arial"/>
          <w:sz w:val="22"/>
          <w:szCs w:val="22"/>
        </w:rPr>
        <w:t xml:space="preserve"> </w:t>
      </w:r>
      <w:r w:rsidR="00052552" w:rsidRPr="007A37E1">
        <w:rPr>
          <w:rFonts w:ascii="Arial" w:hAnsi="Arial" w:cs="Arial"/>
          <w:sz w:val="22"/>
          <w:szCs w:val="22"/>
        </w:rPr>
        <w:t>which we have entered now</w:t>
      </w:r>
      <w:r w:rsidR="00CF0146" w:rsidRPr="007A37E1">
        <w:rPr>
          <w:rFonts w:ascii="Arial" w:hAnsi="Arial" w:cs="Arial"/>
          <w:sz w:val="22"/>
          <w:szCs w:val="22"/>
        </w:rPr>
        <w:t xml:space="preserve"> –</w:t>
      </w:r>
      <w:r w:rsidR="00052552" w:rsidRPr="007A37E1">
        <w:rPr>
          <w:rFonts w:ascii="Arial" w:hAnsi="Arial" w:cs="Arial"/>
          <w:sz w:val="22"/>
          <w:szCs w:val="22"/>
        </w:rPr>
        <w:t xml:space="preserve"> that, notwithstanding the computed 3,532 deaths per month</w:t>
      </w:r>
      <w:r w:rsidR="00A636FB" w:rsidRPr="007A37E1">
        <w:rPr>
          <w:rFonts w:ascii="Arial" w:hAnsi="Arial" w:cs="Arial"/>
          <w:sz w:val="22"/>
          <w:szCs w:val="22"/>
        </w:rPr>
        <w:t xml:space="preserve"> </w:t>
      </w:r>
      <w:r w:rsidR="00CF0146" w:rsidRPr="007A37E1">
        <w:rPr>
          <w:rFonts w:ascii="Arial" w:hAnsi="Arial" w:cs="Arial"/>
          <w:sz w:val="22"/>
          <w:szCs w:val="22"/>
        </w:rPr>
        <w:t>due to I</w:t>
      </w:r>
      <w:r w:rsidR="00052552" w:rsidRPr="007A37E1">
        <w:rPr>
          <w:rFonts w:ascii="Arial" w:hAnsi="Arial" w:cs="Arial"/>
          <w:sz w:val="22"/>
          <w:szCs w:val="22"/>
        </w:rPr>
        <w:t>nfluenza, that they do not propose any public health response to that threat. This</w:t>
      </w:r>
      <w:r w:rsidR="00A636FB" w:rsidRPr="007A37E1">
        <w:rPr>
          <w:rFonts w:ascii="Arial" w:hAnsi="Arial" w:cs="Arial"/>
          <w:sz w:val="22"/>
          <w:szCs w:val="22"/>
        </w:rPr>
        <w:t xml:space="preserve"> </w:t>
      </w:r>
      <w:r w:rsidR="00052552" w:rsidRPr="007A37E1">
        <w:rPr>
          <w:rFonts w:ascii="Arial" w:hAnsi="Arial" w:cs="Arial"/>
          <w:sz w:val="22"/>
          <w:szCs w:val="22"/>
        </w:rPr>
        <w:t>compares to the current COVID-19 combined underlying immediate or contributing 138</w:t>
      </w:r>
      <w:r w:rsidR="00CF0146" w:rsidRPr="007A37E1">
        <w:rPr>
          <w:rFonts w:ascii="Arial" w:hAnsi="Arial" w:cs="Arial"/>
          <w:sz w:val="22"/>
          <w:szCs w:val="22"/>
        </w:rPr>
        <w:t xml:space="preserve"> </w:t>
      </w:r>
      <w:r w:rsidR="00052552" w:rsidRPr="007A37E1">
        <w:rPr>
          <w:rFonts w:ascii="Arial" w:hAnsi="Arial" w:cs="Arial"/>
          <w:sz w:val="22"/>
          <w:szCs w:val="22"/>
        </w:rPr>
        <w:t xml:space="preserve">deaths since 26 March 2020, </w:t>
      </w:r>
      <w:r w:rsidR="00CF0146" w:rsidRPr="007A37E1">
        <w:rPr>
          <w:rFonts w:ascii="Arial" w:hAnsi="Arial" w:cs="Arial"/>
          <w:sz w:val="22"/>
          <w:szCs w:val="22"/>
        </w:rPr>
        <w:t>i.</w:t>
      </w:r>
      <w:r w:rsidR="00052552" w:rsidRPr="007A37E1">
        <w:rPr>
          <w:rFonts w:ascii="Arial" w:hAnsi="Arial" w:cs="Arial"/>
          <w:sz w:val="22"/>
          <w:szCs w:val="22"/>
        </w:rPr>
        <w:t>e</w:t>
      </w:r>
      <w:r w:rsidR="00CF0146" w:rsidRPr="007A37E1">
        <w:rPr>
          <w:rFonts w:ascii="Arial" w:hAnsi="Arial" w:cs="Arial"/>
          <w:sz w:val="22"/>
          <w:szCs w:val="22"/>
        </w:rPr>
        <w:t>.</w:t>
      </w:r>
      <w:r w:rsidR="00052552" w:rsidRPr="007A37E1">
        <w:rPr>
          <w:rFonts w:ascii="Arial" w:hAnsi="Arial" w:cs="Arial"/>
          <w:sz w:val="22"/>
          <w:szCs w:val="22"/>
        </w:rPr>
        <w:t xml:space="preserve"> less than 70 deaths per month. The suspicion that</w:t>
      </w:r>
      <w:r w:rsidR="00CF0146" w:rsidRPr="007A37E1">
        <w:rPr>
          <w:rFonts w:ascii="Arial" w:hAnsi="Arial" w:cs="Arial"/>
          <w:sz w:val="22"/>
          <w:szCs w:val="22"/>
        </w:rPr>
        <w:t xml:space="preserve"> </w:t>
      </w:r>
      <w:r w:rsidR="00052552" w:rsidRPr="007A37E1">
        <w:rPr>
          <w:rFonts w:ascii="Arial" w:hAnsi="Arial" w:cs="Arial"/>
          <w:sz w:val="22"/>
          <w:szCs w:val="22"/>
        </w:rPr>
        <w:t xml:space="preserve">COVID-19 </w:t>
      </w:r>
      <w:r w:rsidR="00CF0146" w:rsidRPr="007A37E1">
        <w:rPr>
          <w:rFonts w:ascii="Arial" w:hAnsi="Arial" w:cs="Arial"/>
          <w:sz w:val="22"/>
          <w:szCs w:val="22"/>
        </w:rPr>
        <w:t>as</w:t>
      </w:r>
      <w:r w:rsidR="00052552" w:rsidRPr="007A37E1">
        <w:rPr>
          <w:rFonts w:ascii="Arial" w:hAnsi="Arial" w:cs="Arial"/>
          <w:sz w:val="22"/>
          <w:szCs w:val="22"/>
        </w:rPr>
        <w:t xml:space="preserve"> a newly discovered dis</w:t>
      </w:r>
      <w:r w:rsidR="00CF0146" w:rsidRPr="007A37E1">
        <w:rPr>
          <w:rFonts w:ascii="Arial" w:hAnsi="Arial" w:cs="Arial"/>
          <w:sz w:val="22"/>
          <w:szCs w:val="22"/>
        </w:rPr>
        <w:t>e</w:t>
      </w:r>
      <w:r w:rsidR="00052552" w:rsidRPr="007A37E1">
        <w:rPr>
          <w:rFonts w:ascii="Arial" w:hAnsi="Arial" w:cs="Arial"/>
          <w:sz w:val="22"/>
          <w:szCs w:val="22"/>
        </w:rPr>
        <w:t>ase with almost identical symptoms as Flu and</w:t>
      </w:r>
      <w:r w:rsidR="00CF0146" w:rsidRPr="007A37E1">
        <w:rPr>
          <w:rFonts w:ascii="Arial" w:hAnsi="Arial" w:cs="Arial"/>
          <w:sz w:val="22"/>
          <w:szCs w:val="22"/>
        </w:rPr>
        <w:t xml:space="preserve"> clearl</w:t>
      </w:r>
      <w:r w:rsidR="00052552" w:rsidRPr="007A37E1">
        <w:rPr>
          <w:rFonts w:ascii="Arial" w:hAnsi="Arial" w:cs="Arial"/>
          <w:sz w:val="22"/>
          <w:szCs w:val="22"/>
        </w:rPr>
        <w:t>y</w:t>
      </w:r>
      <w:r w:rsidR="00CF0146" w:rsidRPr="007A37E1">
        <w:rPr>
          <w:rFonts w:ascii="Arial" w:hAnsi="Arial" w:cs="Arial"/>
          <w:sz w:val="22"/>
          <w:szCs w:val="22"/>
        </w:rPr>
        <w:t xml:space="preserve"> </w:t>
      </w:r>
      <w:r w:rsidR="00052552" w:rsidRPr="007A37E1">
        <w:rPr>
          <w:rFonts w:ascii="Arial" w:hAnsi="Arial" w:cs="Arial"/>
          <w:sz w:val="22"/>
          <w:szCs w:val="22"/>
        </w:rPr>
        <w:t>less devastating results compared to actual WHO statistics relating to Influenza and</w:t>
      </w:r>
      <w:r w:rsidR="00CF0146" w:rsidRPr="007A37E1">
        <w:rPr>
          <w:rFonts w:ascii="Arial" w:hAnsi="Arial" w:cs="Arial"/>
          <w:sz w:val="22"/>
          <w:szCs w:val="22"/>
        </w:rPr>
        <w:t xml:space="preserve"> </w:t>
      </w:r>
      <w:r w:rsidR="00052552" w:rsidRPr="007A37E1">
        <w:rPr>
          <w:rFonts w:ascii="Arial" w:hAnsi="Arial" w:cs="Arial"/>
          <w:sz w:val="22"/>
          <w:szCs w:val="22"/>
        </w:rPr>
        <w:t>Pneumonia (ICD</w:t>
      </w:r>
      <w:r w:rsidR="00CF0146" w:rsidRPr="007A37E1">
        <w:rPr>
          <w:rFonts w:ascii="Arial" w:hAnsi="Arial" w:cs="Arial"/>
          <w:sz w:val="22"/>
          <w:szCs w:val="22"/>
        </w:rPr>
        <w:t>-10</w:t>
      </w:r>
      <w:r w:rsidR="00052552" w:rsidRPr="007A37E1">
        <w:rPr>
          <w:rFonts w:ascii="Arial" w:hAnsi="Arial" w:cs="Arial"/>
          <w:sz w:val="22"/>
          <w:szCs w:val="22"/>
        </w:rPr>
        <w:t xml:space="preserve"> Code J) could evolve in the mass extermination of the peop</w:t>
      </w:r>
      <w:r w:rsidR="00CF0146" w:rsidRPr="007A37E1">
        <w:rPr>
          <w:rFonts w:ascii="Arial" w:hAnsi="Arial" w:cs="Arial"/>
          <w:sz w:val="22"/>
          <w:szCs w:val="22"/>
        </w:rPr>
        <w:t xml:space="preserve">le is </w:t>
      </w:r>
      <w:r w:rsidR="00052552" w:rsidRPr="007A37E1">
        <w:rPr>
          <w:rFonts w:ascii="Arial" w:hAnsi="Arial" w:cs="Arial"/>
          <w:sz w:val="22"/>
          <w:szCs w:val="22"/>
        </w:rPr>
        <w:t>simply irrational and based on absolutely no scientific proof. Therefore</w:t>
      </w:r>
      <w:r w:rsidR="00CF0146" w:rsidRPr="007A37E1">
        <w:rPr>
          <w:rFonts w:ascii="Arial" w:hAnsi="Arial" w:cs="Arial"/>
          <w:sz w:val="22"/>
          <w:szCs w:val="22"/>
        </w:rPr>
        <w:t>,</w:t>
      </w:r>
      <w:r w:rsidR="00052552" w:rsidRPr="007A37E1">
        <w:rPr>
          <w:rFonts w:ascii="Arial" w:hAnsi="Arial" w:cs="Arial"/>
          <w:sz w:val="22"/>
          <w:szCs w:val="22"/>
        </w:rPr>
        <w:t xml:space="preserve"> the continuation of</w:t>
      </w:r>
      <w:r w:rsidR="00CF0146" w:rsidRPr="007A37E1">
        <w:rPr>
          <w:rFonts w:ascii="Arial" w:hAnsi="Arial" w:cs="Arial"/>
          <w:sz w:val="22"/>
          <w:szCs w:val="22"/>
        </w:rPr>
        <w:t xml:space="preserve"> </w:t>
      </w:r>
      <w:r w:rsidR="00052552" w:rsidRPr="007A37E1">
        <w:rPr>
          <w:rFonts w:ascii="Arial" w:hAnsi="Arial" w:cs="Arial"/>
          <w:sz w:val="22"/>
          <w:szCs w:val="22"/>
        </w:rPr>
        <w:t>the Lockd</w:t>
      </w:r>
      <w:r w:rsidR="00CF0146" w:rsidRPr="007A37E1">
        <w:rPr>
          <w:rFonts w:ascii="Arial" w:hAnsi="Arial" w:cs="Arial"/>
          <w:sz w:val="22"/>
          <w:szCs w:val="22"/>
        </w:rPr>
        <w:t>o</w:t>
      </w:r>
      <w:r w:rsidR="00052552" w:rsidRPr="007A37E1">
        <w:rPr>
          <w:rFonts w:ascii="Arial" w:hAnsi="Arial" w:cs="Arial"/>
          <w:sz w:val="22"/>
          <w:szCs w:val="22"/>
        </w:rPr>
        <w:t>wn for that rea</w:t>
      </w:r>
      <w:r w:rsidR="00CF0146" w:rsidRPr="007A37E1">
        <w:rPr>
          <w:rFonts w:ascii="Arial" w:hAnsi="Arial" w:cs="Arial"/>
          <w:sz w:val="22"/>
          <w:szCs w:val="22"/>
        </w:rPr>
        <w:t>son i</w:t>
      </w:r>
      <w:r w:rsidR="00052552" w:rsidRPr="007A37E1">
        <w:rPr>
          <w:rFonts w:ascii="Arial" w:hAnsi="Arial" w:cs="Arial"/>
          <w:sz w:val="22"/>
          <w:szCs w:val="22"/>
        </w:rPr>
        <w:t>s, respectfully, unwarranted a</w:t>
      </w:r>
      <w:r w:rsidR="00CF0146" w:rsidRPr="007A37E1">
        <w:rPr>
          <w:rFonts w:ascii="Arial" w:hAnsi="Arial" w:cs="Arial"/>
          <w:sz w:val="22"/>
          <w:szCs w:val="22"/>
        </w:rPr>
        <w:t>nd</w:t>
      </w:r>
      <w:r w:rsidR="00052552" w:rsidRPr="007A37E1">
        <w:rPr>
          <w:rFonts w:ascii="Arial" w:hAnsi="Arial" w:cs="Arial"/>
          <w:sz w:val="22"/>
          <w:szCs w:val="22"/>
        </w:rPr>
        <w:t xml:space="preserve"> irrational.</w:t>
      </w:r>
      <w:r w:rsidR="00CF0146" w:rsidRPr="007A37E1">
        <w:rPr>
          <w:rFonts w:ascii="Arial" w:hAnsi="Arial" w:cs="Arial"/>
          <w:sz w:val="22"/>
          <w:szCs w:val="22"/>
        </w:rPr>
        <w:t>’</w:t>
      </w:r>
      <w:r w:rsidR="00362387" w:rsidRPr="007A37E1">
        <w:rPr>
          <w:rFonts w:ascii="Arial" w:hAnsi="Arial" w:cs="Arial"/>
          <w:sz w:val="22"/>
          <w:szCs w:val="22"/>
        </w:rPr>
        <w:t xml:space="preserve"> </w:t>
      </w:r>
    </w:p>
    <w:p w14:paraId="15CB5C5F" w14:textId="77777777" w:rsidR="00D27B63" w:rsidRPr="007A37E1" w:rsidRDefault="00D27B63" w:rsidP="00362387">
      <w:pPr>
        <w:tabs>
          <w:tab w:val="left" w:pos="284"/>
          <w:tab w:val="left" w:pos="567"/>
        </w:tabs>
        <w:spacing w:line="360" w:lineRule="auto"/>
        <w:ind w:left="567" w:hanging="567"/>
        <w:jc w:val="both"/>
        <w:rPr>
          <w:rFonts w:ascii="Arial" w:hAnsi="Arial" w:cs="Arial"/>
          <w:color w:val="FF0000"/>
        </w:rPr>
      </w:pPr>
    </w:p>
    <w:p w14:paraId="6155E925" w14:textId="4E287D0F" w:rsidR="0098218F" w:rsidRPr="007A37E1" w:rsidRDefault="00A03E9E" w:rsidP="006748FE">
      <w:pPr>
        <w:tabs>
          <w:tab w:val="left" w:pos="284"/>
          <w:tab w:val="left" w:pos="851"/>
        </w:tabs>
        <w:spacing w:line="360" w:lineRule="auto"/>
        <w:jc w:val="both"/>
        <w:rPr>
          <w:rFonts w:ascii="Arial" w:hAnsi="Arial" w:cs="Arial"/>
        </w:rPr>
      </w:pPr>
      <w:r w:rsidRPr="007A37E1">
        <w:rPr>
          <w:rFonts w:ascii="Arial" w:hAnsi="Arial" w:cs="Arial"/>
        </w:rPr>
        <w:t>[</w:t>
      </w:r>
      <w:r w:rsidR="006F19FE" w:rsidRPr="007A37E1">
        <w:rPr>
          <w:rFonts w:ascii="Arial" w:hAnsi="Arial" w:cs="Arial"/>
        </w:rPr>
        <w:t>15]</w:t>
      </w:r>
      <w:r w:rsidR="006F19FE" w:rsidRPr="007A37E1">
        <w:rPr>
          <w:rFonts w:ascii="Arial" w:hAnsi="Arial" w:cs="Arial"/>
        </w:rPr>
        <w:tab/>
      </w:r>
      <w:r w:rsidR="00F178D6" w:rsidRPr="007A37E1">
        <w:rPr>
          <w:rFonts w:ascii="Arial" w:hAnsi="Arial" w:cs="Arial"/>
        </w:rPr>
        <w:t>T</w:t>
      </w:r>
      <w:r w:rsidR="002B4C8B" w:rsidRPr="007A37E1">
        <w:rPr>
          <w:rFonts w:ascii="Arial" w:hAnsi="Arial" w:cs="Arial"/>
        </w:rPr>
        <w:t xml:space="preserve">here </w:t>
      </w:r>
      <w:r w:rsidR="00D27B63" w:rsidRPr="007A37E1">
        <w:rPr>
          <w:rFonts w:ascii="Arial" w:hAnsi="Arial" w:cs="Arial"/>
        </w:rPr>
        <w:t>are</w:t>
      </w:r>
      <w:r w:rsidR="002B4C8B" w:rsidRPr="007A37E1">
        <w:rPr>
          <w:rFonts w:ascii="Arial" w:hAnsi="Arial" w:cs="Arial"/>
        </w:rPr>
        <w:t xml:space="preserve"> major problem</w:t>
      </w:r>
      <w:r w:rsidR="00D27B63" w:rsidRPr="007A37E1">
        <w:rPr>
          <w:rFonts w:ascii="Arial" w:hAnsi="Arial" w:cs="Arial"/>
        </w:rPr>
        <w:t>s</w:t>
      </w:r>
      <w:r w:rsidR="002B4C8B" w:rsidRPr="007A37E1">
        <w:rPr>
          <w:rFonts w:ascii="Arial" w:hAnsi="Arial" w:cs="Arial"/>
        </w:rPr>
        <w:t xml:space="preserve"> with</w:t>
      </w:r>
      <w:r w:rsidR="00F178D6" w:rsidRPr="007A37E1">
        <w:rPr>
          <w:rFonts w:ascii="Arial" w:hAnsi="Arial" w:cs="Arial"/>
        </w:rPr>
        <w:t xml:space="preserve"> these passages</w:t>
      </w:r>
      <w:r w:rsidR="002B4C8B" w:rsidRPr="007A37E1">
        <w:rPr>
          <w:rFonts w:ascii="Arial" w:hAnsi="Arial" w:cs="Arial"/>
        </w:rPr>
        <w:t xml:space="preserve">. First, </w:t>
      </w:r>
      <w:r w:rsidR="00F177F3" w:rsidRPr="007A37E1">
        <w:rPr>
          <w:rFonts w:ascii="Arial" w:hAnsi="Arial" w:cs="Arial"/>
        </w:rPr>
        <w:t xml:space="preserve">Mr </w:t>
      </w:r>
      <w:r w:rsidR="00B756DE" w:rsidRPr="007A37E1">
        <w:rPr>
          <w:rFonts w:ascii="Arial" w:hAnsi="Arial" w:cs="Arial"/>
        </w:rPr>
        <w:t>d</w:t>
      </w:r>
      <w:r w:rsidR="002B4C8B" w:rsidRPr="007A37E1">
        <w:rPr>
          <w:rFonts w:ascii="Arial" w:hAnsi="Arial" w:cs="Arial"/>
        </w:rPr>
        <w:t>e Beer is no</w:t>
      </w:r>
      <w:r w:rsidR="00F178D6" w:rsidRPr="007A37E1">
        <w:rPr>
          <w:rFonts w:ascii="Arial" w:hAnsi="Arial" w:cs="Arial"/>
        </w:rPr>
        <w:t>t a qualified</w:t>
      </w:r>
      <w:r w:rsidR="002B4C8B" w:rsidRPr="007A37E1">
        <w:rPr>
          <w:rFonts w:ascii="Arial" w:hAnsi="Arial" w:cs="Arial"/>
        </w:rPr>
        <w:t xml:space="preserve"> virologist, pathologist</w:t>
      </w:r>
      <w:r w:rsidR="00E575BF" w:rsidRPr="007A37E1">
        <w:rPr>
          <w:rFonts w:ascii="Arial" w:hAnsi="Arial" w:cs="Arial"/>
        </w:rPr>
        <w:t>,</w:t>
      </w:r>
      <w:r w:rsidR="002B4C8B" w:rsidRPr="007A37E1">
        <w:rPr>
          <w:rFonts w:ascii="Arial" w:hAnsi="Arial" w:cs="Arial"/>
        </w:rPr>
        <w:t xml:space="preserve"> </w:t>
      </w:r>
      <w:r w:rsidR="00E53A1E" w:rsidRPr="007A37E1">
        <w:rPr>
          <w:rFonts w:ascii="Arial" w:hAnsi="Arial" w:cs="Arial"/>
        </w:rPr>
        <w:t>immunologist</w:t>
      </w:r>
      <w:r w:rsidR="00E575BF" w:rsidRPr="007A37E1">
        <w:rPr>
          <w:rFonts w:ascii="Arial" w:hAnsi="Arial" w:cs="Arial"/>
        </w:rPr>
        <w:t>, medical doctor</w:t>
      </w:r>
      <w:r w:rsidR="00E020C5" w:rsidRPr="007A37E1">
        <w:rPr>
          <w:rFonts w:ascii="Arial" w:hAnsi="Arial" w:cs="Arial"/>
        </w:rPr>
        <w:t>, laboratory analyst, or indeed</w:t>
      </w:r>
      <w:r w:rsidR="0020576B" w:rsidRPr="007A37E1">
        <w:rPr>
          <w:rFonts w:ascii="Arial" w:hAnsi="Arial" w:cs="Arial"/>
        </w:rPr>
        <w:t xml:space="preserve"> </w:t>
      </w:r>
      <w:r w:rsidR="00D02B2D" w:rsidRPr="007A37E1">
        <w:rPr>
          <w:rFonts w:ascii="Arial" w:hAnsi="Arial" w:cs="Arial"/>
        </w:rPr>
        <w:t>any kind of</w:t>
      </w:r>
      <w:r w:rsidR="00E020C5" w:rsidRPr="007A37E1">
        <w:rPr>
          <w:rFonts w:ascii="Arial" w:hAnsi="Arial" w:cs="Arial"/>
        </w:rPr>
        <w:t xml:space="preserve"> scientist</w:t>
      </w:r>
      <w:r w:rsidR="00F178D6" w:rsidRPr="007A37E1">
        <w:rPr>
          <w:rFonts w:ascii="Arial" w:hAnsi="Arial" w:cs="Arial"/>
        </w:rPr>
        <w:t>.</w:t>
      </w:r>
      <w:r w:rsidR="00E53A1E" w:rsidRPr="007A37E1">
        <w:rPr>
          <w:rFonts w:ascii="Arial" w:hAnsi="Arial" w:cs="Arial"/>
        </w:rPr>
        <w:t xml:space="preserve"> He does not </w:t>
      </w:r>
      <w:r w:rsidR="00F178D6" w:rsidRPr="007A37E1">
        <w:rPr>
          <w:rFonts w:ascii="Arial" w:hAnsi="Arial" w:cs="Arial"/>
        </w:rPr>
        <w:t>attempt to qualify himself as an expert so as</w:t>
      </w:r>
      <w:r w:rsidR="00E53A1E" w:rsidRPr="007A37E1">
        <w:rPr>
          <w:rFonts w:ascii="Arial" w:hAnsi="Arial" w:cs="Arial"/>
        </w:rPr>
        <w:t xml:space="preserve"> to </w:t>
      </w:r>
      <w:r w:rsidR="00B836A7" w:rsidRPr="007A37E1">
        <w:rPr>
          <w:rFonts w:ascii="Arial" w:hAnsi="Arial" w:cs="Arial"/>
        </w:rPr>
        <w:t>analyse the many report</w:t>
      </w:r>
      <w:r w:rsidR="00172D6B" w:rsidRPr="007A37E1">
        <w:rPr>
          <w:rFonts w:ascii="Arial" w:hAnsi="Arial" w:cs="Arial"/>
        </w:rPr>
        <w:t xml:space="preserve">s </w:t>
      </w:r>
      <w:r w:rsidR="00F178D6" w:rsidRPr="007A37E1">
        <w:rPr>
          <w:rFonts w:ascii="Arial" w:hAnsi="Arial" w:cs="Arial"/>
        </w:rPr>
        <w:t xml:space="preserve">to which </w:t>
      </w:r>
      <w:r w:rsidR="00172D6B" w:rsidRPr="007A37E1">
        <w:rPr>
          <w:rFonts w:ascii="Arial" w:hAnsi="Arial" w:cs="Arial"/>
        </w:rPr>
        <w:t>he refers.</w:t>
      </w:r>
      <w:r w:rsidR="0005619A" w:rsidRPr="007A37E1">
        <w:rPr>
          <w:rFonts w:ascii="Arial" w:hAnsi="Arial" w:cs="Arial"/>
        </w:rPr>
        <w:t xml:space="preserve"> </w:t>
      </w:r>
      <w:r w:rsidR="00F178D6" w:rsidRPr="007A37E1">
        <w:rPr>
          <w:rFonts w:ascii="Arial" w:hAnsi="Arial" w:cs="Arial"/>
          <w:color w:val="000000" w:themeColor="text1"/>
        </w:rPr>
        <w:t xml:space="preserve">Mr </w:t>
      </w:r>
      <w:r w:rsidR="00EF6D85" w:rsidRPr="007A37E1">
        <w:rPr>
          <w:rFonts w:ascii="Arial" w:hAnsi="Arial" w:cs="Arial"/>
          <w:color w:val="000000" w:themeColor="text1"/>
        </w:rPr>
        <w:t>d</w:t>
      </w:r>
      <w:r w:rsidR="00F178D6" w:rsidRPr="007A37E1">
        <w:rPr>
          <w:rFonts w:ascii="Arial" w:hAnsi="Arial" w:cs="Arial"/>
          <w:color w:val="000000" w:themeColor="text1"/>
        </w:rPr>
        <w:t>e Beer does not claim any</w:t>
      </w:r>
      <w:r w:rsidR="00E36B3A" w:rsidRPr="007A37E1">
        <w:rPr>
          <w:rFonts w:ascii="Arial" w:hAnsi="Arial" w:cs="Arial"/>
          <w:color w:val="000000" w:themeColor="text1"/>
        </w:rPr>
        <w:t xml:space="preserve"> </w:t>
      </w:r>
      <w:r w:rsidR="00681A54" w:rsidRPr="007A37E1">
        <w:rPr>
          <w:rFonts w:ascii="Arial" w:hAnsi="Arial" w:cs="Arial"/>
          <w:color w:val="000000" w:themeColor="text1"/>
        </w:rPr>
        <w:t>professional qualification.</w:t>
      </w:r>
      <w:r w:rsidR="00B836A7" w:rsidRPr="007A37E1">
        <w:rPr>
          <w:rFonts w:ascii="Arial" w:hAnsi="Arial" w:cs="Arial"/>
          <w:color w:val="000000" w:themeColor="text1"/>
        </w:rPr>
        <w:t xml:space="preserve"> </w:t>
      </w:r>
      <w:r w:rsidR="00D27B63" w:rsidRPr="007A37E1">
        <w:rPr>
          <w:rFonts w:ascii="Arial" w:hAnsi="Arial" w:cs="Arial"/>
        </w:rPr>
        <w:t>It will be recalled that the only expertise claimed by Mr de Beer is in relation to the conflict between landlords and tenants.</w:t>
      </w:r>
      <w:r w:rsidR="00C8116F" w:rsidRPr="007A37E1">
        <w:rPr>
          <w:rFonts w:ascii="Arial" w:hAnsi="Arial" w:cs="Arial"/>
        </w:rPr>
        <w:t xml:space="preserve"> </w:t>
      </w:r>
      <w:r w:rsidR="00D27B63" w:rsidRPr="007A37E1">
        <w:rPr>
          <w:rFonts w:ascii="Arial" w:hAnsi="Arial" w:cs="Arial"/>
          <w:color w:val="000000" w:themeColor="text1"/>
        </w:rPr>
        <w:t>Further, n</w:t>
      </w:r>
      <w:r w:rsidR="00172D6B" w:rsidRPr="007A37E1">
        <w:rPr>
          <w:rFonts w:ascii="Arial" w:hAnsi="Arial" w:cs="Arial"/>
          <w:color w:val="000000" w:themeColor="text1"/>
        </w:rPr>
        <w:t>one of the reports</w:t>
      </w:r>
      <w:r w:rsidR="002B7AEB" w:rsidRPr="007A37E1">
        <w:rPr>
          <w:rFonts w:ascii="Arial" w:hAnsi="Arial" w:cs="Arial"/>
          <w:color w:val="000000" w:themeColor="text1"/>
        </w:rPr>
        <w:t xml:space="preserve"> </w:t>
      </w:r>
      <w:r w:rsidR="00F178D6" w:rsidRPr="007A37E1">
        <w:rPr>
          <w:rFonts w:ascii="Arial" w:hAnsi="Arial" w:cs="Arial"/>
        </w:rPr>
        <w:t>referenced</w:t>
      </w:r>
      <w:r w:rsidR="00B836A7" w:rsidRPr="007A37E1">
        <w:rPr>
          <w:rFonts w:ascii="Arial" w:hAnsi="Arial" w:cs="Arial"/>
        </w:rPr>
        <w:t xml:space="preserve"> are confirmed by anyone</w:t>
      </w:r>
      <w:r w:rsidR="00172D6B" w:rsidRPr="007A37E1">
        <w:rPr>
          <w:rFonts w:ascii="Arial" w:hAnsi="Arial" w:cs="Arial"/>
        </w:rPr>
        <w:t xml:space="preserve"> qualified to do so</w:t>
      </w:r>
      <w:r w:rsidR="00DC1C21" w:rsidRPr="007A37E1">
        <w:rPr>
          <w:rFonts w:ascii="Arial" w:hAnsi="Arial" w:cs="Arial"/>
        </w:rPr>
        <w:t xml:space="preserve">. </w:t>
      </w:r>
      <w:r w:rsidR="00192D70" w:rsidRPr="007A37E1">
        <w:rPr>
          <w:rFonts w:ascii="Arial" w:hAnsi="Arial" w:cs="Arial"/>
          <w:color w:val="000000" w:themeColor="text1"/>
        </w:rPr>
        <w:t>Th</w:t>
      </w:r>
      <w:r w:rsidR="003F7A32" w:rsidRPr="007A37E1">
        <w:rPr>
          <w:rFonts w:ascii="Arial" w:hAnsi="Arial" w:cs="Arial"/>
          <w:color w:val="000000" w:themeColor="text1"/>
        </w:rPr>
        <w:t>us, their</w:t>
      </w:r>
      <w:r w:rsidR="00192D70" w:rsidRPr="007A37E1">
        <w:rPr>
          <w:rFonts w:ascii="Arial" w:hAnsi="Arial" w:cs="Arial"/>
          <w:color w:val="000000" w:themeColor="text1"/>
        </w:rPr>
        <w:t xml:space="preserve"> </w:t>
      </w:r>
      <w:r w:rsidR="00192D70" w:rsidRPr="007A37E1">
        <w:rPr>
          <w:rFonts w:ascii="Arial" w:hAnsi="Arial" w:cs="Arial"/>
        </w:rPr>
        <w:t xml:space="preserve">authenticity and reliability </w:t>
      </w:r>
      <w:r w:rsidR="00F178D6" w:rsidRPr="007A37E1">
        <w:rPr>
          <w:rFonts w:ascii="Arial" w:hAnsi="Arial" w:cs="Arial"/>
        </w:rPr>
        <w:t>is not proven</w:t>
      </w:r>
      <w:r w:rsidR="00192D70" w:rsidRPr="007A37E1">
        <w:rPr>
          <w:rFonts w:ascii="Arial" w:hAnsi="Arial" w:cs="Arial"/>
        </w:rPr>
        <w:t xml:space="preserve">. </w:t>
      </w:r>
    </w:p>
    <w:p w14:paraId="606A8DB8" w14:textId="77777777" w:rsidR="0098218F" w:rsidRPr="007A37E1" w:rsidRDefault="0098218F" w:rsidP="00B70BB5">
      <w:pPr>
        <w:tabs>
          <w:tab w:val="left" w:pos="284"/>
        </w:tabs>
        <w:spacing w:line="360" w:lineRule="auto"/>
        <w:jc w:val="both"/>
        <w:rPr>
          <w:rFonts w:ascii="Arial" w:hAnsi="Arial" w:cs="Arial"/>
        </w:rPr>
      </w:pPr>
    </w:p>
    <w:p w14:paraId="063B8A90" w14:textId="1B222222" w:rsidR="003731C8" w:rsidRPr="007A37E1" w:rsidRDefault="002858BC" w:rsidP="00B70BB5">
      <w:pPr>
        <w:tabs>
          <w:tab w:val="left" w:pos="284"/>
        </w:tabs>
        <w:spacing w:line="360" w:lineRule="auto"/>
        <w:jc w:val="both"/>
        <w:rPr>
          <w:rFonts w:ascii="Arial" w:hAnsi="Arial" w:cs="Arial"/>
        </w:rPr>
      </w:pPr>
      <w:r w:rsidRPr="007A37E1">
        <w:rPr>
          <w:rFonts w:ascii="Arial" w:hAnsi="Arial" w:cs="Arial"/>
        </w:rPr>
        <w:t>[16]</w:t>
      </w:r>
      <w:r w:rsidRPr="007A37E1">
        <w:rPr>
          <w:rFonts w:ascii="Arial" w:hAnsi="Arial" w:cs="Arial"/>
        </w:rPr>
        <w:tab/>
      </w:r>
      <w:r w:rsidR="0098218F" w:rsidRPr="007A37E1">
        <w:rPr>
          <w:rFonts w:ascii="Arial" w:hAnsi="Arial" w:cs="Arial"/>
        </w:rPr>
        <w:t>T</w:t>
      </w:r>
      <w:r w:rsidR="00A82BD9" w:rsidRPr="007A37E1">
        <w:rPr>
          <w:rFonts w:ascii="Arial" w:hAnsi="Arial" w:cs="Arial"/>
        </w:rPr>
        <w:t>he underlying them</w:t>
      </w:r>
      <w:r w:rsidR="00E04CD8" w:rsidRPr="007A37E1">
        <w:rPr>
          <w:rFonts w:ascii="Arial" w:hAnsi="Arial" w:cs="Arial"/>
        </w:rPr>
        <w:t>e</w:t>
      </w:r>
      <w:r w:rsidR="0098218F" w:rsidRPr="007A37E1">
        <w:rPr>
          <w:rFonts w:ascii="Arial" w:hAnsi="Arial" w:cs="Arial"/>
        </w:rPr>
        <w:t xml:space="preserve"> of the founding affidavit </w:t>
      </w:r>
      <w:r w:rsidR="00735876" w:rsidRPr="007A37E1">
        <w:rPr>
          <w:rFonts w:ascii="Arial" w:hAnsi="Arial" w:cs="Arial"/>
        </w:rPr>
        <w:t>is one of</w:t>
      </w:r>
      <w:r w:rsidR="00E04CD8" w:rsidRPr="007A37E1">
        <w:rPr>
          <w:rFonts w:ascii="Arial" w:hAnsi="Arial" w:cs="Arial"/>
        </w:rPr>
        <w:t xml:space="preserve"> C</w:t>
      </w:r>
      <w:r w:rsidR="006A656C" w:rsidRPr="007A37E1">
        <w:rPr>
          <w:rFonts w:ascii="Arial" w:hAnsi="Arial" w:cs="Arial"/>
        </w:rPr>
        <w:t>OVID</w:t>
      </w:r>
      <w:r w:rsidR="00E04CD8" w:rsidRPr="007A37E1">
        <w:rPr>
          <w:rFonts w:ascii="Arial" w:hAnsi="Arial" w:cs="Arial"/>
        </w:rPr>
        <w:t>-19 denialism.</w:t>
      </w:r>
      <w:r w:rsidR="002D4595" w:rsidRPr="007A37E1">
        <w:rPr>
          <w:rFonts w:ascii="Arial" w:hAnsi="Arial" w:cs="Arial"/>
        </w:rPr>
        <w:t xml:space="preserve"> </w:t>
      </w:r>
      <w:r w:rsidR="00D60127">
        <w:rPr>
          <w:rFonts w:ascii="Arial" w:hAnsi="Arial" w:cs="Arial"/>
        </w:rPr>
        <w:t xml:space="preserve">      </w:t>
      </w:r>
      <w:r w:rsidR="007D450D" w:rsidRPr="007A37E1">
        <w:rPr>
          <w:rFonts w:ascii="Arial" w:hAnsi="Arial" w:cs="Arial"/>
        </w:rPr>
        <w:t xml:space="preserve">In para 6.14 </w:t>
      </w:r>
      <w:r w:rsidR="0098218F" w:rsidRPr="007A37E1">
        <w:rPr>
          <w:rFonts w:ascii="Arial" w:hAnsi="Arial" w:cs="Arial"/>
        </w:rPr>
        <w:t xml:space="preserve">Mr </w:t>
      </w:r>
      <w:r w:rsidR="00EF6D85" w:rsidRPr="007A37E1">
        <w:rPr>
          <w:rFonts w:ascii="Arial" w:hAnsi="Arial" w:cs="Arial"/>
        </w:rPr>
        <w:t>d</w:t>
      </w:r>
      <w:r w:rsidR="007D450D" w:rsidRPr="007A37E1">
        <w:rPr>
          <w:rFonts w:ascii="Arial" w:hAnsi="Arial" w:cs="Arial"/>
        </w:rPr>
        <w:t xml:space="preserve">e Beer makes </w:t>
      </w:r>
      <w:r w:rsidR="007D450D" w:rsidRPr="007A37E1">
        <w:rPr>
          <w:rFonts w:ascii="Arial" w:hAnsi="Arial" w:cs="Arial"/>
          <w:color w:val="000000" w:themeColor="text1"/>
        </w:rPr>
        <w:t>the</w:t>
      </w:r>
      <w:r w:rsidR="003E660B" w:rsidRPr="007A37E1">
        <w:rPr>
          <w:rFonts w:ascii="Arial" w:hAnsi="Arial" w:cs="Arial"/>
          <w:color w:val="000000" w:themeColor="text1"/>
        </w:rPr>
        <w:t xml:space="preserve"> following</w:t>
      </w:r>
      <w:r w:rsidR="007D450D" w:rsidRPr="007A37E1">
        <w:rPr>
          <w:rFonts w:ascii="Arial" w:hAnsi="Arial" w:cs="Arial"/>
          <w:color w:val="000000" w:themeColor="text1"/>
        </w:rPr>
        <w:t xml:space="preserve"> </w:t>
      </w:r>
      <w:r w:rsidR="007D450D" w:rsidRPr="007A37E1">
        <w:rPr>
          <w:rFonts w:ascii="Arial" w:hAnsi="Arial" w:cs="Arial"/>
        </w:rPr>
        <w:t xml:space="preserve">statement: </w:t>
      </w:r>
    </w:p>
    <w:p w14:paraId="5F81DCC2" w14:textId="77777777" w:rsidR="003731C8" w:rsidRPr="007A37E1" w:rsidRDefault="007D450D" w:rsidP="00B70BB5">
      <w:pPr>
        <w:tabs>
          <w:tab w:val="left" w:pos="284"/>
        </w:tabs>
        <w:spacing w:line="360" w:lineRule="auto"/>
        <w:jc w:val="both"/>
        <w:rPr>
          <w:rFonts w:ascii="Arial" w:hAnsi="Arial" w:cs="Arial"/>
        </w:rPr>
      </w:pPr>
      <w:r w:rsidRPr="007A37E1">
        <w:rPr>
          <w:rFonts w:ascii="Arial" w:hAnsi="Arial" w:cs="Arial"/>
          <w:sz w:val="22"/>
          <w:szCs w:val="22"/>
        </w:rPr>
        <w:t xml:space="preserve">‘Knowing that the symptoms </w:t>
      </w:r>
      <w:r w:rsidR="00E575BF" w:rsidRPr="007A37E1">
        <w:rPr>
          <w:rFonts w:ascii="Arial" w:hAnsi="Arial" w:cs="Arial"/>
          <w:sz w:val="22"/>
          <w:szCs w:val="22"/>
        </w:rPr>
        <w:t>of COVID-19 and the Flu are similar I would like to remain in control</w:t>
      </w:r>
      <w:r w:rsidR="00ED6DA6" w:rsidRPr="007A37E1">
        <w:rPr>
          <w:rFonts w:ascii="Arial" w:hAnsi="Arial" w:cs="Arial"/>
          <w:sz w:val="22"/>
          <w:szCs w:val="22"/>
        </w:rPr>
        <w:t xml:space="preserve"> </w:t>
      </w:r>
      <w:r w:rsidR="00EE724E" w:rsidRPr="007A37E1">
        <w:rPr>
          <w:rFonts w:ascii="Arial" w:hAnsi="Arial" w:cs="Arial"/>
          <w:sz w:val="22"/>
          <w:szCs w:val="22"/>
        </w:rPr>
        <w:t>of my own health and body and wish to rely</w:t>
      </w:r>
      <w:r w:rsidR="00513A18" w:rsidRPr="007A37E1">
        <w:rPr>
          <w:rFonts w:ascii="Arial" w:hAnsi="Arial" w:cs="Arial"/>
          <w:sz w:val="22"/>
          <w:szCs w:val="22"/>
        </w:rPr>
        <w:t xml:space="preserve"> </w:t>
      </w:r>
      <w:r w:rsidR="005004F5" w:rsidRPr="007A37E1">
        <w:rPr>
          <w:rFonts w:ascii="Arial" w:hAnsi="Arial" w:cs="Arial"/>
          <w:sz w:val="22"/>
          <w:szCs w:val="22"/>
        </w:rPr>
        <w:t>on my natural immune system to again protect me</w:t>
      </w:r>
      <w:r w:rsidR="008566C6" w:rsidRPr="007A37E1">
        <w:rPr>
          <w:rFonts w:ascii="Arial" w:hAnsi="Arial" w:cs="Arial"/>
          <w:sz w:val="22"/>
          <w:szCs w:val="22"/>
        </w:rPr>
        <w:t xml:space="preserve"> </w:t>
      </w:r>
      <w:r w:rsidR="00D83938" w:rsidRPr="007A37E1">
        <w:rPr>
          <w:rFonts w:ascii="Arial" w:hAnsi="Arial" w:cs="Arial"/>
          <w:sz w:val="22"/>
          <w:szCs w:val="22"/>
        </w:rPr>
        <w:t xml:space="preserve">just </w:t>
      </w:r>
      <w:r w:rsidR="008566C6" w:rsidRPr="007A37E1">
        <w:rPr>
          <w:rFonts w:ascii="Arial" w:hAnsi="Arial" w:cs="Arial"/>
          <w:sz w:val="22"/>
          <w:szCs w:val="22"/>
        </w:rPr>
        <w:t>like it has been doing for the past 43 years, saving me from trillions of invasive viruses and microbes</w:t>
      </w:r>
      <w:r w:rsidR="00A412C7" w:rsidRPr="007A37E1">
        <w:rPr>
          <w:rFonts w:ascii="Arial" w:hAnsi="Arial" w:cs="Arial"/>
          <w:sz w:val="22"/>
          <w:szCs w:val="22"/>
        </w:rPr>
        <w:t xml:space="preserve">. I believe further </w:t>
      </w:r>
      <w:r w:rsidR="000737EB" w:rsidRPr="007A37E1">
        <w:rPr>
          <w:rFonts w:ascii="Arial" w:hAnsi="Arial" w:cs="Arial"/>
          <w:sz w:val="22"/>
          <w:szCs w:val="22"/>
        </w:rPr>
        <w:t xml:space="preserve">that it is </w:t>
      </w:r>
      <w:r w:rsidR="00D83938" w:rsidRPr="007A37E1">
        <w:rPr>
          <w:rFonts w:ascii="Arial" w:hAnsi="Arial" w:cs="Arial"/>
          <w:sz w:val="22"/>
          <w:szCs w:val="22"/>
        </w:rPr>
        <w:t>the</w:t>
      </w:r>
      <w:r w:rsidR="000737EB" w:rsidRPr="007A37E1">
        <w:rPr>
          <w:rFonts w:ascii="Arial" w:hAnsi="Arial" w:cs="Arial"/>
          <w:sz w:val="22"/>
          <w:szCs w:val="22"/>
        </w:rPr>
        <w:t xml:space="preserve"> constitutional right of both our members and myself to choose whether we wish Government to make decisions on our behalf</w:t>
      </w:r>
      <w:r w:rsidR="00186AD6" w:rsidRPr="007A37E1">
        <w:rPr>
          <w:rFonts w:ascii="Arial" w:hAnsi="Arial" w:cs="Arial"/>
          <w:sz w:val="22"/>
          <w:szCs w:val="22"/>
        </w:rPr>
        <w:t xml:space="preserve"> abou</w:t>
      </w:r>
      <w:r w:rsidR="0098218F" w:rsidRPr="007A37E1">
        <w:rPr>
          <w:rFonts w:ascii="Arial" w:hAnsi="Arial" w:cs="Arial"/>
          <w:sz w:val="22"/>
          <w:szCs w:val="22"/>
        </w:rPr>
        <w:t>t our own bodies and health’</w:t>
      </w:r>
      <w:r w:rsidR="002628A7" w:rsidRPr="007A37E1">
        <w:rPr>
          <w:rFonts w:ascii="Arial" w:hAnsi="Arial" w:cs="Arial"/>
          <w:sz w:val="22"/>
          <w:szCs w:val="22"/>
        </w:rPr>
        <w:t>.</w:t>
      </w:r>
      <w:r w:rsidR="0098218F" w:rsidRPr="007A37E1">
        <w:rPr>
          <w:rFonts w:ascii="Arial" w:hAnsi="Arial" w:cs="Arial"/>
        </w:rPr>
        <w:t xml:space="preserve"> </w:t>
      </w:r>
    </w:p>
    <w:p w14:paraId="3F457DCC" w14:textId="13FED805" w:rsidR="000E0FF9" w:rsidRPr="007A37E1" w:rsidRDefault="0098218F" w:rsidP="00B70BB5">
      <w:pPr>
        <w:tabs>
          <w:tab w:val="left" w:pos="284"/>
        </w:tabs>
        <w:spacing w:line="360" w:lineRule="auto"/>
        <w:jc w:val="both"/>
        <w:rPr>
          <w:rFonts w:ascii="Arial" w:hAnsi="Arial" w:cs="Arial"/>
        </w:rPr>
      </w:pPr>
      <w:r w:rsidRPr="007A37E1">
        <w:rPr>
          <w:rFonts w:ascii="Arial" w:hAnsi="Arial" w:cs="Arial"/>
        </w:rPr>
        <w:lastRenderedPageBreak/>
        <w:t xml:space="preserve">Mr </w:t>
      </w:r>
      <w:r w:rsidR="00B756DE" w:rsidRPr="007A37E1">
        <w:rPr>
          <w:rFonts w:ascii="Arial" w:hAnsi="Arial" w:cs="Arial"/>
        </w:rPr>
        <w:t>d</w:t>
      </w:r>
      <w:r w:rsidRPr="007A37E1">
        <w:rPr>
          <w:rFonts w:ascii="Arial" w:hAnsi="Arial" w:cs="Arial"/>
        </w:rPr>
        <w:t>e Beer’s</w:t>
      </w:r>
      <w:r w:rsidR="00B6571F" w:rsidRPr="007A37E1">
        <w:rPr>
          <w:rFonts w:ascii="Arial" w:hAnsi="Arial" w:cs="Arial"/>
        </w:rPr>
        <w:t xml:space="preserve"> real complaint is that a </w:t>
      </w:r>
      <w:r w:rsidR="004D7232" w:rsidRPr="007A37E1">
        <w:rPr>
          <w:rFonts w:ascii="Arial" w:hAnsi="Arial" w:cs="Arial"/>
        </w:rPr>
        <w:t>National State of Disaster is unconstitutional</w:t>
      </w:r>
      <w:r w:rsidR="00B4240F" w:rsidRPr="007A37E1">
        <w:rPr>
          <w:rFonts w:ascii="Arial" w:hAnsi="Arial" w:cs="Arial"/>
        </w:rPr>
        <w:t>,</w:t>
      </w:r>
      <w:r w:rsidR="004D7232" w:rsidRPr="007A37E1">
        <w:rPr>
          <w:rFonts w:ascii="Arial" w:hAnsi="Arial" w:cs="Arial"/>
        </w:rPr>
        <w:t xml:space="preserve"> and he</w:t>
      </w:r>
      <w:r w:rsidR="006A0805" w:rsidRPr="007A37E1">
        <w:rPr>
          <w:rFonts w:ascii="Arial" w:hAnsi="Arial" w:cs="Arial"/>
        </w:rPr>
        <w:t xml:space="preserve"> has the right to rely on his immune system</w:t>
      </w:r>
      <w:r w:rsidR="00B4240F" w:rsidRPr="007A37E1">
        <w:rPr>
          <w:rFonts w:ascii="Arial" w:hAnsi="Arial" w:cs="Arial"/>
        </w:rPr>
        <w:t>,</w:t>
      </w:r>
      <w:r w:rsidR="006A0805" w:rsidRPr="007A37E1">
        <w:rPr>
          <w:rFonts w:ascii="Arial" w:hAnsi="Arial" w:cs="Arial"/>
        </w:rPr>
        <w:t xml:space="preserve"> without Government interference.</w:t>
      </w:r>
      <w:r w:rsidR="004D7232" w:rsidRPr="007A37E1">
        <w:rPr>
          <w:rFonts w:ascii="Arial" w:hAnsi="Arial" w:cs="Arial"/>
        </w:rPr>
        <w:t xml:space="preserve">  </w:t>
      </w:r>
    </w:p>
    <w:p w14:paraId="2A57F873" w14:textId="77777777" w:rsidR="000E0FF9" w:rsidRPr="007A37E1" w:rsidRDefault="000E0FF9" w:rsidP="00B70BB5">
      <w:pPr>
        <w:tabs>
          <w:tab w:val="left" w:pos="284"/>
        </w:tabs>
        <w:spacing w:line="360" w:lineRule="auto"/>
        <w:jc w:val="both"/>
        <w:rPr>
          <w:rFonts w:ascii="Arial" w:hAnsi="Arial" w:cs="Arial"/>
        </w:rPr>
      </w:pPr>
    </w:p>
    <w:p w14:paraId="6E4AC438" w14:textId="7A0356BF" w:rsidR="00B70BB5" w:rsidRPr="007A37E1" w:rsidRDefault="00B70BB5" w:rsidP="00F263EB">
      <w:pPr>
        <w:tabs>
          <w:tab w:val="left" w:pos="284"/>
        </w:tabs>
        <w:spacing w:line="360" w:lineRule="auto"/>
        <w:jc w:val="both"/>
        <w:rPr>
          <w:rFonts w:ascii="Arial" w:hAnsi="Arial" w:cs="Arial"/>
        </w:rPr>
      </w:pPr>
      <w:r w:rsidRPr="007A37E1">
        <w:rPr>
          <w:rFonts w:ascii="Arial" w:hAnsi="Arial" w:cs="Arial"/>
        </w:rPr>
        <w:t>[1</w:t>
      </w:r>
      <w:r w:rsidR="002858BC" w:rsidRPr="007A37E1">
        <w:rPr>
          <w:rFonts w:ascii="Arial" w:hAnsi="Arial" w:cs="Arial"/>
        </w:rPr>
        <w:t>7</w:t>
      </w:r>
      <w:r w:rsidRPr="007A37E1">
        <w:rPr>
          <w:rFonts w:ascii="Arial" w:hAnsi="Arial" w:cs="Arial"/>
        </w:rPr>
        <w:t>]</w:t>
      </w:r>
      <w:r w:rsidRPr="007A37E1">
        <w:rPr>
          <w:rFonts w:ascii="Arial" w:hAnsi="Arial" w:cs="Arial"/>
        </w:rPr>
        <w:tab/>
      </w:r>
      <w:r w:rsidR="0098218F" w:rsidRPr="007A37E1">
        <w:rPr>
          <w:rFonts w:ascii="Arial" w:hAnsi="Arial" w:cs="Arial"/>
        </w:rPr>
        <w:t xml:space="preserve">Mr </w:t>
      </w:r>
      <w:r w:rsidR="00B756DE" w:rsidRPr="007A37E1">
        <w:rPr>
          <w:rFonts w:ascii="Arial" w:hAnsi="Arial" w:cs="Arial"/>
        </w:rPr>
        <w:t>d</w:t>
      </w:r>
      <w:r w:rsidR="0088358F" w:rsidRPr="007A37E1">
        <w:rPr>
          <w:rFonts w:ascii="Arial" w:hAnsi="Arial" w:cs="Arial"/>
        </w:rPr>
        <w:t>e Beer and the</w:t>
      </w:r>
      <w:r w:rsidRPr="007A37E1">
        <w:rPr>
          <w:rFonts w:ascii="Arial" w:hAnsi="Arial" w:cs="Arial"/>
        </w:rPr>
        <w:t xml:space="preserve"> LF</w:t>
      </w:r>
      <w:r w:rsidR="0044345F" w:rsidRPr="007A37E1">
        <w:rPr>
          <w:rFonts w:ascii="Arial" w:hAnsi="Arial" w:cs="Arial"/>
        </w:rPr>
        <w:t>N</w:t>
      </w:r>
      <w:r w:rsidRPr="007A37E1">
        <w:rPr>
          <w:rFonts w:ascii="Arial" w:hAnsi="Arial" w:cs="Arial"/>
        </w:rPr>
        <w:t xml:space="preserve"> </w:t>
      </w:r>
      <w:r w:rsidR="00A465D7" w:rsidRPr="007A37E1">
        <w:rPr>
          <w:rFonts w:ascii="Arial" w:hAnsi="Arial" w:cs="Arial"/>
        </w:rPr>
        <w:t>also</w:t>
      </w:r>
      <w:r w:rsidRPr="007A37E1">
        <w:rPr>
          <w:rFonts w:ascii="Arial" w:hAnsi="Arial" w:cs="Arial"/>
        </w:rPr>
        <w:t xml:space="preserve"> </w:t>
      </w:r>
      <w:r w:rsidR="00A465D7" w:rsidRPr="007A37E1">
        <w:rPr>
          <w:rFonts w:ascii="Arial" w:hAnsi="Arial" w:cs="Arial"/>
        </w:rPr>
        <w:t>contended</w:t>
      </w:r>
      <w:r w:rsidRPr="007A37E1">
        <w:rPr>
          <w:rFonts w:ascii="Arial" w:hAnsi="Arial" w:cs="Arial"/>
        </w:rPr>
        <w:t xml:space="preserve"> that South Africa should have followed the example of Sweden</w:t>
      </w:r>
      <w:r w:rsidR="003B025B" w:rsidRPr="007A37E1">
        <w:rPr>
          <w:rFonts w:ascii="Arial" w:hAnsi="Arial" w:cs="Arial"/>
        </w:rPr>
        <w:t>,</w:t>
      </w:r>
      <w:r w:rsidRPr="007A37E1">
        <w:rPr>
          <w:rFonts w:ascii="Arial" w:hAnsi="Arial" w:cs="Arial"/>
        </w:rPr>
        <w:t xml:space="preserve"> which, rather than engage in a lockdown as </w:t>
      </w:r>
      <w:r w:rsidR="003B025B" w:rsidRPr="007A37E1">
        <w:rPr>
          <w:rFonts w:ascii="Arial" w:hAnsi="Arial" w:cs="Arial"/>
        </w:rPr>
        <w:t>was done in</w:t>
      </w:r>
      <w:r w:rsidR="0025289D" w:rsidRPr="007A37E1">
        <w:rPr>
          <w:rFonts w:ascii="Arial" w:hAnsi="Arial" w:cs="Arial"/>
        </w:rPr>
        <w:t xml:space="preserve"> our country</w:t>
      </w:r>
      <w:r w:rsidRPr="007A37E1">
        <w:rPr>
          <w:rFonts w:ascii="Arial" w:hAnsi="Arial" w:cs="Arial"/>
        </w:rPr>
        <w:t>, concentrated on protecting the elderly and left ‘nature to run its course by way of natural immunization’.</w:t>
      </w:r>
      <w:r w:rsidR="00E04BC4" w:rsidRPr="007A37E1">
        <w:rPr>
          <w:rFonts w:ascii="Arial" w:hAnsi="Arial" w:cs="Arial"/>
        </w:rPr>
        <w:t xml:space="preserve"> The unconfirmed report relied </w:t>
      </w:r>
      <w:r w:rsidR="00F263EB" w:rsidRPr="007A37E1">
        <w:rPr>
          <w:rFonts w:ascii="Arial" w:hAnsi="Arial" w:cs="Arial"/>
        </w:rPr>
        <w:t xml:space="preserve">upon </w:t>
      </w:r>
      <w:r w:rsidR="00FF41B3" w:rsidRPr="007A37E1">
        <w:rPr>
          <w:rFonts w:ascii="Arial" w:hAnsi="Arial" w:cs="Arial"/>
        </w:rPr>
        <w:t xml:space="preserve">in this regard </w:t>
      </w:r>
      <w:r w:rsidR="0098218F" w:rsidRPr="007A37E1">
        <w:rPr>
          <w:rFonts w:ascii="Arial" w:hAnsi="Arial" w:cs="Arial"/>
        </w:rPr>
        <w:t xml:space="preserve">provides no basis as </w:t>
      </w:r>
      <w:r w:rsidR="00FF41B3" w:rsidRPr="007A37E1">
        <w:rPr>
          <w:rFonts w:ascii="Arial" w:hAnsi="Arial" w:cs="Arial"/>
        </w:rPr>
        <w:t xml:space="preserve">to </w:t>
      </w:r>
      <w:r w:rsidR="0098218F" w:rsidRPr="007A37E1">
        <w:rPr>
          <w:rFonts w:ascii="Arial" w:hAnsi="Arial" w:cs="Arial"/>
        </w:rPr>
        <w:t xml:space="preserve">how the experience of </w:t>
      </w:r>
      <w:r w:rsidR="000C0893" w:rsidRPr="007A37E1">
        <w:rPr>
          <w:rFonts w:ascii="Arial" w:hAnsi="Arial" w:cs="Arial"/>
        </w:rPr>
        <w:t xml:space="preserve">Sweden </w:t>
      </w:r>
      <w:r w:rsidR="0098218F" w:rsidRPr="007A37E1">
        <w:rPr>
          <w:rFonts w:ascii="Arial" w:hAnsi="Arial" w:cs="Arial"/>
        </w:rPr>
        <w:t xml:space="preserve">may be </w:t>
      </w:r>
      <w:r w:rsidR="000C0893" w:rsidRPr="007A37E1">
        <w:rPr>
          <w:rFonts w:ascii="Arial" w:hAnsi="Arial" w:cs="Arial"/>
        </w:rPr>
        <w:t>compare</w:t>
      </w:r>
      <w:r w:rsidR="0098218F" w:rsidRPr="007A37E1">
        <w:rPr>
          <w:rFonts w:ascii="Arial" w:hAnsi="Arial" w:cs="Arial"/>
        </w:rPr>
        <w:t>d</w:t>
      </w:r>
      <w:r w:rsidR="000C0893" w:rsidRPr="007A37E1">
        <w:rPr>
          <w:rFonts w:ascii="Arial" w:hAnsi="Arial" w:cs="Arial"/>
        </w:rPr>
        <w:t xml:space="preserve"> to Sout</w:t>
      </w:r>
      <w:r w:rsidR="002D577E" w:rsidRPr="007A37E1">
        <w:rPr>
          <w:rFonts w:ascii="Arial" w:hAnsi="Arial" w:cs="Arial"/>
        </w:rPr>
        <w:t>h A</w:t>
      </w:r>
      <w:r w:rsidR="000C0893" w:rsidRPr="007A37E1">
        <w:rPr>
          <w:rFonts w:ascii="Arial" w:hAnsi="Arial" w:cs="Arial"/>
        </w:rPr>
        <w:t>frica</w:t>
      </w:r>
      <w:r w:rsidR="00F263EB" w:rsidRPr="007A37E1">
        <w:rPr>
          <w:rFonts w:ascii="Arial" w:hAnsi="Arial" w:cs="Arial"/>
        </w:rPr>
        <w:t>.</w:t>
      </w:r>
      <w:r w:rsidRPr="007A37E1">
        <w:rPr>
          <w:rFonts w:ascii="Arial" w:hAnsi="Arial" w:cs="Arial"/>
        </w:rPr>
        <w:t xml:space="preserve"> </w:t>
      </w:r>
    </w:p>
    <w:p w14:paraId="187D898D" w14:textId="77777777" w:rsidR="00C76E5C" w:rsidRPr="007A37E1" w:rsidRDefault="00C76E5C" w:rsidP="00F263EB">
      <w:pPr>
        <w:tabs>
          <w:tab w:val="left" w:pos="284"/>
        </w:tabs>
        <w:spacing w:line="360" w:lineRule="auto"/>
        <w:jc w:val="both"/>
        <w:rPr>
          <w:rFonts w:ascii="Arial" w:hAnsi="Arial" w:cs="Arial"/>
        </w:rPr>
      </w:pPr>
    </w:p>
    <w:p w14:paraId="2183DA18" w14:textId="15B367B0"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[1</w:t>
      </w:r>
      <w:r w:rsidR="002858BC" w:rsidRPr="007A37E1">
        <w:rPr>
          <w:rFonts w:ascii="Arial" w:hAnsi="Arial" w:cs="Arial"/>
        </w:rPr>
        <w:t>8</w:t>
      </w:r>
      <w:r w:rsidRPr="007A37E1">
        <w:rPr>
          <w:rFonts w:ascii="Arial" w:hAnsi="Arial" w:cs="Arial"/>
        </w:rPr>
        <w:t>]</w:t>
      </w:r>
      <w:r w:rsidR="009D1FE4" w:rsidRPr="007A37E1">
        <w:rPr>
          <w:rFonts w:ascii="Arial" w:hAnsi="Arial" w:cs="Arial"/>
        </w:rPr>
        <w:tab/>
      </w:r>
      <w:r w:rsidRPr="007A37E1">
        <w:rPr>
          <w:rFonts w:ascii="Arial" w:hAnsi="Arial" w:cs="Arial"/>
        </w:rPr>
        <w:t>In relation to the mandatory wearing of masks</w:t>
      </w:r>
      <w:r w:rsidR="009B1FA8" w:rsidRPr="007A37E1">
        <w:rPr>
          <w:rFonts w:ascii="Arial" w:hAnsi="Arial" w:cs="Arial"/>
        </w:rPr>
        <w:t>,</w:t>
      </w:r>
      <w:r w:rsidRPr="007A37E1">
        <w:rPr>
          <w:rFonts w:ascii="Arial" w:hAnsi="Arial" w:cs="Arial"/>
        </w:rPr>
        <w:t xml:space="preserve"> the following is said:</w:t>
      </w:r>
    </w:p>
    <w:p w14:paraId="0D376EC9" w14:textId="15CE3A03" w:rsidR="00A636FB" w:rsidRPr="007A37E1" w:rsidRDefault="00A636FB" w:rsidP="00B70BB5">
      <w:pPr>
        <w:tabs>
          <w:tab w:val="left" w:pos="284"/>
        </w:tabs>
        <w:spacing w:line="360" w:lineRule="auto"/>
        <w:jc w:val="both"/>
        <w:rPr>
          <w:rFonts w:ascii="Arial" w:hAnsi="Arial" w:cs="Arial"/>
          <w:sz w:val="22"/>
          <w:szCs w:val="22"/>
        </w:rPr>
      </w:pPr>
      <w:r w:rsidRPr="007A37E1">
        <w:rPr>
          <w:rFonts w:ascii="Arial" w:hAnsi="Arial" w:cs="Arial"/>
          <w:sz w:val="22"/>
          <w:szCs w:val="22"/>
        </w:rPr>
        <w:t>‘I have also noted, that in a country like South Africa where the crime rate is one of the highest in the world that the requirement that everyone must wear masks of sorts, covering both mouth and nose (which in itself has not been proven to prevent people from becoming infected or to preve</w:t>
      </w:r>
      <w:r w:rsidR="001C2BF7" w:rsidRPr="007A37E1">
        <w:rPr>
          <w:rFonts w:ascii="Arial" w:hAnsi="Arial" w:cs="Arial"/>
          <w:sz w:val="22"/>
          <w:szCs w:val="22"/>
        </w:rPr>
        <w:t>nt i</w:t>
      </w:r>
      <w:r w:rsidRPr="007A37E1">
        <w:rPr>
          <w:rFonts w:ascii="Arial" w:hAnsi="Arial" w:cs="Arial"/>
          <w:sz w:val="22"/>
          <w:szCs w:val="22"/>
        </w:rPr>
        <w:t>nfection of others</w:t>
      </w:r>
      <w:r w:rsidR="001C2BF7" w:rsidRPr="007A37E1">
        <w:rPr>
          <w:rFonts w:ascii="Arial" w:hAnsi="Arial" w:cs="Arial"/>
          <w:sz w:val="22"/>
          <w:szCs w:val="22"/>
        </w:rPr>
        <w:t>)</w:t>
      </w:r>
      <w:r w:rsidRPr="007A37E1">
        <w:rPr>
          <w:rFonts w:ascii="Arial" w:hAnsi="Arial" w:cs="Arial"/>
          <w:sz w:val="22"/>
          <w:szCs w:val="22"/>
        </w:rPr>
        <w:t xml:space="preserve"> might become a further crisis where criminals will walk our streets with</w:t>
      </w:r>
      <w:r w:rsidR="001C2BF7" w:rsidRPr="007A37E1">
        <w:rPr>
          <w:rFonts w:ascii="Arial" w:hAnsi="Arial" w:cs="Arial"/>
          <w:sz w:val="22"/>
          <w:szCs w:val="22"/>
        </w:rPr>
        <w:t xml:space="preserve"> </w:t>
      </w:r>
      <w:r w:rsidRPr="007A37E1">
        <w:rPr>
          <w:rFonts w:ascii="Arial" w:hAnsi="Arial" w:cs="Arial"/>
          <w:sz w:val="22"/>
          <w:szCs w:val="22"/>
        </w:rPr>
        <w:t>their face</w:t>
      </w:r>
      <w:r w:rsidR="001C2BF7" w:rsidRPr="007A37E1">
        <w:rPr>
          <w:rFonts w:ascii="Arial" w:hAnsi="Arial" w:cs="Arial"/>
          <w:sz w:val="22"/>
          <w:szCs w:val="22"/>
        </w:rPr>
        <w:t>s c</w:t>
      </w:r>
      <w:r w:rsidRPr="007A37E1">
        <w:rPr>
          <w:rFonts w:ascii="Arial" w:hAnsi="Arial" w:cs="Arial"/>
          <w:sz w:val="22"/>
          <w:szCs w:val="22"/>
        </w:rPr>
        <w:t>overed and the possibility of id</w:t>
      </w:r>
      <w:r w:rsidR="001C2BF7" w:rsidRPr="007A37E1">
        <w:rPr>
          <w:rFonts w:ascii="Arial" w:hAnsi="Arial" w:cs="Arial"/>
          <w:sz w:val="22"/>
          <w:szCs w:val="22"/>
        </w:rPr>
        <w:t>ent</w:t>
      </w:r>
      <w:r w:rsidRPr="007A37E1">
        <w:rPr>
          <w:rFonts w:ascii="Arial" w:hAnsi="Arial" w:cs="Arial"/>
          <w:sz w:val="22"/>
          <w:szCs w:val="22"/>
        </w:rPr>
        <w:t>ifying them would be reduced to almost zero.’</w:t>
      </w:r>
    </w:p>
    <w:p w14:paraId="5A5299B1" w14:textId="495E64F6" w:rsidR="00B70BB5" w:rsidRPr="007A37E1" w:rsidRDefault="00F263EB" w:rsidP="00B70BB5">
      <w:pPr>
        <w:tabs>
          <w:tab w:val="left" w:pos="284"/>
        </w:tabs>
        <w:spacing w:line="360" w:lineRule="auto"/>
        <w:jc w:val="both"/>
        <w:rPr>
          <w:rFonts w:ascii="Arial" w:hAnsi="Arial" w:cs="Arial"/>
        </w:rPr>
      </w:pPr>
      <w:r w:rsidRPr="007A37E1">
        <w:rPr>
          <w:rFonts w:ascii="Arial" w:hAnsi="Arial" w:cs="Arial"/>
        </w:rPr>
        <w:t>T</w:t>
      </w:r>
      <w:r w:rsidR="0048242E" w:rsidRPr="007A37E1">
        <w:rPr>
          <w:rFonts w:ascii="Arial" w:hAnsi="Arial" w:cs="Arial"/>
        </w:rPr>
        <w:t>his assertion</w:t>
      </w:r>
      <w:r w:rsidRPr="007A37E1">
        <w:rPr>
          <w:rFonts w:ascii="Arial" w:hAnsi="Arial" w:cs="Arial"/>
        </w:rPr>
        <w:t xml:space="preserve"> is to be compared</w:t>
      </w:r>
      <w:r w:rsidR="007F7CAF" w:rsidRPr="007A37E1">
        <w:rPr>
          <w:rFonts w:ascii="Arial" w:hAnsi="Arial" w:cs="Arial"/>
        </w:rPr>
        <w:t xml:space="preserve"> with the alternative relief sought by </w:t>
      </w:r>
      <w:r w:rsidRPr="007A37E1">
        <w:rPr>
          <w:rFonts w:ascii="Arial" w:hAnsi="Arial" w:cs="Arial"/>
        </w:rPr>
        <w:t xml:space="preserve">Mr </w:t>
      </w:r>
      <w:r w:rsidR="00B756DE" w:rsidRPr="007A37E1">
        <w:rPr>
          <w:rFonts w:ascii="Arial" w:hAnsi="Arial" w:cs="Arial"/>
        </w:rPr>
        <w:t>d</w:t>
      </w:r>
      <w:r w:rsidR="00EA6436" w:rsidRPr="007A37E1">
        <w:rPr>
          <w:rFonts w:ascii="Arial" w:hAnsi="Arial" w:cs="Arial"/>
        </w:rPr>
        <w:t>e Beer and the LFN</w:t>
      </w:r>
      <w:r w:rsidR="002472BB" w:rsidRPr="007A37E1">
        <w:rPr>
          <w:rFonts w:ascii="Arial" w:hAnsi="Arial" w:cs="Arial"/>
        </w:rPr>
        <w:t xml:space="preserve"> in para</w:t>
      </w:r>
      <w:r w:rsidR="009B1FA8" w:rsidRPr="007A37E1">
        <w:rPr>
          <w:rFonts w:ascii="Arial" w:hAnsi="Arial" w:cs="Arial"/>
        </w:rPr>
        <w:t>s</w:t>
      </w:r>
      <w:r w:rsidR="002472BB" w:rsidRPr="007A37E1">
        <w:rPr>
          <w:rFonts w:ascii="Arial" w:hAnsi="Arial" w:cs="Arial"/>
        </w:rPr>
        <w:t xml:space="preserve"> 6 and 7 of their notice of motion</w:t>
      </w:r>
      <w:r w:rsidR="00C85961" w:rsidRPr="007A37E1">
        <w:rPr>
          <w:rFonts w:ascii="Arial" w:hAnsi="Arial" w:cs="Arial"/>
        </w:rPr>
        <w:t>,</w:t>
      </w:r>
      <w:r w:rsidR="002472BB" w:rsidRPr="007A37E1">
        <w:rPr>
          <w:rFonts w:ascii="Arial" w:hAnsi="Arial" w:cs="Arial"/>
        </w:rPr>
        <w:t xml:space="preserve"> set out in para 2 above</w:t>
      </w:r>
      <w:r w:rsidR="00C85961" w:rsidRPr="007A37E1">
        <w:rPr>
          <w:rFonts w:ascii="Arial" w:hAnsi="Arial" w:cs="Arial"/>
        </w:rPr>
        <w:t>,</w:t>
      </w:r>
      <w:r w:rsidR="002472BB" w:rsidRPr="007A37E1">
        <w:rPr>
          <w:rFonts w:ascii="Arial" w:hAnsi="Arial" w:cs="Arial"/>
        </w:rPr>
        <w:t xml:space="preserve"> in which they accept</w:t>
      </w:r>
      <w:r w:rsidR="00863B47" w:rsidRPr="007A37E1">
        <w:rPr>
          <w:rFonts w:ascii="Arial" w:hAnsi="Arial" w:cs="Arial"/>
        </w:rPr>
        <w:t xml:space="preserve"> masks as a precautionary measure.</w:t>
      </w:r>
    </w:p>
    <w:p w14:paraId="1E4833F1" w14:textId="77777777" w:rsidR="00B70BB5" w:rsidRPr="007A37E1" w:rsidRDefault="00B70BB5" w:rsidP="00B70BB5">
      <w:pPr>
        <w:tabs>
          <w:tab w:val="left" w:pos="284"/>
        </w:tabs>
        <w:spacing w:line="360" w:lineRule="auto"/>
        <w:jc w:val="both"/>
        <w:rPr>
          <w:rFonts w:ascii="Arial" w:hAnsi="Arial" w:cs="Arial"/>
        </w:rPr>
      </w:pPr>
    </w:p>
    <w:p w14:paraId="5F2373D0" w14:textId="552B9F74" w:rsidR="00B70BB5" w:rsidRPr="007A37E1" w:rsidRDefault="003121D4" w:rsidP="00B70BB5">
      <w:pPr>
        <w:tabs>
          <w:tab w:val="left" w:pos="284"/>
        </w:tabs>
        <w:spacing w:line="360" w:lineRule="auto"/>
        <w:jc w:val="both"/>
        <w:rPr>
          <w:rFonts w:ascii="Arial" w:hAnsi="Arial" w:cs="Arial"/>
        </w:rPr>
      </w:pPr>
      <w:r w:rsidRPr="007A37E1">
        <w:rPr>
          <w:rFonts w:ascii="Arial" w:hAnsi="Arial" w:cs="Arial"/>
        </w:rPr>
        <w:t>[1</w:t>
      </w:r>
      <w:r w:rsidR="002858BC" w:rsidRPr="007A37E1">
        <w:rPr>
          <w:rFonts w:ascii="Arial" w:hAnsi="Arial" w:cs="Arial"/>
        </w:rPr>
        <w:t>9</w:t>
      </w:r>
      <w:r w:rsidRPr="007A37E1">
        <w:rPr>
          <w:rFonts w:ascii="Arial" w:hAnsi="Arial" w:cs="Arial"/>
        </w:rPr>
        <w:t>]</w:t>
      </w:r>
      <w:r w:rsidRPr="007A37E1">
        <w:rPr>
          <w:rFonts w:ascii="Arial" w:hAnsi="Arial" w:cs="Arial"/>
        </w:rPr>
        <w:tab/>
      </w:r>
      <w:r w:rsidR="00B70BB5" w:rsidRPr="007A37E1">
        <w:rPr>
          <w:rFonts w:ascii="Arial" w:hAnsi="Arial" w:cs="Arial"/>
        </w:rPr>
        <w:t>We now turn to deal with the basis of opposition on behalf of the Minister. Reliance</w:t>
      </w:r>
      <w:r w:rsidR="00054923" w:rsidRPr="007A37E1">
        <w:rPr>
          <w:rFonts w:ascii="Arial" w:hAnsi="Arial" w:cs="Arial"/>
        </w:rPr>
        <w:t xml:space="preserve"> was placed</w:t>
      </w:r>
      <w:r w:rsidR="00B70BB5" w:rsidRPr="007A37E1">
        <w:rPr>
          <w:rFonts w:ascii="Arial" w:hAnsi="Arial" w:cs="Arial"/>
        </w:rPr>
        <w:t xml:space="preserve"> on the provisions of s 27(1) of the Act, which permits </w:t>
      </w:r>
      <w:r w:rsidR="00F263EB" w:rsidRPr="007A37E1">
        <w:rPr>
          <w:rFonts w:ascii="Arial" w:hAnsi="Arial" w:cs="Arial"/>
        </w:rPr>
        <w:t>the Minister</w:t>
      </w:r>
      <w:r w:rsidR="00B70BB5" w:rsidRPr="007A37E1">
        <w:rPr>
          <w:rFonts w:ascii="Arial" w:hAnsi="Arial" w:cs="Arial"/>
        </w:rPr>
        <w:t xml:space="preserve"> to declare a national state of disaster, if existing legislation and contingency arrangements do not adequately provide for the Executive to deal with a disaster</w:t>
      </w:r>
      <w:r w:rsidR="00281FC6" w:rsidRPr="007A37E1">
        <w:rPr>
          <w:rFonts w:ascii="Arial" w:hAnsi="Arial" w:cs="Arial"/>
        </w:rPr>
        <w:t>,</w:t>
      </w:r>
      <w:r w:rsidR="00B70BB5" w:rsidRPr="007A37E1">
        <w:rPr>
          <w:rFonts w:ascii="Arial" w:hAnsi="Arial" w:cs="Arial"/>
        </w:rPr>
        <w:t xml:space="preserve"> or where special circumstances warrant </w:t>
      </w:r>
      <w:r w:rsidR="00C42AC0" w:rsidRPr="007A37E1">
        <w:rPr>
          <w:rFonts w:ascii="Arial" w:hAnsi="Arial" w:cs="Arial"/>
        </w:rPr>
        <w:t>such a</w:t>
      </w:r>
      <w:r w:rsidR="00B70BB5" w:rsidRPr="007A37E1">
        <w:rPr>
          <w:rFonts w:ascii="Arial" w:hAnsi="Arial" w:cs="Arial"/>
        </w:rPr>
        <w:t xml:space="preserve"> declaratio</w:t>
      </w:r>
      <w:r w:rsidR="00C42AC0" w:rsidRPr="007A37E1">
        <w:rPr>
          <w:rFonts w:ascii="Arial" w:hAnsi="Arial" w:cs="Arial"/>
        </w:rPr>
        <w:t>n</w:t>
      </w:r>
      <w:r w:rsidR="00B70BB5" w:rsidRPr="007A37E1">
        <w:rPr>
          <w:rFonts w:ascii="Arial" w:hAnsi="Arial" w:cs="Arial"/>
        </w:rPr>
        <w:t xml:space="preserve">. The declaration of a </w:t>
      </w:r>
      <w:r w:rsidR="00006A77" w:rsidRPr="007A37E1">
        <w:rPr>
          <w:rFonts w:ascii="Arial" w:hAnsi="Arial" w:cs="Arial"/>
        </w:rPr>
        <w:t xml:space="preserve">national </w:t>
      </w:r>
      <w:r w:rsidR="00B70BB5" w:rsidRPr="007A37E1">
        <w:rPr>
          <w:rFonts w:ascii="Arial" w:hAnsi="Arial" w:cs="Arial"/>
        </w:rPr>
        <w:t>state of disaster, it was pointed out, permitted the promulgation of regulations concerni</w:t>
      </w:r>
      <w:r w:rsidRPr="007A37E1">
        <w:rPr>
          <w:rFonts w:ascii="Arial" w:hAnsi="Arial" w:cs="Arial"/>
        </w:rPr>
        <w:t>ng matters contemplated in s 27</w:t>
      </w:r>
      <w:r w:rsidR="005F1A6C" w:rsidRPr="007A37E1">
        <w:rPr>
          <w:rFonts w:ascii="Arial" w:hAnsi="Arial" w:cs="Arial"/>
        </w:rPr>
        <w:t>(2)</w:t>
      </w:r>
      <w:r w:rsidR="00B70BB5" w:rsidRPr="007A37E1">
        <w:rPr>
          <w:rFonts w:ascii="Arial" w:hAnsi="Arial" w:cs="Arial"/>
          <w:i/>
        </w:rPr>
        <w:t>(a)</w:t>
      </w:r>
      <w:r w:rsidR="00B70BB5" w:rsidRPr="007A37E1">
        <w:rPr>
          <w:rFonts w:ascii="Arial" w:hAnsi="Arial" w:cs="Arial"/>
        </w:rPr>
        <w:t xml:space="preserve"> to </w:t>
      </w:r>
      <w:r w:rsidR="00B70BB5" w:rsidRPr="007A37E1">
        <w:rPr>
          <w:rFonts w:ascii="Arial" w:hAnsi="Arial" w:cs="Arial"/>
          <w:i/>
        </w:rPr>
        <w:t>(o)</w:t>
      </w:r>
      <w:r w:rsidR="00B70BB5" w:rsidRPr="007A37E1">
        <w:rPr>
          <w:rFonts w:ascii="Arial" w:hAnsi="Arial" w:cs="Arial"/>
        </w:rPr>
        <w:t>.</w:t>
      </w:r>
    </w:p>
    <w:p w14:paraId="6E1EDC49" w14:textId="77777777" w:rsidR="00B70BB5" w:rsidRPr="007A37E1" w:rsidRDefault="00B70BB5" w:rsidP="00B70BB5">
      <w:pPr>
        <w:tabs>
          <w:tab w:val="left" w:pos="284"/>
        </w:tabs>
        <w:spacing w:line="360" w:lineRule="auto"/>
        <w:jc w:val="both"/>
        <w:rPr>
          <w:rFonts w:ascii="Arial" w:hAnsi="Arial" w:cs="Arial"/>
        </w:rPr>
      </w:pPr>
    </w:p>
    <w:p w14:paraId="30F5C1AD" w14:textId="15163256" w:rsidR="00B70BB5" w:rsidRPr="007A37E1" w:rsidRDefault="00B70BB5" w:rsidP="00C76E5C">
      <w:pPr>
        <w:tabs>
          <w:tab w:val="left" w:pos="284"/>
          <w:tab w:val="left" w:pos="851"/>
        </w:tabs>
        <w:spacing w:line="360" w:lineRule="auto"/>
        <w:jc w:val="both"/>
        <w:rPr>
          <w:rFonts w:ascii="Arial" w:hAnsi="Arial" w:cs="Arial"/>
        </w:rPr>
      </w:pPr>
      <w:r w:rsidRPr="007A37E1">
        <w:rPr>
          <w:rFonts w:ascii="Arial" w:hAnsi="Arial" w:cs="Arial"/>
        </w:rPr>
        <w:t>[</w:t>
      </w:r>
      <w:r w:rsidR="002858BC" w:rsidRPr="007A37E1">
        <w:rPr>
          <w:rFonts w:ascii="Arial" w:hAnsi="Arial" w:cs="Arial"/>
        </w:rPr>
        <w:t>20</w:t>
      </w:r>
      <w:r w:rsidRPr="007A37E1">
        <w:rPr>
          <w:rFonts w:ascii="Arial" w:hAnsi="Arial" w:cs="Arial"/>
        </w:rPr>
        <w:t>]</w:t>
      </w:r>
      <w:r w:rsidRPr="007A37E1">
        <w:rPr>
          <w:rFonts w:ascii="Arial" w:hAnsi="Arial" w:cs="Arial"/>
        </w:rPr>
        <w:tab/>
        <w:t xml:space="preserve">The deponent on behalf of the Minister, the Director-General of </w:t>
      </w:r>
      <w:r w:rsidR="00B75B89" w:rsidRPr="007A37E1">
        <w:rPr>
          <w:rFonts w:ascii="Arial" w:hAnsi="Arial" w:cs="Arial"/>
        </w:rPr>
        <w:t>the</w:t>
      </w:r>
      <w:r w:rsidRPr="007A37E1">
        <w:rPr>
          <w:rFonts w:ascii="Arial" w:hAnsi="Arial" w:cs="Arial"/>
        </w:rPr>
        <w:t xml:space="preserve"> Department</w:t>
      </w:r>
      <w:r w:rsidR="0048242E" w:rsidRPr="007A37E1">
        <w:rPr>
          <w:rFonts w:ascii="Arial" w:hAnsi="Arial" w:cs="Arial"/>
        </w:rPr>
        <w:t xml:space="preserve"> </w:t>
      </w:r>
      <w:r w:rsidR="00B75B89" w:rsidRPr="007A37E1">
        <w:rPr>
          <w:rFonts w:ascii="Arial" w:hAnsi="Arial" w:cs="Arial"/>
        </w:rPr>
        <w:t xml:space="preserve">of Cooperative Governance </w:t>
      </w:r>
      <w:r w:rsidR="0048242E" w:rsidRPr="007A37E1">
        <w:rPr>
          <w:rFonts w:ascii="Arial" w:hAnsi="Arial" w:cs="Arial"/>
        </w:rPr>
        <w:t>(the Director</w:t>
      </w:r>
      <w:r w:rsidR="00B75B89" w:rsidRPr="007A37E1">
        <w:rPr>
          <w:rFonts w:ascii="Arial" w:hAnsi="Arial" w:cs="Arial"/>
        </w:rPr>
        <w:t>-</w:t>
      </w:r>
      <w:r w:rsidR="0048242E" w:rsidRPr="007A37E1">
        <w:rPr>
          <w:rFonts w:ascii="Arial" w:hAnsi="Arial" w:cs="Arial"/>
        </w:rPr>
        <w:t>General)</w:t>
      </w:r>
      <w:r w:rsidRPr="007A37E1">
        <w:rPr>
          <w:rFonts w:ascii="Arial" w:hAnsi="Arial" w:cs="Arial"/>
        </w:rPr>
        <w:t>, proceeded to set out ‘Notorious Facts about COVID</w:t>
      </w:r>
      <w:r w:rsidR="003F4352" w:rsidRPr="007A37E1">
        <w:rPr>
          <w:rFonts w:ascii="Arial" w:hAnsi="Arial" w:cs="Arial"/>
        </w:rPr>
        <w:t>-</w:t>
      </w:r>
      <w:r w:rsidRPr="007A37E1">
        <w:rPr>
          <w:rFonts w:ascii="Arial" w:hAnsi="Arial" w:cs="Arial"/>
        </w:rPr>
        <w:t>19</w:t>
      </w:r>
      <w:r w:rsidR="003121D4" w:rsidRPr="007A37E1">
        <w:rPr>
          <w:rFonts w:ascii="Arial" w:hAnsi="Arial" w:cs="Arial"/>
        </w:rPr>
        <w:t>’</w:t>
      </w:r>
      <w:r w:rsidRPr="007A37E1">
        <w:rPr>
          <w:rFonts w:ascii="Arial" w:hAnsi="Arial" w:cs="Arial"/>
        </w:rPr>
        <w:t>, based</w:t>
      </w:r>
      <w:r w:rsidR="00F263EB" w:rsidRPr="007A37E1">
        <w:rPr>
          <w:rFonts w:ascii="Arial" w:hAnsi="Arial" w:cs="Arial"/>
        </w:rPr>
        <w:t>,</w:t>
      </w:r>
      <w:r w:rsidRPr="007A37E1">
        <w:rPr>
          <w:rFonts w:ascii="Arial" w:hAnsi="Arial" w:cs="Arial"/>
        </w:rPr>
        <w:t xml:space="preserve"> in large part</w:t>
      </w:r>
      <w:r w:rsidR="00F263EB" w:rsidRPr="007A37E1">
        <w:rPr>
          <w:rFonts w:ascii="Arial" w:hAnsi="Arial" w:cs="Arial"/>
        </w:rPr>
        <w:t>,</w:t>
      </w:r>
      <w:r w:rsidRPr="007A37E1">
        <w:rPr>
          <w:rFonts w:ascii="Arial" w:hAnsi="Arial" w:cs="Arial"/>
        </w:rPr>
        <w:t xml:space="preserve"> on informat</w:t>
      </w:r>
      <w:r w:rsidR="00735876" w:rsidRPr="007A37E1">
        <w:rPr>
          <w:rFonts w:ascii="Arial" w:hAnsi="Arial" w:cs="Arial"/>
        </w:rPr>
        <w:t>ion sourced from</w:t>
      </w:r>
      <w:r w:rsidR="00F12B55" w:rsidRPr="007A37E1">
        <w:rPr>
          <w:rFonts w:ascii="Arial" w:hAnsi="Arial" w:cs="Arial"/>
        </w:rPr>
        <w:t xml:space="preserve"> </w:t>
      </w:r>
      <w:r w:rsidRPr="007A37E1">
        <w:rPr>
          <w:rFonts w:ascii="Arial" w:hAnsi="Arial" w:cs="Arial"/>
        </w:rPr>
        <w:t>U</w:t>
      </w:r>
      <w:r w:rsidR="005F1A6C" w:rsidRPr="007A37E1">
        <w:rPr>
          <w:rFonts w:ascii="Arial" w:hAnsi="Arial" w:cs="Arial"/>
        </w:rPr>
        <w:t>NICEF</w:t>
      </w:r>
      <w:r w:rsidRPr="007A37E1">
        <w:rPr>
          <w:rFonts w:ascii="Arial" w:hAnsi="Arial" w:cs="Arial"/>
        </w:rPr>
        <w:t xml:space="preserve"> and the </w:t>
      </w:r>
      <w:r w:rsidRPr="007A37E1">
        <w:rPr>
          <w:rFonts w:ascii="Arial" w:hAnsi="Arial" w:cs="Arial"/>
        </w:rPr>
        <w:lastRenderedPageBreak/>
        <w:t>World Health Organisation.</w:t>
      </w:r>
      <w:r w:rsidR="00EF6D85" w:rsidRPr="007A37E1">
        <w:rPr>
          <w:rStyle w:val="FootnoteReference"/>
          <w:rFonts w:ascii="Arial" w:hAnsi="Arial" w:cs="Arial"/>
        </w:rPr>
        <w:footnoteReference w:id="5"/>
      </w:r>
      <w:r w:rsidRPr="007A37E1">
        <w:rPr>
          <w:rFonts w:ascii="Arial" w:hAnsi="Arial" w:cs="Arial"/>
        </w:rPr>
        <w:t xml:space="preserve"> The following are the relevant parts</w:t>
      </w:r>
      <w:r w:rsidR="00EE5F67" w:rsidRPr="007A37E1">
        <w:rPr>
          <w:rFonts w:ascii="Arial" w:hAnsi="Arial" w:cs="Arial"/>
        </w:rPr>
        <w:t xml:space="preserve"> of the answering affidavit</w:t>
      </w:r>
      <w:r w:rsidRPr="007A37E1">
        <w:rPr>
          <w:rFonts w:ascii="Arial" w:hAnsi="Arial" w:cs="Arial"/>
        </w:rPr>
        <w:t>:</w:t>
      </w:r>
    </w:p>
    <w:p w14:paraId="1CD5CBE5" w14:textId="0A84C24B" w:rsidR="00981C56" w:rsidRPr="007A37E1" w:rsidRDefault="00055AA5"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w:t>
      </w:r>
      <w:r w:rsidR="00981C56" w:rsidRPr="007A37E1">
        <w:rPr>
          <w:rFonts w:ascii="Arial" w:hAnsi="Arial" w:cs="Arial"/>
          <w:sz w:val="22"/>
          <w:szCs w:val="22"/>
        </w:rPr>
        <w:t>26.</w:t>
      </w:r>
      <w:r w:rsidR="00480A61" w:rsidRPr="007A37E1">
        <w:rPr>
          <w:rFonts w:ascii="Arial" w:hAnsi="Arial" w:cs="Arial"/>
          <w:sz w:val="22"/>
          <w:szCs w:val="22"/>
        </w:rPr>
        <w:tab/>
      </w:r>
      <w:r w:rsidR="00981C56" w:rsidRPr="007A37E1">
        <w:rPr>
          <w:rFonts w:ascii="Arial" w:hAnsi="Arial" w:cs="Arial"/>
          <w:sz w:val="22"/>
          <w:szCs w:val="22"/>
        </w:rPr>
        <w:t>The COVID-19 is a respiratory disease caused by</w:t>
      </w:r>
      <w:r w:rsidR="005C3362" w:rsidRPr="007A37E1">
        <w:rPr>
          <w:rFonts w:ascii="Arial" w:hAnsi="Arial" w:cs="Arial"/>
          <w:sz w:val="22"/>
          <w:szCs w:val="22"/>
        </w:rPr>
        <w:t xml:space="preserve"> </w:t>
      </w:r>
      <w:r w:rsidR="00981C56" w:rsidRPr="007A37E1">
        <w:rPr>
          <w:rFonts w:ascii="Arial" w:hAnsi="Arial" w:cs="Arial"/>
          <w:sz w:val="22"/>
          <w:szCs w:val="22"/>
        </w:rPr>
        <w:t>a novel strain of the</w:t>
      </w:r>
      <w:r w:rsidR="005C3362" w:rsidRPr="007A37E1">
        <w:rPr>
          <w:rFonts w:ascii="Arial" w:hAnsi="Arial" w:cs="Arial"/>
          <w:sz w:val="22"/>
          <w:szCs w:val="22"/>
        </w:rPr>
        <w:t xml:space="preserve"> </w:t>
      </w:r>
      <w:r w:rsidR="00981C56" w:rsidRPr="007A37E1">
        <w:rPr>
          <w:rFonts w:ascii="Arial" w:hAnsi="Arial" w:cs="Arial"/>
          <w:sz w:val="22"/>
          <w:szCs w:val="22"/>
        </w:rPr>
        <w:t>coronavirus.</w:t>
      </w:r>
      <w:r w:rsidR="005C3362" w:rsidRPr="007A37E1">
        <w:rPr>
          <w:rFonts w:ascii="Arial" w:hAnsi="Arial" w:cs="Arial"/>
          <w:sz w:val="22"/>
          <w:szCs w:val="22"/>
        </w:rPr>
        <w:t xml:space="preserve"> </w:t>
      </w:r>
      <w:r w:rsidR="00981C56" w:rsidRPr="007A37E1">
        <w:rPr>
          <w:rFonts w:ascii="Arial" w:hAnsi="Arial" w:cs="Arial"/>
          <w:sz w:val="22"/>
          <w:szCs w:val="22"/>
        </w:rPr>
        <w:t xml:space="preserve">Its symptoms include, amongst others, fever, coughing and shortness of breath. It has virulent effects if left untreated, as it can cause pneumonia or breathing difficulties in fatal cases. In some cases, it can be asymptomatic (showing no signs of fever, coughing or shortness of breath) in the early days of infection, and thus, a person may be infected but not show any physical signs of infection, resulting in the spread of the virus to other people without knowing. </w:t>
      </w:r>
    </w:p>
    <w:p w14:paraId="6C2AEAE4" w14:textId="341D9182" w:rsidR="00D130F6" w:rsidRPr="007A37E1" w:rsidRDefault="00981C56"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27.</w:t>
      </w:r>
      <w:r w:rsidR="00480A61" w:rsidRPr="007A37E1">
        <w:rPr>
          <w:rFonts w:ascii="Arial" w:hAnsi="Arial" w:cs="Arial"/>
          <w:sz w:val="22"/>
          <w:szCs w:val="22"/>
        </w:rPr>
        <w:tab/>
      </w:r>
      <w:r w:rsidRPr="007A37E1">
        <w:rPr>
          <w:rFonts w:ascii="Arial" w:hAnsi="Arial" w:cs="Arial"/>
          <w:sz w:val="22"/>
          <w:szCs w:val="22"/>
        </w:rPr>
        <w:t>COVID-19 is easily transmissible from people who are asymptomatic, pre-symptomatic or mildly symptomatic. It can be transmitted from one person to the other through fluids droplets excreted from the mouth,</w:t>
      </w:r>
      <w:r w:rsidR="00D130F6" w:rsidRPr="007A37E1">
        <w:rPr>
          <w:rFonts w:ascii="Arial" w:hAnsi="Arial" w:cs="Arial"/>
          <w:sz w:val="22"/>
          <w:szCs w:val="22"/>
        </w:rPr>
        <w:t xml:space="preserve"> </w:t>
      </w:r>
      <w:r w:rsidRPr="007A37E1">
        <w:rPr>
          <w:rFonts w:ascii="Arial" w:hAnsi="Arial" w:cs="Arial"/>
          <w:sz w:val="22"/>
          <w:szCs w:val="22"/>
        </w:rPr>
        <w:t xml:space="preserve">nose or eyes of an infected person. As it is an airborne disease, it can </w:t>
      </w:r>
      <w:r w:rsidR="005F1A6C" w:rsidRPr="007A37E1">
        <w:rPr>
          <w:rFonts w:ascii="Arial" w:hAnsi="Arial" w:cs="Arial"/>
          <w:iCs/>
          <w:sz w:val="22"/>
          <w:szCs w:val="22"/>
        </w:rPr>
        <w:t>[stay]</w:t>
      </w:r>
      <w:r w:rsidR="005F1A6C" w:rsidRPr="007A37E1">
        <w:rPr>
          <w:rFonts w:ascii="Arial" w:hAnsi="Arial" w:cs="Arial"/>
          <w:sz w:val="22"/>
          <w:szCs w:val="22"/>
        </w:rPr>
        <w:t xml:space="preserve"> </w:t>
      </w:r>
      <w:r w:rsidRPr="007A37E1">
        <w:rPr>
          <w:rFonts w:ascii="Arial" w:hAnsi="Arial" w:cs="Arial"/>
          <w:sz w:val="22"/>
          <w:szCs w:val="22"/>
        </w:rPr>
        <w:t xml:space="preserve">in the air and on a surface for hours or days where the fluids droplets of the infected person have been transferred through touch, coughing or sneezing. This disease posed a unique challenge in that the carrier of this disease may not be aware that he or she is infected. </w:t>
      </w:r>
    </w:p>
    <w:p w14:paraId="67FA335B" w14:textId="7BB3B7DF" w:rsidR="00981C56" w:rsidRPr="007A37E1" w:rsidRDefault="00981C56"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 xml:space="preserve">28. </w:t>
      </w:r>
      <w:r w:rsidR="00480A61" w:rsidRPr="007A37E1">
        <w:rPr>
          <w:rFonts w:ascii="Arial" w:hAnsi="Arial" w:cs="Arial"/>
          <w:sz w:val="22"/>
          <w:szCs w:val="22"/>
        </w:rPr>
        <w:tab/>
      </w:r>
      <w:r w:rsidRPr="007A37E1">
        <w:rPr>
          <w:rFonts w:ascii="Arial" w:hAnsi="Arial" w:cs="Arial"/>
          <w:sz w:val="22"/>
          <w:szCs w:val="22"/>
        </w:rPr>
        <w:t>Due to its virulen</w:t>
      </w:r>
      <w:r w:rsidR="007A108B" w:rsidRPr="007A37E1">
        <w:rPr>
          <w:rFonts w:ascii="Arial" w:hAnsi="Arial" w:cs="Arial"/>
          <w:sz w:val="22"/>
          <w:szCs w:val="22"/>
        </w:rPr>
        <w:t>t</w:t>
      </w:r>
      <w:r w:rsidRPr="007A37E1">
        <w:rPr>
          <w:rFonts w:ascii="Arial" w:hAnsi="Arial" w:cs="Arial"/>
          <w:sz w:val="22"/>
          <w:szCs w:val="22"/>
        </w:rPr>
        <w:t xml:space="preserve"> nature, it has the potential to infect a large number of people in a short space of time and therefore, its rate of infection is exponential. Currently, there is no known and approved vaccine available, efficacious treatment or cure. </w:t>
      </w:r>
    </w:p>
    <w:p w14:paraId="550A8958" w14:textId="3B268EB2" w:rsidR="00981C56" w:rsidRPr="007A37E1" w:rsidRDefault="00981C56"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29</w:t>
      </w:r>
      <w:r w:rsidR="00D130F6" w:rsidRPr="007A37E1">
        <w:rPr>
          <w:rFonts w:ascii="Arial" w:hAnsi="Arial" w:cs="Arial"/>
          <w:sz w:val="22"/>
          <w:szCs w:val="22"/>
        </w:rPr>
        <w:t>.</w:t>
      </w:r>
      <w:r w:rsidRPr="007A37E1">
        <w:rPr>
          <w:rFonts w:ascii="Arial" w:hAnsi="Arial" w:cs="Arial"/>
          <w:sz w:val="22"/>
          <w:szCs w:val="22"/>
        </w:rPr>
        <w:t xml:space="preserve"> </w:t>
      </w:r>
      <w:r w:rsidR="00480A61" w:rsidRPr="007A37E1">
        <w:rPr>
          <w:rFonts w:ascii="Arial" w:hAnsi="Arial" w:cs="Arial"/>
          <w:sz w:val="22"/>
          <w:szCs w:val="22"/>
        </w:rPr>
        <w:tab/>
      </w:r>
      <w:r w:rsidRPr="007A37E1">
        <w:rPr>
          <w:rFonts w:ascii="Arial" w:hAnsi="Arial" w:cs="Arial"/>
          <w:sz w:val="22"/>
          <w:szCs w:val="22"/>
        </w:rPr>
        <w:t>COVID-19 affects all regardless of race, age, religion, qualification,</w:t>
      </w:r>
      <w:r w:rsidR="00D130F6" w:rsidRPr="007A37E1">
        <w:rPr>
          <w:rFonts w:ascii="Arial" w:hAnsi="Arial" w:cs="Arial"/>
          <w:sz w:val="22"/>
          <w:szCs w:val="22"/>
        </w:rPr>
        <w:t xml:space="preserve"> </w:t>
      </w:r>
      <w:r w:rsidRPr="007A37E1">
        <w:rPr>
          <w:rFonts w:ascii="Arial" w:hAnsi="Arial" w:cs="Arial"/>
          <w:sz w:val="22"/>
          <w:szCs w:val="22"/>
        </w:rPr>
        <w:t>background and standing in the society. The elderly and people with pre</w:t>
      </w:r>
      <w:r w:rsidR="00D130F6" w:rsidRPr="007A37E1">
        <w:rPr>
          <w:rFonts w:ascii="Arial" w:hAnsi="Arial" w:cs="Arial"/>
          <w:sz w:val="22"/>
          <w:szCs w:val="22"/>
        </w:rPr>
        <w:t>-</w:t>
      </w:r>
      <w:r w:rsidRPr="007A37E1">
        <w:rPr>
          <w:rFonts w:ascii="Arial" w:hAnsi="Arial" w:cs="Arial"/>
          <w:sz w:val="22"/>
          <w:szCs w:val="22"/>
        </w:rPr>
        <w:t xml:space="preserve">existing health conditions are the most vulnerable. </w:t>
      </w:r>
    </w:p>
    <w:p w14:paraId="340474B4" w14:textId="075FAD8E" w:rsidR="00981C56" w:rsidRPr="007A37E1" w:rsidRDefault="00981C56"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30</w:t>
      </w:r>
      <w:r w:rsidR="00D130F6" w:rsidRPr="007A37E1">
        <w:rPr>
          <w:rFonts w:ascii="Arial" w:hAnsi="Arial" w:cs="Arial"/>
          <w:sz w:val="22"/>
          <w:szCs w:val="22"/>
        </w:rPr>
        <w:t>.</w:t>
      </w:r>
      <w:r w:rsidRPr="007A37E1">
        <w:rPr>
          <w:rFonts w:ascii="Arial" w:hAnsi="Arial" w:cs="Arial"/>
          <w:sz w:val="22"/>
          <w:szCs w:val="22"/>
        </w:rPr>
        <w:t xml:space="preserve"> </w:t>
      </w:r>
      <w:r w:rsidR="00480A61" w:rsidRPr="007A37E1">
        <w:rPr>
          <w:rFonts w:ascii="Arial" w:hAnsi="Arial" w:cs="Arial"/>
          <w:sz w:val="22"/>
          <w:szCs w:val="22"/>
        </w:rPr>
        <w:tab/>
      </w:r>
      <w:r w:rsidRPr="007A37E1">
        <w:rPr>
          <w:rFonts w:ascii="Arial" w:hAnsi="Arial" w:cs="Arial"/>
          <w:sz w:val="22"/>
          <w:szCs w:val="22"/>
        </w:rPr>
        <w:t xml:space="preserve">On the 30th of January 2020, the </w:t>
      </w:r>
      <w:r w:rsidR="00AE17FA" w:rsidRPr="007A37E1">
        <w:rPr>
          <w:rFonts w:ascii="Arial" w:hAnsi="Arial" w:cs="Arial"/>
          <w:sz w:val="22"/>
          <w:szCs w:val="22"/>
        </w:rPr>
        <w:t>[WHO]</w:t>
      </w:r>
      <w:r w:rsidRPr="007A37E1">
        <w:rPr>
          <w:rFonts w:ascii="Arial" w:hAnsi="Arial" w:cs="Arial"/>
          <w:sz w:val="22"/>
          <w:szCs w:val="22"/>
        </w:rPr>
        <w:t xml:space="preserve"> declared the outbreak of the disease a public health emergency of international concern. On 11th of March 2020, the WHO declared the</w:t>
      </w:r>
      <w:r w:rsidR="00D130F6" w:rsidRPr="007A37E1">
        <w:rPr>
          <w:rFonts w:ascii="Arial" w:hAnsi="Arial" w:cs="Arial"/>
          <w:sz w:val="22"/>
          <w:szCs w:val="22"/>
        </w:rPr>
        <w:t xml:space="preserve"> </w:t>
      </w:r>
      <w:r w:rsidRPr="007A37E1">
        <w:rPr>
          <w:rFonts w:ascii="Arial" w:hAnsi="Arial" w:cs="Arial"/>
          <w:sz w:val="22"/>
          <w:szCs w:val="22"/>
        </w:rPr>
        <w:t xml:space="preserve">COVID-19 a pandemic. </w:t>
      </w:r>
    </w:p>
    <w:p w14:paraId="3C8EF946" w14:textId="7E6956AF" w:rsidR="00981C56" w:rsidRPr="007A37E1" w:rsidRDefault="00981C56"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31</w:t>
      </w:r>
      <w:r w:rsidR="00D130F6" w:rsidRPr="007A37E1">
        <w:rPr>
          <w:rFonts w:ascii="Arial" w:hAnsi="Arial" w:cs="Arial"/>
          <w:sz w:val="22"/>
          <w:szCs w:val="22"/>
        </w:rPr>
        <w:t>.</w:t>
      </w:r>
      <w:r w:rsidRPr="007A37E1">
        <w:rPr>
          <w:rFonts w:ascii="Arial" w:hAnsi="Arial" w:cs="Arial"/>
          <w:sz w:val="22"/>
          <w:szCs w:val="22"/>
        </w:rPr>
        <w:t xml:space="preserve"> </w:t>
      </w:r>
      <w:r w:rsidR="00480A61" w:rsidRPr="007A37E1">
        <w:rPr>
          <w:rFonts w:ascii="Arial" w:hAnsi="Arial" w:cs="Arial"/>
          <w:sz w:val="22"/>
          <w:szCs w:val="22"/>
        </w:rPr>
        <w:tab/>
      </w:r>
      <w:r w:rsidRPr="007A37E1">
        <w:rPr>
          <w:rFonts w:ascii="Arial" w:hAnsi="Arial" w:cs="Arial"/>
          <w:sz w:val="22"/>
          <w:szCs w:val="22"/>
        </w:rPr>
        <w:t>As the infection rates rose exponentially,</w:t>
      </w:r>
      <w:r w:rsidR="00D130F6" w:rsidRPr="007A37E1">
        <w:rPr>
          <w:rFonts w:ascii="Arial" w:hAnsi="Arial" w:cs="Arial"/>
          <w:sz w:val="22"/>
          <w:szCs w:val="22"/>
        </w:rPr>
        <w:t xml:space="preserve"> </w:t>
      </w:r>
      <w:r w:rsidRPr="007A37E1">
        <w:rPr>
          <w:rFonts w:ascii="Arial" w:hAnsi="Arial" w:cs="Arial"/>
          <w:sz w:val="22"/>
          <w:szCs w:val="22"/>
        </w:rPr>
        <w:t>countries around the world saw their healthcare systems overwhelmed by infected people overnight in need of hospitalisation, intensive care and respiratory support for prolonged periods of time. The death toll in some of the countries rose significantly</w:t>
      </w:r>
      <w:r w:rsidR="00AE17FA" w:rsidRPr="007A37E1">
        <w:rPr>
          <w:rFonts w:ascii="Arial" w:hAnsi="Arial" w:cs="Arial"/>
          <w:sz w:val="22"/>
          <w:szCs w:val="22"/>
        </w:rPr>
        <w:t>,</w:t>
      </w:r>
      <w:r w:rsidRPr="007A37E1">
        <w:rPr>
          <w:rFonts w:ascii="Arial" w:hAnsi="Arial" w:cs="Arial"/>
          <w:sz w:val="22"/>
          <w:szCs w:val="22"/>
        </w:rPr>
        <w:t xml:space="preserve"> for example, in Italy and Spain. </w:t>
      </w:r>
    </w:p>
    <w:p w14:paraId="34BA4873" w14:textId="6C4A4DD7" w:rsidR="00981C56" w:rsidRPr="007A37E1" w:rsidRDefault="00981C56"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lastRenderedPageBreak/>
        <w:t xml:space="preserve">32. </w:t>
      </w:r>
      <w:r w:rsidR="00480A61" w:rsidRPr="007A37E1">
        <w:rPr>
          <w:rFonts w:ascii="Arial" w:hAnsi="Arial" w:cs="Arial"/>
          <w:sz w:val="22"/>
          <w:szCs w:val="22"/>
        </w:rPr>
        <w:tab/>
      </w:r>
      <w:r w:rsidRPr="007A37E1">
        <w:rPr>
          <w:rFonts w:ascii="Arial" w:hAnsi="Arial" w:cs="Arial"/>
          <w:sz w:val="22"/>
          <w:szCs w:val="22"/>
        </w:rPr>
        <w:t xml:space="preserve">In early March 2020, when the first COVID-19 case was confirmed in the Republic of South Africa, it became clear that the South African population would be affected. There was a high probability that some individuals would be infected by the coronavirus as evidenced by the events in China and other countries. Given South Africa's unique challenges relating to the provision of public healthcare, </w:t>
      </w:r>
      <w:r w:rsidRPr="007A37E1">
        <w:rPr>
          <w:rFonts w:ascii="Arial" w:hAnsi="Arial" w:cs="Arial"/>
          <w:i/>
          <w:sz w:val="22"/>
          <w:szCs w:val="22"/>
        </w:rPr>
        <w:t>inter alia</w:t>
      </w:r>
      <w:r w:rsidRPr="007A37E1">
        <w:rPr>
          <w:rFonts w:ascii="Arial" w:hAnsi="Arial" w:cs="Arial"/>
          <w:sz w:val="22"/>
          <w:szCs w:val="22"/>
        </w:rPr>
        <w:t xml:space="preserve"> socio</w:t>
      </w:r>
      <w:r w:rsidR="00E771E3" w:rsidRPr="007A37E1">
        <w:rPr>
          <w:rFonts w:ascii="Arial" w:hAnsi="Arial" w:cs="Arial"/>
          <w:sz w:val="22"/>
          <w:szCs w:val="22"/>
        </w:rPr>
        <w:t>-</w:t>
      </w:r>
      <w:r w:rsidRPr="007A37E1">
        <w:rPr>
          <w:rFonts w:ascii="Arial" w:hAnsi="Arial" w:cs="Arial"/>
          <w:sz w:val="22"/>
          <w:szCs w:val="22"/>
        </w:rPr>
        <w:t>economic challenges, we feared the worst and the government had to be proactive in putting plans i</w:t>
      </w:r>
      <w:r w:rsidR="00D130F6" w:rsidRPr="007A37E1">
        <w:rPr>
          <w:rFonts w:ascii="Arial" w:hAnsi="Arial" w:cs="Arial"/>
          <w:sz w:val="22"/>
          <w:szCs w:val="22"/>
        </w:rPr>
        <w:t>n motion to manage the COVID-19.</w:t>
      </w:r>
    </w:p>
    <w:p w14:paraId="6C983A03" w14:textId="463C3F08" w:rsidR="00981C56" w:rsidRPr="007A37E1" w:rsidRDefault="00981C56"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 xml:space="preserve">33. </w:t>
      </w:r>
      <w:r w:rsidR="00480A61" w:rsidRPr="007A37E1">
        <w:rPr>
          <w:rFonts w:ascii="Arial" w:hAnsi="Arial" w:cs="Arial"/>
          <w:sz w:val="22"/>
          <w:szCs w:val="22"/>
        </w:rPr>
        <w:tab/>
      </w:r>
      <w:r w:rsidRPr="007A37E1">
        <w:rPr>
          <w:rFonts w:ascii="Arial" w:hAnsi="Arial" w:cs="Arial"/>
          <w:sz w:val="22"/>
          <w:szCs w:val="22"/>
        </w:rPr>
        <w:t>The government sought medical advice from medical and scientific experts (National Corona</w:t>
      </w:r>
      <w:r w:rsidR="00A70EE9" w:rsidRPr="007A37E1">
        <w:rPr>
          <w:rFonts w:ascii="Arial" w:hAnsi="Arial" w:cs="Arial"/>
          <w:sz w:val="22"/>
          <w:szCs w:val="22"/>
        </w:rPr>
        <w:t>virus</w:t>
      </w:r>
      <w:r w:rsidRPr="007A37E1">
        <w:rPr>
          <w:rFonts w:ascii="Arial" w:hAnsi="Arial" w:cs="Arial"/>
          <w:sz w:val="22"/>
          <w:szCs w:val="22"/>
        </w:rPr>
        <w:t xml:space="preserve"> Task Team) to prepare in order to manage and minimise the risk of infection and slow the rate of infection to prevent the ov</w:t>
      </w:r>
      <w:r w:rsidR="00D130F6" w:rsidRPr="007A37E1">
        <w:rPr>
          <w:rFonts w:ascii="Arial" w:hAnsi="Arial" w:cs="Arial"/>
          <w:sz w:val="22"/>
          <w:szCs w:val="22"/>
        </w:rPr>
        <w:t>e</w:t>
      </w:r>
      <w:r w:rsidRPr="007A37E1">
        <w:rPr>
          <w:rFonts w:ascii="Arial" w:hAnsi="Arial" w:cs="Arial"/>
          <w:sz w:val="22"/>
          <w:szCs w:val="22"/>
        </w:rPr>
        <w:t>rwhelming of the public healthcare facilities. There is no existing</w:t>
      </w:r>
      <w:r w:rsidR="00D130F6" w:rsidRPr="007A37E1">
        <w:rPr>
          <w:rFonts w:ascii="Arial" w:hAnsi="Arial" w:cs="Arial"/>
          <w:sz w:val="22"/>
          <w:szCs w:val="22"/>
        </w:rPr>
        <w:t xml:space="preserve"> </w:t>
      </w:r>
      <w:r w:rsidRPr="007A37E1">
        <w:rPr>
          <w:rFonts w:ascii="Arial" w:hAnsi="Arial" w:cs="Arial"/>
          <w:sz w:val="22"/>
          <w:szCs w:val="22"/>
        </w:rPr>
        <w:t xml:space="preserve">legislation and contingency arrangements to adequately manage COVID-19. </w:t>
      </w:r>
    </w:p>
    <w:p w14:paraId="6F70805C" w14:textId="1B239DBA" w:rsidR="00981C56" w:rsidRPr="007A37E1" w:rsidRDefault="00981C56"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34</w:t>
      </w:r>
      <w:r w:rsidR="00D130F6" w:rsidRPr="007A37E1">
        <w:rPr>
          <w:rFonts w:ascii="Arial" w:hAnsi="Arial" w:cs="Arial"/>
          <w:sz w:val="22"/>
          <w:szCs w:val="22"/>
        </w:rPr>
        <w:t>.</w:t>
      </w:r>
      <w:r w:rsidRPr="007A37E1">
        <w:rPr>
          <w:rFonts w:ascii="Arial" w:hAnsi="Arial" w:cs="Arial"/>
          <w:sz w:val="22"/>
          <w:szCs w:val="22"/>
        </w:rPr>
        <w:t xml:space="preserve"> </w:t>
      </w:r>
      <w:r w:rsidR="00480A61" w:rsidRPr="007A37E1">
        <w:rPr>
          <w:rFonts w:ascii="Arial" w:hAnsi="Arial" w:cs="Arial"/>
          <w:sz w:val="22"/>
          <w:szCs w:val="22"/>
        </w:rPr>
        <w:tab/>
      </w:r>
      <w:r w:rsidRPr="007A37E1">
        <w:rPr>
          <w:rFonts w:ascii="Arial" w:hAnsi="Arial" w:cs="Arial"/>
          <w:sz w:val="22"/>
          <w:szCs w:val="22"/>
        </w:rPr>
        <w:t xml:space="preserve">The WHO also issued guidelines as to how counties can slow the rate of infection and prevent many deaths. The government also learnt from other countries which were already grappling with the measures </w:t>
      </w:r>
      <w:r w:rsidR="00D130F6" w:rsidRPr="007A37E1">
        <w:rPr>
          <w:rFonts w:ascii="Arial" w:hAnsi="Arial" w:cs="Arial"/>
          <w:sz w:val="22"/>
          <w:szCs w:val="22"/>
        </w:rPr>
        <w:t xml:space="preserve">to </w:t>
      </w:r>
      <w:r w:rsidRPr="007A37E1">
        <w:rPr>
          <w:rFonts w:ascii="Arial" w:hAnsi="Arial" w:cs="Arial"/>
          <w:sz w:val="22"/>
          <w:szCs w:val="22"/>
        </w:rPr>
        <w:t>contain the disease</w:t>
      </w:r>
      <w:r w:rsidR="00D130F6" w:rsidRPr="007A37E1">
        <w:rPr>
          <w:rFonts w:ascii="Arial" w:hAnsi="Arial" w:cs="Arial"/>
          <w:sz w:val="22"/>
          <w:szCs w:val="22"/>
        </w:rPr>
        <w:t>.</w:t>
      </w:r>
      <w:r w:rsidRPr="007A37E1">
        <w:rPr>
          <w:rFonts w:ascii="Arial" w:hAnsi="Arial" w:cs="Arial"/>
          <w:sz w:val="22"/>
          <w:szCs w:val="22"/>
        </w:rPr>
        <w:t xml:space="preserve"> </w:t>
      </w:r>
    </w:p>
    <w:p w14:paraId="1D9C61D4" w14:textId="7F73BFFC" w:rsidR="00981C56" w:rsidRPr="007A37E1" w:rsidRDefault="00981C56"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 xml:space="preserve">35. </w:t>
      </w:r>
      <w:r w:rsidR="00480A61" w:rsidRPr="007A37E1">
        <w:rPr>
          <w:rFonts w:ascii="Arial" w:hAnsi="Arial" w:cs="Arial"/>
          <w:sz w:val="22"/>
          <w:szCs w:val="22"/>
        </w:rPr>
        <w:tab/>
      </w:r>
      <w:r w:rsidRPr="007A37E1">
        <w:rPr>
          <w:rFonts w:ascii="Arial" w:hAnsi="Arial" w:cs="Arial"/>
          <w:sz w:val="22"/>
          <w:szCs w:val="22"/>
        </w:rPr>
        <w:t xml:space="preserve">An effective means to slow the rate of infection and </w:t>
      </w:r>
      <w:r w:rsidR="00055AA5" w:rsidRPr="007A37E1">
        <w:rPr>
          <w:rFonts w:ascii="Arial" w:hAnsi="Arial" w:cs="Arial"/>
          <w:sz w:val="22"/>
          <w:szCs w:val="22"/>
        </w:rPr>
        <w:t>“</w:t>
      </w:r>
      <w:r w:rsidRPr="007A37E1">
        <w:rPr>
          <w:rFonts w:ascii="Arial" w:hAnsi="Arial" w:cs="Arial"/>
          <w:sz w:val="22"/>
          <w:szCs w:val="22"/>
        </w:rPr>
        <w:t>flatten the curve</w:t>
      </w:r>
      <w:r w:rsidR="00055AA5" w:rsidRPr="007A37E1">
        <w:rPr>
          <w:rFonts w:ascii="Arial" w:hAnsi="Arial" w:cs="Arial"/>
          <w:sz w:val="22"/>
          <w:szCs w:val="22"/>
        </w:rPr>
        <w:t>”</w:t>
      </w:r>
      <w:r w:rsidRPr="007A37E1">
        <w:rPr>
          <w:rFonts w:ascii="Arial" w:hAnsi="Arial" w:cs="Arial"/>
          <w:sz w:val="22"/>
          <w:szCs w:val="22"/>
        </w:rPr>
        <w:t xml:space="preserve"> was to emplo</w:t>
      </w:r>
      <w:r w:rsidR="00D130F6" w:rsidRPr="007A37E1">
        <w:rPr>
          <w:rFonts w:ascii="Arial" w:hAnsi="Arial" w:cs="Arial"/>
          <w:sz w:val="22"/>
          <w:szCs w:val="22"/>
        </w:rPr>
        <w:t>y measures to manage the COVID-1</w:t>
      </w:r>
      <w:r w:rsidRPr="007A37E1">
        <w:rPr>
          <w:rFonts w:ascii="Arial" w:hAnsi="Arial" w:cs="Arial"/>
          <w:sz w:val="22"/>
          <w:szCs w:val="22"/>
        </w:rPr>
        <w:t xml:space="preserve">9 by ensuring a coordinated response and putting the South African national resources of the national government together to deal with this pandemic. </w:t>
      </w:r>
    </w:p>
    <w:p w14:paraId="066A24F3" w14:textId="55739C48" w:rsidR="00981C56" w:rsidRPr="007A37E1" w:rsidRDefault="00981C56" w:rsidP="00480A6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 xml:space="preserve">36. </w:t>
      </w:r>
      <w:r w:rsidR="00480A61" w:rsidRPr="007A37E1">
        <w:rPr>
          <w:rFonts w:ascii="Arial" w:hAnsi="Arial" w:cs="Arial"/>
          <w:sz w:val="22"/>
          <w:szCs w:val="22"/>
        </w:rPr>
        <w:tab/>
      </w:r>
      <w:r w:rsidRPr="007A37E1">
        <w:rPr>
          <w:rFonts w:ascii="Arial" w:hAnsi="Arial" w:cs="Arial"/>
          <w:sz w:val="22"/>
          <w:szCs w:val="22"/>
        </w:rPr>
        <w:t xml:space="preserve">There were no effective measures to manage the risk of infection or prevent infection and to ensure that the government was prepared to deal with </w:t>
      </w:r>
      <w:r w:rsidR="00DD66BC" w:rsidRPr="007A37E1">
        <w:rPr>
          <w:rFonts w:ascii="Arial" w:hAnsi="Arial" w:cs="Arial"/>
          <w:sz w:val="22"/>
          <w:szCs w:val="22"/>
        </w:rPr>
        <w:t xml:space="preserve">[the] </w:t>
      </w:r>
      <w:r w:rsidRPr="007A37E1">
        <w:rPr>
          <w:rFonts w:ascii="Arial" w:hAnsi="Arial" w:cs="Arial"/>
          <w:sz w:val="22"/>
          <w:szCs w:val="22"/>
        </w:rPr>
        <w:t>COVID-19 pandemic. The government had to consider placing measures to deal with the outbreak, considering the consequences of those measures on the South</w:t>
      </w:r>
      <w:r w:rsidR="00D130F6" w:rsidRPr="007A37E1">
        <w:rPr>
          <w:rFonts w:ascii="Arial" w:hAnsi="Arial" w:cs="Arial"/>
          <w:sz w:val="22"/>
          <w:szCs w:val="22"/>
        </w:rPr>
        <w:t xml:space="preserve"> African population and economy.</w:t>
      </w:r>
      <w:r w:rsidRPr="007A37E1">
        <w:rPr>
          <w:rFonts w:ascii="Arial" w:hAnsi="Arial" w:cs="Arial"/>
          <w:sz w:val="22"/>
          <w:szCs w:val="22"/>
        </w:rPr>
        <w:t xml:space="preserve"> </w:t>
      </w:r>
    </w:p>
    <w:p w14:paraId="18AB3058" w14:textId="0EDADEE1" w:rsidR="00981C56" w:rsidRPr="007A37E1" w:rsidRDefault="00981C56" w:rsidP="00480A61">
      <w:pPr>
        <w:tabs>
          <w:tab w:val="left" w:pos="284"/>
          <w:tab w:val="left" w:pos="567"/>
        </w:tabs>
        <w:spacing w:line="360" w:lineRule="auto"/>
        <w:ind w:left="567" w:hanging="567"/>
        <w:jc w:val="both"/>
        <w:rPr>
          <w:rFonts w:ascii="Arial" w:hAnsi="Arial" w:cs="Arial"/>
          <w:sz w:val="22"/>
          <w:szCs w:val="22"/>
        </w:rPr>
      </w:pPr>
      <w:r w:rsidRPr="007A37E1">
        <w:rPr>
          <w:rFonts w:ascii="Arial" w:hAnsi="Arial" w:cs="Arial"/>
          <w:sz w:val="22"/>
          <w:szCs w:val="22"/>
        </w:rPr>
        <w:t xml:space="preserve">37. </w:t>
      </w:r>
      <w:r w:rsidR="00480A61" w:rsidRPr="007A37E1">
        <w:rPr>
          <w:rFonts w:ascii="Arial" w:hAnsi="Arial" w:cs="Arial"/>
          <w:sz w:val="22"/>
          <w:szCs w:val="22"/>
        </w:rPr>
        <w:tab/>
      </w:r>
      <w:r w:rsidRPr="007A37E1">
        <w:rPr>
          <w:rFonts w:ascii="Arial" w:hAnsi="Arial" w:cs="Arial"/>
          <w:sz w:val="22"/>
          <w:szCs w:val="22"/>
        </w:rPr>
        <w:t>The purpose of curbing the spread of the COVID-19</w:t>
      </w:r>
      <w:r w:rsidR="00D130F6" w:rsidRPr="007A37E1">
        <w:rPr>
          <w:rFonts w:ascii="Arial" w:hAnsi="Arial" w:cs="Arial"/>
          <w:sz w:val="22"/>
          <w:szCs w:val="22"/>
        </w:rPr>
        <w:t xml:space="preserve"> disease was to </w:t>
      </w:r>
      <w:r w:rsidRPr="007A37E1">
        <w:rPr>
          <w:rFonts w:ascii="Arial" w:hAnsi="Arial" w:cs="Arial"/>
          <w:sz w:val="22"/>
          <w:szCs w:val="22"/>
        </w:rPr>
        <w:t>save lives. After consultation with the Minister of Health and Cabinet, it was agreed that the most effective measures to manage COVID-19 and</w:t>
      </w:r>
      <w:r w:rsidR="00D130F6" w:rsidRPr="007A37E1">
        <w:rPr>
          <w:rFonts w:ascii="Arial" w:hAnsi="Arial" w:cs="Arial"/>
          <w:sz w:val="22"/>
          <w:szCs w:val="22"/>
        </w:rPr>
        <w:t xml:space="preserve"> </w:t>
      </w:r>
      <w:r w:rsidRPr="007A37E1">
        <w:rPr>
          <w:rFonts w:ascii="Arial" w:hAnsi="Arial" w:cs="Arial"/>
          <w:sz w:val="22"/>
          <w:szCs w:val="22"/>
        </w:rPr>
        <w:t>the consequences of this disease on the society and the economy, was to declare a national state of disaster in terms of section 27(1) of the</w:t>
      </w:r>
      <w:r w:rsidR="00D130F6" w:rsidRPr="007A37E1">
        <w:rPr>
          <w:rFonts w:ascii="Arial" w:hAnsi="Arial" w:cs="Arial"/>
          <w:sz w:val="22"/>
          <w:szCs w:val="22"/>
        </w:rPr>
        <w:t xml:space="preserve"> </w:t>
      </w:r>
      <w:r w:rsidRPr="007A37E1">
        <w:rPr>
          <w:rFonts w:ascii="Arial" w:hAnsi="Arial" w:cs="Arial"/>
          <w:sz w:val="22"/>
          <w:szCs w:val="22"/>
        </w:rPr>
        <w:t>DMA. Thus, on the 15th March 2020, the Minister declared a national state of disaster</w:t>
      </w:r>
      <w:r w:rsidR="00D130F6" w:rsidRPr="007A37E1">
        <w:rPr>
          <w:rFonts w:ascii="Arial" w:hAnsi="Arial" w:cs="Arial"/>
          <w:sz w:val="22"/>
          <w:szCs w:val="22"/>
        </w:rPr>
        <w:t>.’</w:t>
      </w:r>
    </w:p>
    <w:p w14:paraId="3B95166E" w14:textId="0D5FE040" w:rsidR="008972EA" w:rsidRPr="007A37E1" w:rsidRDefault="00B6350F" w:rsidP="008972EA">
      <w:pPr>
        <w:tabs>
          <w:tab w:val="left" w:pos="284"/>
        </w:tabs>
        <w:spacing w:line="360" w:lineRule="auto"/>
        <w:jc w:val="both"/>
        <w:rPr>
          <w:rFonts w:ascii="Arial" w:hAnsi="Arial" w:cs="Arial"/>
        </w:rPr>
      </w:pPr>
      <w:r w:rsidRPr="007A37E1">
        <w:rPr>
          <w:rFonts w:ascii="Arial" w:hAnsi="Arial" w:cs="Arial"/>
        </w:rPr>
        <w:t>It is to b</w:t>
      </w:r>
      <w:r w:rsidR="0048242E" w:rsidRPr="007A37E1">
        <w:rPr>
          <w:rFonts w:ascii="Arial" w:hAnsi="Arial" w:cs="Arial"/>
        </w:rPr>
        <w:t>e noted that according to the Director</w:t>
      </w:r>
      <w:r w:rsidR="005A17EB" w:rsidRPr="007A37E1">
        <w:rPr>
          <w:rFonts w:ascii="Arial" w:hAnsi="Arial" w:cs="Arial"/>
        </w:rPr>
        <w:t>-</w:t>
      </w:r>
      <w:r w:rsidR="0048242E" w:rsidRPr="007A37E1">
        <w:rPr>
          <w:rFonts w:ascii="Arial" w:hAnsi="Arial" w:cs="Arial"/>
        </w:rPr>
        <w:t>General</w:t>
      </w:r>
      <w:r w:rsidRPr="007A37E1">
        <w:rPr>
          <w:rFonts w:ascii="Arial" w:hAnsi="Arial" w:cs="Arial"/>
        </w:rPr>
        <w:t>, the Government took advice f</w:t>
      </w:r>
      <w:r w:rsidR="00A36902" w:rsidRPr="007A37E1">
        <w:rPr>
          <w:rFonts w:ascii="Arial" w:hAnsi="Arial" w:cs="Arial"/>
        </w:rPr>
        <w:t>ro</w:t>
      </w:r>
      <w:r w:rsidRPr="007A37E1">
        <w:rPr>
          <w:rFonts w:ascii="Arial" w:hAnsi="Arial" w:cs="Arial"/>
        </w:rPr>
        <w:t xml:space="preserve">m medical and scientific experts on the </w:t>
      </w:r>
      <w:r w:rsidR="00DD66BC" w:rsidRPr="007A37E1">
        <w:rPr>
          <w:rFonts w:ascii="Arial" w:hAnsi="Arial" w:cs="Arial"/>
        </w:rPr>
        <w:t>ministerial task team</w:t>
      </w:r>
      <w:r w:rsidR="0048242E" w:rsidRPr="007A37E1">
        <w:rPr>
          <w:rFonts w:ascii="Arial" w:hAnsi="Arial" w:cs="Arial"/>
        </w:rPr>
        <w:t xml:space="preserve"> which had been establishe</w:t>
      </w:r>
      <w:r w:rsidR="00A36902" w:rsidRPr="007A37E1">
        <w:rPr>
          <w:rFonts w:ascii="Arial" w:hAnsi="Arial" w:cs="Arial"/>
        </w:rPr>
        <w:t>d locally to advise government o</w:t>
      </w:r>
      <w:r w:rsidR="0048242E" w:rsidRPr="007A37E1">
        <w:rPr>
          <w:rFonts w:ascii="Arial" w:hAnsi="Arial" w:cs="Arial"/>
        </w:rPr>
        <w:t>n its response to the pandemic</w:t>
      </w:r>
      <w:r w:rsidR="002019B6" w:rsidRPr="007A37E1">
        <w:rPr>
          <w:rFonts w:ascii="Arial" w:hAnsi="Arial" w:cs="Arial"/>
        </w:rPr>
        <w:t>, the</w:t>
      </w:r>
      <w:r w:rsidR="00DD66BC" w:rsidRPr="007A37E1">
        <w:rPr>
          <w:rFonts w:ascii="Arial" w:hAnsi="Arial" w:cs="Arial"/>
        </w:rPr>
        <w:t xml:space="preserve"> National Coronavirus Task Team</w:t>
      </w:r>
      <w:r w:rsidR="00655A0E" w:rsidRPr="007A37E1">
        <w:rPr>
          <w:rFonts w:ascii="Arial" w:hAnsi="Arial" w:cs="Arial"/>
        </w:rPr>
        <w:t xml:space="preserve">. </w:t>
      </w:r>
      <w:r w:rsidR="008972EA" w:rsidRPr="007A37E1">
        <w:rPr>
          <w:rFonts w:ascii="Arial" w:hAnsi="Arial" w:cs="Arial"/>
        </w:rPr>
        <w:t>T</w:t>
      </w:r>
      <w:r w:rsidR="00655A0E" w:rsidRPr="007A37E1">
        <w:rPr>
          <w:rFonts w:ascii="Arial" w:hAnsi="Arial" w:cs="Arial"/>
        </w:rPr>
        <w:t xml:space="preserve">he statement that medical and scientific experts were consulted and had </w:t>
      </w:r>
      <w:r w:rsidR="00655A0E" w:rsidRPr="007A37E1">
        <w:rPr>
          <w:rFonts w:ascii="Arial" w:hAnsi="Arial" w:cs="Arial"/>
        </w:rPr>
        <w:lastRenderedPageBreak/>
        <w:t xml:space="preserve">been advising government is not disputed. </w:t>
      </w:r>
      <w:r w:rsidR="007045AE" w:rsidRPr="007A37E1">
        <w:rPr>
          <w:rFonts w:ascii="Arial" w:hAnsi="Arial" w:cs="Arial"/>
        </w:rPr>
        <w:t xml:space="preserve">Unlike the unsupported opinions offered by Mr </w:t>
      </w:r>
      <w:r w:rsidR="00AE17FA" w:rsidRPr="007A37E1">
        <w:rPr>
          <w:rFonts w:ascii="Arial" w:hAnsi="Arial" w:cs="Arial"/>
        </w:rPr>
        <w:t>d</w:t>
      </w:r>
      <w:r w:rsidR="007045AE" w:rsidRPr="007A37E1">
        <w:rPr>
          <w:rFonts w:ascii="Arial" w:hAnsi="Arial" w:cs="Arial"/>
        </w:rPr>
        <w:t>e Beer and the LF</w:t>
      </w:r>
      <w:r w:rsidR="00D86844" w:rsidRPr="007A37E1">
        <w:rPr>
          <w:rFonts w:ascii="Arial" w:hAnsi="Arial" w:cs="Arial"/>
        </w:rPr>
        <w:t>N</w:t>
      </w:r>
      <w:r w:rsidR="007045AE" w:rsidRPr="007A37E1">
        <w:rPr>
          <w:rFonts w:ascii="Arial" w:hAnsi="Arial" w:cs="Arial"/>
        </w:rPr>
        <w:t xml:space="preserve"> as to how COVID-19 should be understood and dealt with, </w:t>
      </w:r>
      <w:r w:rsidR="006F0DBF" w:rsidRPr="007A37E1">
        <w:rPr>
          <w:rFonts w:ascii="Arial" w:hAnsi="Arial" w:cs="Arial"/>
        </w:rPr>
        <w:t xml:space="preserve">the position of the Government and its response to COVID-19 </w:t>
      </w:r>
      <w:r w:rsidR="00D86844" w:rsidRPr="007A37E1">
        <w:rPr>
          <w:rFonts w:ascii="Arial" w:hAnsi="Arial" w:cs="Arial"/>
        </w:rPr>
        <w:t>are</w:t>
      </w:r>
      <w:r w:rsidR="006F0DBF" w:rsidRPr="007A37E1">
        <w:rPr>
          <w:rFonts w:ascii="Arial" w:hAnsi="Arial" w:cs="Arial"/>
        </w:rPr>
        <w:t xml:space="preserve"> based on the advice it sought from the medical and scientific experts</w:t>
      </w:r>
      <w:r w:rsidR="00A70EE9" w:rsidRPr="007A37E1">
        <w:rPr>
          <w:rFonts w:ascii="Arial" w:hAnsi="Arial" w:cs="Arial"/>
        </w:rPr>
        <w:t>, including</w:t>
      </w:r>
      <w:r w:rsidR="006F0DBF" w:rsidRPr="007A37E1">
        <w:rPr>
          <w:rFonts w:ascii="Arial" w:hAnsi="Arial" w:cs="Arial"/>
        </w:rPr>
        <w:t xml:space="preserve"> the National Corona</w:t>
      </w:r>
      <w:r w:rsidR="00D86844" w:rsidRPr="007A37E1">
        <w:rPr>
          <w:rFonts w:ascii="Arial" w:hAnsi="Arial" w:cs="Arial"/>
        </w:rPr>
        <w:t>virus</w:t>
      </w:r>
      <w:r w:rsidR="006F0DBF" w:rsidRPr="007A37E1">
        <w:rPr>
          <w:rFonts w:ascii="Arial" w:hAnsi="Arial" w:cs="Arial"/>
        </w:rPr>
        <w:t xml:space="preserve"> Task Team.</w:t>
      </w:r>
    </w:p>
    <w:p w14:paraId="1494DC58" w14:textId="5AE26150" w:rsidR="00B70BB5" w:rsidRPr="007A37E1" w:rsidRDefault="00B70BB5" w:rsidP="00B70BB5">
      <w:pPr>
        <w:tabs>
          <w:tab w:val="left" w:pos="284"/>
        </w:tabs>
        <w:spacing w:line="360" w:lineRule="auto"/>
        <w:jc w:val="both"/>
        <w:rPr>
          <w:rFonts w:ascii="Arial" w:hAnsi="Arial" w:cs="Arial"/>
        </w:rPr>
      </w:pPr>
    </w:p>
    <w:p w14:paraId="2DD5CDCC" w14:textId="66556C51"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w:t>
      </w:r>
      <w:r w:rsidR="00F17576" w:rsidRPr="007A37E1">
        <w:rPr>
          <w:rFonts w:ascii="Arial" w:hAnsi="Arial" w:cs="Arial"/>
        </w:rPr>
        <w:t>2</w:t>
      </w:r>
      <w:r w:rsidR="002858BC" w:rsidRPr="007A37E1">
        <w:rPr>
          <w:rFonts w:ascii="Arial" w:hAnsi="Arial" w:cs="Arial"/>
        </w:rPr>
        <w:t>1</w:t>
      </w:r>
      <w:r w:rsidRPr="007A37E1">
        <w:rPr>
          <w:rFonts w:ascii="Arial" w:hAnsi="Arial" w:cs="Arial"/>
        </w:rPr>
        <w:t>]</w:t>
      </w:r>
      <w:r w:rsidRPr="007A37E1">
        <w:rPr>
          <w:rFonts w:ascii="Arial" w:hAnsi="Arial" w:cs="Arial"/>
        </w:rPr>
        <w:tab/>
        <w:t>Based on what is set out above, it was contended on behalf of the Minister that the jurisdictional facts for the declaration of a national state of disaster contemplated in s 27(1)</w:t>
      </w:r>
      <w:r w:rsidRPr="007A37E1">
        <w:rPr>
          <w:rFonts w:ascii="Arial" w:hAnsi="Arial" w:cs="Arial"/>
          <w:i/>
        </w:rPr>
        <w:t>(a)</w:t>
      </w:r>
      <w:r w:rsidRPr="007A37E1">
        <w:rPr>
          <w:rFonts w:ascii="Arial" w:hAnsi="Arial" w:cs="Arial"/>
        </w:rPr>
        <w:t xml:space="preserve"> and </w:t>
      </w:r>
      <w:r w:rsidRPr="007A37E1">
        <w:rPr>
          <w:rFonts w:ascii="Arial" w:hAnsi="Arial" w:cs="Arial"/>
          <w:i/>
        </w:rPr>
        <w:t>(b)</w:t>
      </w:r>
      <w:r w:rsidRPr="007A37E1">
        <w:rPr>
          <w:rFonts w:ascii="Arial" w:hAnsi="Arial" w:cs="Arial"/>
        </w:rPr>
        <w:t xml:space="preserve"> were met. The declaration, so it was submitted, was entirely rational and in line with what had been done in other countries such as Italy, Spain and France.  </w:t>
      </w:r>
    </w:p>
    <w:p w14:paraId="76293A50" w14:textId="77777777" w:rsidR="00362387" w:rsidRPr="007A37E1" w:rsidRDefault="00362387" w:rsidP="00B70BB5">
      <w:pPr>
        <w:tabs>
          <w:tab w:val="left" w:pos="284"/>
        </w:tabs>
        <w:spacing w:line="360" w:lineRule="auto"/>
        <w:jc w:val="both"/>
        <w:rPr>
          <w:rFonts w:ascii="Arial" w:hAnsi="Arial" w:cs="Arial"/>
        </w:rPr>
      </w:pPr>
    </w:p>
    <w:p w14:paraId="32DC7DCA" w14:textId="5CC4D549" w:rsidR="00B70BB5" w:rsidRPr="007A37E1" w:rsidRDefault="003121D4" w:rsidP="00B70BB5">
      <w:pPr>
        <w:tabs>
          <w:tab w:val="left" w:pos="284"/>
        </w:tabs>
        <w:spacing w:line="360" w:lineRule="auto"/>
        <w:jc w:val="both"/>
        <w:rPr>
          <w:rFonts w:ascii="Arial" w:hAnsi="Arial" w:cs="Arial"/>
        </w:rPr>
      </w:pPr>
      <w:r w:rsidRPr="007A37E1">
        <w:rPr>
          <w:rFonts w:ascii="Arial" w:hAnsi="Arial" w:cs="Arial"/>
        </w:rPr>
        <w:t>[</w:t>
      </w:r>
      <w:r w:rsidR="00891645" w:rsidRPr="007A37E1">
        <w:rPr>
          <w:rFonts w:ascii="Arial" w:hAnsi="Arial" w:cs="Arial"/>
        </w:rPr>
        <w:t>2</w:t>
      </w:r>
      <w:r w:rsidR="002858BC" w:rsidRPr="007A37E1">
        <w:rPr>
          <w:rFonts w:ascii="Arial" w:hAnsi="Arial" w:cs="Arial"/>
        </w:rPr>
        <w:t>2</w:t>
      </w:r>
      <w:r w:rsidRPr="007A37E1">
        <w:rPr>
          <w:rFonts w:ascii="Arial" w:hAnsi="Arial" w:cs="Arial"/>
        </w:rPr>
        <w:t>]</w:t>
      </w:r>
      <w:r w:rsidRPr="007A37E1">
        <w:rPr>
          <w:rFonts w:ascii="Arial" w:hAnsi="Arial" w:cs="Arial"/>
        </w:rPr>
        <w:tab/>
      </w:r>
      <w:r w:rsidR="00B70BB5" w:rsidRPr="007A37E1">
        <w:rPr>
          <w:rFonts w:ascii="Arial" w:hAnsi="Arial" w:cs="Arial"/>
        </w:rPr>
        <w:t>The Minister was emp</w:t>
      </w:r>
      <w:r w:rsidR="00735876" w:rsidRPr="007A37E1">
        <w:rPr>
          <w:rFonts w:ascii="Arial" w:hAnsi="Arial" w:cs="Arial"/>
        </w:rPr>
        <w:t>hatic that the IHRA</w:t>
      </w:r>
      <w:r w:rsidR="00B70BB5" w:rsidRPr="007A37E1">
        <w:rPr>
          <w:rFonts w:ascii="Arial" w:hAnsi="Arial" w:cs="Arial"/>
        </w:rPr>
        <w:t xml:space="preserve"> was inadequate to deal with COVID</w:t>
      </w:r>
      <w:r w:rsidR="003F4352" w:rsidRPr="007A37E1">
        <w:rPr>
          <w:rFonts w:ascii="Arial" w:hAnsi="Arial" w:cs="Arial"/>
        </w:rPr>
        <w:t>-</w:t>
      </w:r>
      <w:r w:rsidR="00B70BB5" w:rsidRPr="007A37E1">
        <w:rPr>
          <w:rFonts w:ascii="Arial" w:hAnsi="Arial" w:cs="Arial"/>
        </w:rPr>
        <w:t>19</w:t>
      </w:r>
      <w:r w:rsidR="00FE1744" w:rsidRPr="007A37E1">
        <w:rPr>
          <w:rFonts w:ascii="Arial" w:hAnsi="Arial" w:cs="Arial"/>
        </w:rPr>
        <w:t>,</w:t>
      </w:r>
      <w:r w:rsidR="00B70BB5" w:rsidRPr="007A37E1">
        <w:rPr>
          <w:rFonts w:ascii="Arial" w:hAnsi="Arial" w:cs="Arial"/>
        </w:rPr>
        <w:t xml:space="preserve"> especially since it was enacted more tha</w:t>
      </w:r>
      <w:r w:rsidR="003F4352" w:rsidRPr="007A37E1">
        <w:rPr>
          <w:rFonts w:ascii="Arial" w:hAnsi="Arial" w:cs="Arial"/>
        </w:rPr>
        <w:t>n four</w:t>
      </w:r>
      <w:r w:rsidR="00B70BB5" w:rsidRPr="007A37E1">
        <w:rPr>
          <w:rFonts w:ascii="Arial" w:hAnsi="Arial" w:cs="Arial"/>
        </w:rPr>
        <w:t xml:space="preserve"> decades ago in 1974</w:t>
      </w:r>
      <w:r w:rsidR="00BB7F0A" w:rsidRPr="007A37E1">
        <w:rPr>
          <w:rFonts w:ascii="Arial" w:hAnsi="Arial" w:cs="Arial"/>
        </w:rPr>
        <w:t>,</w:t>
      </w:r>
      <w:r w:rsidR="00B70BB5" w:rsidRPr="007A37E1">
        <w:rPr>
          <w:rFonts w:ascii="Arial" w:hAnsi="Arial" w:cs="Arial"/>
        </w:rPr>
        <w:t xml:space="preserve"> and had been overtaken by technological</w:t>
      </w:r>
      <w:r w:rsidR="0095756E" w:rsidRPr="007A37E1">
        <w:rPr>
          <w:rFonts w:ascii="Arial" w:hAnsi="Arial" w:cs="Arial"/>
        </w:rPr>
        <w:t xml:space="preserve">, </w:t>
      </w:r>
      <w:r w:rsidR="00B70BB5" w:rsidRPr="007A37E1">
        <w:rPr>
          <w:rFonts w:ascii="Arial" w:hAnsi="Arial" w:cs="Arial"/>
        </w:rPr>
        <w:t>scientific</w:t>
      </w:r>
      <w:r w:rsidR="00251515" w:rsidRPr="007A37E1">
        <w:rPr>
          <w:rFonts w:ascii="Arial" w:hAnsi="Arial" w:cs="Arial"/>
        </w:rPr>
        <w:t xml:space="preserve"> </w:t>
      </w:r>
      <w:r w:rsidR="0095756E" w:rsidRPr="007A37E1">
        <w:rPr>
          <w:rFonts w:ascii="Arial" w:hAnsi="Arial" w:cs="Arial"/>
        </w:rPr>
        <w:t>and biologic</w:t>
      </w:r>
      <w:r w:rsidR="00B80D8C" w:rsidRPr="007A37E1">
        <w:rPr>
          <w:rFonts w:ascii="Arial" w:hAnsi="Arial" w:cs="Arial"/>
        </w:rPr>
        <w:t>al</w:t>
      </w:r>
      <w:r w:rsidR="00B70BB5" w:rsidRPr="007A37E1">
        <w:rPr>
          <w:rFonts w:ascii="Arial" w:hAnsi="Arial" w:cs="Arial"/>
        </w:rPr>
        <w:t xml:space="preserve"> </w:t>
      </w:r>
      <w:r w:rsidR="0095756E" w:rsidRPr="007A37E1">
        <w:rPr>
          <w:rFonts w:ascii="Arial" w:hAnsi="Arial" w:cs="Arial"/>
        </w:rPr>
        <w:t>developments</w:t>
      </w:r>
      <w:r w:rsidR="00B70BB5" w:rsidRPr="007A37E1">
        <w:rPr>
          <w:rFonts w:ascii="Arial" w:hAnsi="Arial" w:cs="Arial"/>
        </w:rPr>
        <w:t>. If this were not so, it was submitted on behalf of the Minister, the WHO would have advised countries to make use of the IHRA. The Minister</w:t>
      </w:r>
      <w:r w:rsidR="00A05E87" w:rsidRPr="007A37E1">
        <w:rPr>
          <w:rFonts w:ascii="Arial" w:hAnsi="Arial" w:cs="Arial"/>
        </w:rPr>
        <w:t xml:space="preserve"> stated</w:t>
      </w:r>
      <w:r w:rsidR="00B70BB5" w:rsidRPr="007A37E1">
        <w:rPr>
          <w:rFonts w:ascii="Arial" w:hAnsi="Arial" w:cs="Arial"/>
        </w:rPr>
        <w:t xml:space="preserve"> that the </w:t>
      </w:r>
      <w:r w:rsidR="009B2306" w:rsidRPr="007A37E1">
        <w:rPr>
          <w:rFonts w:ascii="Arial" w:hAnsi="Arial" w:cs="Arial"/>
        </w:rPr>
        <w:t xml:space="preserve">declaration of a </w:t>
      </w:r>
      <w:r w:rsidR="00B70BB5" w:rsidRPr="007A37E1">
        <w:rPr>
          <w:rFonts w:ascii="Arial" w:hAnsi="Arial" w:cs="Arial"/>
        </w:rPr>
        <w:t>national state of disaster was an appropriate measure to deal with COVID</w:t>
      </w:r>
      <w:r w:rsidR="003F4352" w:rsidRPr="007A37E1">
        <w:rPr>
          <w:rFonts w:ascii="Arial" w:hAnsi="Arial" w:cs="Arial"/>
        </w:rPr>
        <w:t>-</w:t>
      </w:r>
      <w:r w:rsidR="00B70BB5" w:rsidRPr="007A37E1">
        <w:rPr>
          <w:rFonts w:ascii="Arial" w:hAnsi="Arial" w:cs="Arial"/>
        </w:rPr>
        <w:t>19</w:t>
      </w:r>
      <w:r w:rsidR="009B2306" w:rsidRPr="007A37E1">
        <w:rPr>
          <w:rFonts w:ascii="Arial" w:hAnsi="Arial" w:cs="Arial"/>
        </w:rPr>
        <w:t>,</w:t>
      </w:r>
      <w:r w:rsidR="00B70BB5" w:rsidRPr="007A37E1">
        <w:rPr>
          <w:rFonts w:ascii="Arial" w:hAnsi="Arial" w:cs="Arial"/>
        </w:rPr>
        <w:t xml:space="preserve"> because there was no other </w:t>
      </w:r>
      <w:r w:rsidR="0048242E" w:rsidRPr="007A37E1">
        <w:rPr>
          <w:rFonts w:ascii="Arial" w:hAnsi="Arial" w:cs="Arial"/>
        </w:rPr>
        <w:t xml:space="preserve">available </w:t>
      </w:r>
      <w:r w:rsidR="00B70BB5" w:rsidRPr="007A37E1">
        <w:rPr>
          <w:rFonts w:ascii="Arial" w:hAnsi="Arial" w:cs="Arial"/>
        </w:rPr>
        <w:t xml:space="preserve">legislative measure or other contingency measure that could be </w:t>
      </w:r>
      <w:r w:rsidR="00535BA0" w:rsidRPr="007A37E1">
        <w:rPr>
          <w:rFonts w:ascii="Arial" w:hAnsi="Arial" w:cs="Arial"/>
          <w:color w:val="000000" w:themeColor="text1"/>
        </w:rPr>
        <w:t>invoked</w:t>
      </w:r>
      <w:r w:rsidR="00BE3782" w:rsidRPr="007A37E1">
        <w:rPr>
          <w:rFonts w:ascii="Arial" w:hAnsi="Arial" w:cs="Arial"/>
        </w:rPr>
        <w:t xml:space="preserve"> </w:t>
      </w:r>
      <w:r w:rsidR="0048242E" w:rsidRPr="007A37E1">
        <w:rPr>
          <w:rFonts w:ascii="Arial" w:hAnsi="Arial" w:cs="Arial"/>
        </w:rPr>
        <w:t>to</w:t>
      </w:r>
      <w:r w:rsidR="00B70BB5" w:rsidRPr="007A37E1">
        <w:rPr>
          <w:rFonts w:ascii="Arial" w:hAnsi="Arial" w:cs="Arial"/>
        </w:rPr>
        <w:t xml:space="preserve"> deal with the threat posed</w:t>
      </w:r>
      <w:r w:rsidR="00251515" w:rsidRPr="007A37E1">
        <w:rPr>
          <w:rFonts w:ascii="Arial" w:hAnsi="Arial" w:cs="Arial"/>
        </w:rPr>
        <w:t xml:space="preserve"> </w:t>
      </w:r>
      <w:r w:rsidR="000333AC" w:rsidRPr="007A37E1">
        <w:rPr>
          <w:rFonts w:ascii="Arial" w:hAnsi="Arial" w:cs="Arial"/>
        </w:rPr>
        <w:t>to national health</w:t>
      </w:r>
      <w:r w:rsidR="00471FB1" w:rsidRPr="007A37E1">
        <w:rPr>
          <w:rFonts w:ascii="Arial" w:hAnsi="Arial" w:cs="Arial"/>
        </w:rPr>
        <w:t xml:space="preserve"> and safety</w:t>
      </w:r>
      <w:r w:rsidR="00B70BB5" w:rsidRPr="007A37E1">
        <w:rPr>
          <w:rFonts w:ascii="Arial" w:hAnsi="Arial" w:cs="Arial"/>
        </w:rPr>
        <w:t xml:space="preserve">.  </w:t>
      </w:r>
    </w:p>
    <w:p w14:paraId="4FD27471" w14:textId="77777777" w:rsidR="00B70BB5" w:rsidRPr="007A37E1" w:rsidRDefault="00B70BB5" w:rsidP="00B70BB5">
      <w:pPr>
        <w:tabs>
          <w:tab w:val="left" w:pos="284"/>
        </w:tabs>
        <w:spacing w:line="360" w:lineRule="auto"/>
        <w:jc w:val="both"/>
        <w:rPr>
          <w:rFonts w:ascii="Arial" w:hAnsi="Arial" w:cs="Arial"/>
        </w:rPr>
      </w:pPr>
    </w:p>
    <w:p w14:paraId="57C9E685" w14:textId="19654137"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w:t>
      </w:r>
      <w:r w:rsidR="00891645" w:rsidRPr="007A37E1">
        <w:rPr>
          <w:rFonts w:ascii="Arial" w:hAnsi="Arial" w:cs="Arial"/>
        </w:rPr>
        <w:t>2</w:t>
      </w:r>
      <w:r w:rsidR="002858BC" w:rsidRPr="007A37E1">
        <w:rPr>
          <w:rFonts w:ascii="Arial" w:hAnsi="Arial" w:cs="Arial"/>
        </w:rPr>
        <w:t>3</w:t>
      </w:r>
      <w:r w:rsidRPr="007A37E1">
        <w:rPr>
          <w:rFonts w:ascii="Arial" w:hAnsi="Arial" w:cs="Arial"/>
        </w:rPr>
        <w:t>]</w:t>
      </w:r>
      <w:r w:rsidRPr="007A37E1">
        <w:rPr>
          <w:rFonts w:ascii="Arial" w:hAnsi="Arial" w:cs="Arial"/>
        </w:rPr>
        <w:tab/>
        <w:t>The Director-General said the following:</w:t>
      </w:r>
    </w:p>
    <w:p w14:paraId="779D637D" w14:textId="06374357" w:rsidR="00B70BB5" w:rsidRPr="007A37E1" w:rsidRDefault="00480A61" w:rsidP="00B70BB5">
      <w:pPr>
        <w:tabs>
          <w:tab w:val="left" w:pos="284"/>
        </w:tabs>
        <w:spacing w:line="360" w:lineRule="auto"/>
        <w:jc w:val="both"/>
        <w:rPr>
          <w:rFonts w:ascii="Arial" w:hAnsi="Arial" w:cs="Arial"/>
        </w:rPr>
      </w:pPr>
      <w:r w:rsidRPr="007A37E1">
        <w:rPr>
          <w:rFonts w:ascii="Arial" w:hAnsi="Arial" w:cs="Arial"/>
          <w:sz w:val="22"/>
          <w:szCs w:val="22"/>
        </w:rPr>
        <w:t>‘</w:t>
      </w:r>
      <w:r w:rsidR="00981C56" w:rsidRPr="007A37E1">
        <w:rPr>
          <w:rFonts w:ascii="Arial" w:hAnsi="Arial" w:cs="Arial"/>
          <w:sz w:val="22"/>
          <w:szCs w:val="22"/>
        </w:rPr>
        <w:t xml:space="preserve">The conditions posed by the COVID-19 warranted the decision to declare a national state of disaster because the human and financial cost associated with the management of the disease was expected to </w:t>
      </w:r>
      <w:r w:rsidRPr="007A37E1">
        <w:rPr>
          <w:rFonts w:ascii="Arial" w:hAnsi="Arial" w:cs="Arial"/>
          <w:sz w:val="22"/>
          <w:szCs w:val="22"/>
        </w:rPr>
        <w:t>b</w:t>
      </w:r>
      <w:r w:rsidR="00981C56" w:rsidRPr="007A37E1">
        <w:rPr>
          <w:rFonts w:ascii="Arial" w:hAnsi="Arial" w:cs="Arial"/>
          <w:sz w:val="22"/>
          <w:szCs w:val="22"/>
        </w:rPr>
        <w:t>e overw</w:t>
      </w:r>
      <w:r w:rsidRPr="007A37E1">
        <w:rPr>
          <w:rFonts w:ascii="Arial" w:hAnsi="Arial" w:cs="Arial"/>
          <w:sz w:val="22"/>
          <w:szCs w:val="22"/>
        </w:rPr>
        <w:t>helm</w:t>
      </w:r>
      <w:r w:rsidR="00981C56" w:rsidRPr="007A37E1">
        <w:rPr>
          <w:rFonts w:ascii="Arial" w:hAnsi="Arial" w:cs="Arial"/>
          <w:sz w:val="22"/>
          <w:szCs w:val="22"/>
        </w:rPr>
        <w:t>ing</w:t>
      </w:r>
      <w:r w:rsidRPr="007A37E1">
        <w:rPr>
          <w:rFonts w:ascii="Arial" w:hAnsi="Arial" w:cs="Arial"/>
          <w:sz w:val="22"/>
          <w:szCs w:val="22"/>
        </w:rPr>
        <w:t>.</w:t>
      </w:r>
      <w:r w:rsidR="00981C56" w:rsidRPr="007A37E1">
        <w:rPr>
          <w:rFonts w:ascii="Arial" w:hAnsi="Arial" w:cs="Arial"/>
          <w:sz w:val="22"/>
          <w:szCs w:val="22"/>
        </w:rPr>
        <w:t xml:space="preserve"> The stat</w:t>
      </w:r>
      <w:r w:rsidRPr="007A37E1">
        <w:rPr>
          <w:rFonts w:ascii="Arial" w:hAnsi="Arial" w:cs="Arial"/>
          <w:sz w:val="22"/>
          <w:szCs w:val="22"/>
        </w:rPr>
        <w:t>e</w:t>
      </w:r>
      <w:r w:rsidR="00981C56" w:rsidRPr="007A37E1">
        <w:rPr>
          <w:rFonts w:ascii="Arial" w:hAnsi="Arial" w:cs="Arial"/>
          <w:sz w:val="22"/>
          <w:szCs w:val="22"/>
        </w:rPr>
        <w:t xml:space="preserve"> ha</w:t>
      </w:r>
      <w:r w:rsidRPr="007A37E1">
        <w:rPr>
          <w:rFonts w:ascii="Arial" w:hAnsi="Arial" w:cs="Arial"/>
          <w:sz w:val="22"/>
          <w:szCs w:val="22"/>
        </w:rPr>
        <w:t>d to release the national government</w:t>
      </w:r>
      <w:r w:rsidR="00981C56" w:rsidRPr="007A37E1">
        <w:rPr>
          <w:rFonts w:ascii="Arial" w:hAnsi="Arial" w:cs="Arial"/>
          <w:sz w:val="22"/>
          <w:szCs w:val="22"/>
        </w:rPr>
        <w:t xml:space="preserve"> </w:t>
      </w:r>
      <w:r w:rsidRPr="007A37E1">
        <w:rPr>
          <w:rFonts w:ascii="Arial" w:hAnsi="Arial" w:cs="Arial"/>
          <w:sz w:val="22"/>
          <w:szCs w:val="22"/>
        </w:rPr>
        <w:t>re</w:t>
      </w:r>
      <w:r w:rsidR="00535BA0" w:rsidRPr="007A37E1">
        <w:rPr>
          <w:rFonts w:ascii="Arial" w:hAnsi="Arial" w:cs="Arial"/>
          <w:sz w:val="22"/>
          <w:szCs w:val="22"/>
        </w:rPr>
        <w:t>s</w:t>
      </w:r>
      <w:r w:rsidR="00981C56" w:rsidRPr="007A37E1">
        <w:rPr>
          <w:rFonts w:ascii="Arial" w:hAnsi="Arial" w:cs="Arial"/>
          <w:sz w:val="22"/>
          <w:szCs w:val="22"/>
        </w:rPr>
        <w:t xml:space="preserve">ources to coordinate the response in order to slow down the rate of infection in order to prepare to </w:t>
      </w:r>
      <w:r w:rsidRPr="007A37E1">
        <w:rPr>
          <w:rFonts w:ascii="Arial" w:hAnsi="Arial" w:cs="Arial"/>
          <w:sz w:val="22"/>
          <w:szCs w:val="22"/>
        </w:rPr>
        <w:t>deal</w:t>
      </w:r>
      <w:r w:rsidR="00AE17FA" w:rsidRPr="007A37E1">
        <w:rPr>
          <w:rFonts w:ascii="Arial" w:hAnsi="Arial" w:cs="Arial"/>
          <w:sz w:val="22"/>
          <w:szCs w:val="22"/>
        </w:rPr>
        <w:t xml:space="preserve"> </w:t>
      </w:r>
      <w:r w:rsidR="00AE17FA" w:rsidRPr="007A37E1">
        <w:rPr>
          <w:rFonts w:ascii="Arial" w:hAnsi="Arial" w:cs="Arial"/>
          <w:iCs/>
          <w:sz w:val="22"/>
          <w:szCs w:val="22"/>
        </w:rPr>
        <w:t>[with]</w:t>
      </w:r>
      <w:r w:rsidRPr="007A37E1">
        <w:rPr>
          <w:rFonts w:ascii="Arial" w:hAnsi="Arial" w:cs="Arial"/>
          <w:sz w:val="22"/>
          <w:szCs w:val="22"/>
        </w:rPr>
        <w:t xml:space="preserve"> an increase of infections.</w:t>
      </w:r>
      <w:r w:rsidR="006F14CC" w:rsidRPr="007A37E1">
        <w:rPr>
          <w:rFonts w:ascii="Arial" w:hAnsi="Arial" w:cs="Arial"/>
          <w:sz w:val="22"/>
          <w:szCs w:val="22"/>
        </w:rPr>
        <w:t>’</w:t>
      </w:r>
      <w:r w:rsidR="00F70759" w:rsidRPr="007A37E1">
        <w:rPr>
          <w:rFonts w:ascii="Arial" w:hAnsi="Arial" w:cs="Arial"/>
          <w:sz w:val="22"/>
          <w:szCs w:val="22"/>
        </w:rPr>
        <w:t xml:space="preserve">  </w:t>
      </w:r>
    </w:p>
    <w:p w14:paraId="6BFEB72E" w14:textId="21C88C84"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 xml:space="preserve">She denied that the decision to declare a national state of disaster was based on unconfirmed, unverified and incorrect medical advice. She pointed out that at the time that the </w:t>
      </w:r>
      <w:r w:rsidR="00077C4A" w:rsidRPr="007A37E1">
        <w:rPr>
          <w:rFonts w:ascii="Arial" w:hAnsi="Arial" w:cs="Arial"/>
        </w:rPr>
        <w:t xml:space="preserve">national </w:t>
      </w:r>
      <w:r w:rsidRPr="007A37E1">
        <w:rPr>
          <w:rFonts w:ascii="Arial" w:hAnsi="Arial" w:cs="Arial"/>
        </w:rPr>
        <w:t>state of disaster was declared</w:t>
      </w:r>
      <w:r w:rsidR="00EA4F57" w:rsidRPr="007A37E1">
        <w:rPr>
          <w:rFonts w:ascii="Arial" w:hAnsi="Arial" w:cs="Arial"/>
        </w:rPr>
        <w:t>,</w:t>
      </w:r>
      <w:r w:rsidRPr="007A37E1">
        <w:rPr>
          <w:rFonts w:ascii="Arial" w:hAnsi="Arial" w:cs="Arial"/>
        </w:rPr>
        <w:t xml:space="preserve"> major European countries were already struggling to contain the virus, which was evident from the statistics and data collated and disseminated by the </w:t>
      </w:r>
      <w:r w:rsidR="00AE17FA" w:rsidRPr="007A37E1">
        <w:rPr>
          <w:rFonts w:ascii="Arial" w:hAnsi="Arial" w:cs="Arial"/>
        </w:rPr>
        <w:t>WHO</w:t>
      </w:r>
      <w:r w:rsidRPr="007A37E1">
        <w:rPr>
          <w:rFonts w:ascii="Arial" w:hAnsi="Arial" w:cs="Arial"/>
        </w:rPr>
        <w:t>. That carriers of the virus are oftentimes asymptomatic made it all the more difficult to detect and contain the virus.</w:t>
      </w:r>
    </w:p>
    <w:p w14:paraId="4596EE8C" w14:textId="6E443A5E" w:rsidR="00B70BB5" w:rsidRPr="007A37E1" w:rsidRDefault="00B70BB5" w:rsidP="00CF4CDA">
      <w:pPr>
        <w:tabs>
          <w:tab w:val="left" w:pos="284"/>
          <w:tab w:val="left" w:pos="851"/>
        </w:tabs>
        <w:spacing w:line="360" w:lineRule="auto"/>
        <w:jc w:val="both"/>
        <w:rPr>
          <w:rFonts w:ascii="Arial" w:hAnsi="Arial" w:cs="Arial"/>
        </w:rPr>
      </w:pPr>
      <w:r w:rsidRPr="007A37E1">
        <w:rPr>
          <w:rFonts w:ascii="Arial" w:hAnsi="Arial" w:cs="Arial"/>
        </w:rPr>
        <w:lastRenderedPageBreak/>
        <w:t>[2</w:t>
      </w:r>
      <w:r w:rsidR="002858BC" w:rsidRPr="007A37E1">
        <w:rPr>
          <w:rFonts w:ascii="Arial" w:hAnsi="Arial" w:cs="Arial"/>
        </w:rPr>
        <w:t>4</w:t>
      </w:r>
      <w:r w:rsidRPr="007A37E1">
        <w:rPr>
          <w:rFonts w:ascii="Arial" w:hAnsi="Arial" w:cs="Arial"/>
        </w:rPr>
        <w:t>]</w:t>
      </w:r>
      <w:r w:rsidRPr="007A37E1">
        <w:rPr>
          <w:rFonts w:ascii="Arial" w:hAnsi="Arial" w:cs="Arial"/>
        </w:rPr>
        <w:tab/>
        <w:t>In relation to the substance of the regulations</w:t>
      </w:r>
      <w:r w:rsidR="00A05E87" w:rsidRPr="007A37E1">
        <w:rPr>
          <w:rFonts w:ascii="Arial" w:hAnsi="Arial" w:cs="Arial"/>
        </w:rPr>
        <w:t>,</w:t>
      </w:r>
      <w:r w:rsidRPr="007A37E1">
        <w:rPr>
          <w:rFonts w:ascii="Arial" w:hAnsi="Arial" w:cs="Arial"/>
        </w:rPr>
        <w:t xml:space="preserve"> the Minister’s view was that she was careful to have regard to the limitations placed on her power by ss 27(2) and (3) of the Act and she insisted that she kept within the bounds of her power. The Minister noted that s 27(2) required her to consult with the relevant Cabinet Minister</w:t>
      </w:r>
      <w:r w:rsidR="0034179B" w:rsidRPr="007A37E1">
        <w:rPr>
          <w:rFonts w:ascii="Arial" w:hAnsi="Arial" w:cs="Arial"/>
        </w:rPr>
        <w:t>,</w:t>
      </w:r>
      <w:r w:rsidRPr="007A37E1">
        <w:rPr>
          <w:rFonts w:ascii="Arial" w:hAnsi="Arial" w:cs="Arial"/>
        </w:rPr>
        <w:t xml:space="preserve"> and she did. She asserted that in compliance with that subsection</w:t>
      </w:r>
      <w:r w:rsidR="001A073D" w:rsidRPr="007A37E1">
        <w:rPr>
          <w:rFonts w:ascii="Arial" w:hAnsi="Arial" w:cs="Arial"/>
        </w:rPr>
        <w:t>,</w:t>
      </w:r>
      <w:r w:rsidRPr="007A37E1">
        <w:rPr>
          <w:rFonts w:ascii="Arial" w:hAnsi="Arial" w:cs="Arial"/>
        </w:rPr>
        <w:t xml:space="preserve"> she consulted with the Minister of Health, the entire Cabinet and the National Coronavirus Command Council (the NCCC). </w:t>
      </w:r>
    </w:p>
    <w:p w14:paraId="4A4A5CE8" w14:textId="77777777" w:rsidR="00B70BB5" w:rsidRPr="007A37E1" w:rsidRDefault="00B70BB5" w:rsidP="00B70BB5">
      <w:pPr>
        <w:tabs>
          <w:tab w:val="left" w:pos="284"/>
        </w:tabs>
        <w:spacing w:line="360" w:lineRule="auto"/>
        <w:jc w:val="both"/>
        <w:rPr>
          <w:rFonts w:ascii="Arial" w:hAnsi="Arial" w:cs="Arial"/>
        </w:rPr>
      </w:pPr>
    </w:p>
    <w:p w14:paraId="21DB0746" w14:textId="76A24B3C"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[2</w:t>
      </w:r>
      <w:r w:rsidR="002858BC" w:rsidRPr="007A37E1">
        <w:rPr>
          <w:rFonts w:ascii="Arial" w:hAnsi="Arial" w:cs="Arial"/>
        </w:rPr>
        <w:t>5</w:t>
      </w:r>
      <w:r w:rsidRPr="007A37E1">
        <w:rPr>
          <w:rFonts w:ascii="Arial" w:hAnsi="Arial" w:cs="Arial"/>
        </w:rPr>
        <w:t>]</w:t>
      </w:r>
      <w:r w:rsidRPr="007A37E1">
        <w:rPr>
          <w:rFonts w:ascii="Arial" w:hAnsi="Arial" w:cs="Arial"/>
        </w:rPr>
        <w:tab/>
        <w:t>In relation to the contention by the LF</w:t>
      </w:r>
      <w:r w:rsidR="001A073D" w:rsidRPr="007A37E1">
        <w:rPr>
          <w:rFonts w:ascii="Arial" w:hAnsi="Arial" w:cs="Arial"/>
        </w:rPr>
        <w:t>N</w:t>
      </w:r>
      <w:r w:rsidRPr="007A37E1">
        <w:rPr>
          <w:rFonts w:ascii="Arial" w:hAnsi="Arial" w:cs="Arial"/>
        </w:rPr>
        <w:t xml:space="preserve"> that she was required to consult with the NCOP, the </w:t>
      </w:r>
      <w:r w:rsidR="006F0DBF" w:rsidRPr="007A37E1">
        <w:rPr>
          <w:rFonts w:ascii="Arial" w:hAnsi="Arial" w:cs="Arial"/>
        </w:rPr>
        <w:t>M</w:t>
      </w:r>
      <w:r w:rsidRPr="007A37E1">
        <w:rPr>
          <w:rFonts w:ascii="Arial" w:hAnsi="Arial" w:cs="Arial"/>
        </w:rPr>
        <w:t>in</w:t>
      </w:r>
      <w:r w:rsidR="003F4352" w:rsidRPr="007A37E1">
        <w:rPr>
          <w:rFonts w:ascii="Arial" w:hAnsi="Arial" w:cs="Arial"/>
        </w:rPr>
        <w:t>i</w:t>
      </w:r>
      <w:r w:rsidRPr="007A37E1">
        <w:rPr>
          <w:rFonts w:ascii="Arial" w:hAnsi="Arial" w:cs="Arial"/>
        </w:rPr>
        <w:t xml:space="preserve">ster took the view that </w:t>
      </w:r>
      <w:r w:rsidR="00A05E87" w:rsidRPr="007A37E1">
        <w:rPr>
          <w:rFonts w:ascii="Arial" w:hAnsi="Arial" w:cs="Arial"/>
        </w:rPr>
        <w:t>this was not so</w:t>
      </w:r>
      <w:r w:rsidRPr="007A37E1">
        <w:rPr>
          <w:rFonts w:ascii="Arial" w:hAnsi="Arial" w:cs="Arial"/>
        </w:rPr>
        <w:t>. In this regard</w:t>
      </w:r>
      <w:r w:rsidR="001A073D" w:rsidRPr="007A37E1">
        <w:rPr>
          <w:rFonts w:ascii="Arial" w:hAnsi="Arial" w:cs="Arial"/>
        </w:rPr>
        <w:t>,</w:t>
      </w:r>
      <w:r w:rsidRPr="007A37E1">
        <w:rPr>
          <w:rFonts w:ascii="Arial" w:hAnsi="Arial" w:cs="Arial"/>
        </w:rPr>
        <w:t xml:space="preserve"> she in</w:t>
      </w:r>
      <w:r w:rsidR="00613980" w:rsidRPr="007A37E1">
        <w:rPr>
          <w:rFonts w:ascii="Arial" w:hAnsi="Arial" w:cs="Arial"/>
        </w:rPr>
        <w:t>dicated that regulations that re</w:t>
      </w:r>
      <w:r w:rsidRPr="007A37E1">
        <w:rPr>
          <w:rFonts w:ascii="Arial" w:hAnsi="Arial" w:cs="Arial"/>
        </w:rPr>
        <w:t>quired approval by the NCOP were those made under s 59(1) of the Act. Section 59(1) provides that NCOP approval</w:t>
      </w:r>
      <w:r w:rsidR="00176A1F" w:rsidRPr="007A37E1">
        <w:rPr>
          <w:rFonts w:ascii="Arial" w:hAnsi="Arial" w:cs="Arial"/>
        </w:rPr>
        <w:t>s</w:t>
      </w:r>
      <w:r w:rsidRPr="007A37E1">
        <w:rPr>
          <w:rFonts w:ascii="Arial" w:hAnsi="Arial" w:cs="Arial"/>
        </w:rPr>
        <w:t xml:space="preserve"> were those which resort under s 146 of the Constitution. Section 146</w:t>
      </w:r>
      <w:r w:rsidR="001A073D" w:rsidRPr="007A37E1">
        <w:rPr>
          <w:rFonts w:ascii="Arial" w:hAnsi="Arial" w:cs="Arial"/>
        </w:rPr>
        <w:t>(6)</w:t>
      </w:r>
      <w:r w:rsidRPr="007A37E1">
        <w:rPr>
          <w:rFonts w:ascii="Arial" w:hAnsi="Arial" w:cs="Arial"/>
        </w:rPr>
        <w:t xml:space="preserve"> of the Constitution provides:</w:t>
      </w:r>
    </w:p>
    <w:p w14:paraId="6AB2DDD8" w14:textId="2070476C" w:rsidR="00B70BB5" w:rsidRPr="007A37E1" w:rsidRDefault="00B70BB5" w:rsidP="00B70BB5">
      <w:pPr>
        <w:tabs>
          <w:tab w:val="left" w:pos="284"/>
        </w:tabs>
        <w:spacing w:line="360" w:lineRule="auto"/>
        <w:jc w:val="both"/>
        <w:rPr>
          <w:rFonts w:ascii="Arial" w:hAnsi="Arial" w:cs="Arial"/>
          <w:sz w:val="22"/>
          <w:szCs w:val="22"/>
        </w:rPr>
      </w:pPr>
      <w:r w:rsidRPr="007A37E1">
        <w:rPr>
          <w:rFonts w:ascii="Arial" w:hAnsi="Arial" w:cs="Arial"/>
          <w:sz w:val="22"/>
          <w:szCs w:val="22"/>
        </w:rPr>
        <w:t xml:space="preserve">‘A law made in terms of an Act of </w:t>
      </w:r>
      <w:r w:rsidR="001A073D" w:rsidRPr="007A37E1">
        <w:rPr>
          <w:rFonts w:ascii="Arial" w:hAnsi="Arial" w:cs="Arial"/>
          <w:sz w:val="22"/>
          <w:szCs w:val="22"/>
        </w:rPr>
        <w:t>P</w:t>
      </w:r>
      <w:r w:rsidRPr="007A37E1">
        <w:rPr>
          <w:rFonts w:ascii="Arial" w:hAnsi="Arial" w:cs="Arial"/>
          <w:sz w:val="22"/>
          <w:szCs w:val="22"/>
        </w:rPr>
        <w:t>arliament or a provincial Act can prevail only if that law has been approved by the National Council of Provinces.</w:t>
      </w:r>
      <w:r w:rsidR="001A073D" w:rsidRPr="007A37E1">
        <w:rPr>
          <w:rFonts w:ascii="Arial" w:hAnsi="Arial" w:cs="Arial"/>
          <w:sz w:val="22"/>
          <w:szCs w:val="22"/>
        </w:rPr>
        <w:t>’</w:t>
      </w:r>
    </w:p>
    <w:p w14:paraId="6AF5AA5E" w14:textId="4D8D3E35"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According to the Minister</w:t>
      </w:r>
      <w:r w:rsidR="001A073D" w:rsidRPr="007A37E1">
        <w:rPr>
          <w:rFonts w:ascii="Arial" w:hAnsi="Arial" w:cs="Arial"/>
        </w:rPr>
        <w:t>,</w:t>
      </w:r>
      <w:r w:rsidRPr="007A37E1">
        <w:rPr>
          <w:rFonts w:ascii="Arial" w:hAnsi="Arial" w:cs="Arial"/>
        </w:rPr>
        <w:t xml:space="preserve"> there is no conflict between the regulations and </w:t>
      </w:r>
      <w:r w:rsidR="00AE17FA" w:rsidRPr="007A37E1">
        <w:rPr>
          <w:rFonts w:ascii="Arial" w:hAnsi="Arial" w:cs="Arial"/>
        </w:rPr>
        <w:t>p</w:t>
      </w:r>
      <w:r w:rsidRPr="007A37E1">
        <w:rPr>
          <w:rFonts w:ascii="Arial" w:hAnsi="Arial" w:cs="Arial"/>
        </w:rPr>
        <w:t>rovincial legislation.</w:t>
      </w:r>
    </w:p>
    <w:p w14:paraId="2FD1D34A" w14:textId="77777777" w:rsidR="005D55FF" w:rsidRPr="007A37E1" w:rsidRDefault="005D55FF" w:rsidP="00B70BB5">
      <w:pPr>
        <w:tabs>
          <w:tab w:val="left" w:pos="284"/>
        </w:tabs>
        <w:spacing w:line="360" w:lineRule="auto"/>
        <w:jc w:val="both"/>
        <w:rPr>
          <w:rFonts w:ascii="Arial" w:hAnsi="Arial" w:cs="Arial"/>
        </w:rPr>
      </w:pPr>
    </w:p>
    <w:p w14:paraId="24BA1323" w14:textId="398DBC19"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t>[2</w:t>
      </w:r>
      <w:r w:rsidR="002858BC" w:rsidRPr="007A37E1">
        <w:rPr>
          <w:rFonts w:ascii="Arial" w:hAnsi="Arial" w:cs="Arial"/>
        </w:rPr>
        <w:t>6</w:t>
      </w:r>
      <w:r w:rsidRPr="007A37E1">
        <w:rPr>
          <w:rFonts w:ascii="Arial" w:hAnsi="Arial" w:cs="Arial"/>
        </w:rPr>
        <w:t>]</w:t>
      </w:r>
      <w:r w:rsidRPr="007A37E1">
        <w:rPr>
          <w:rFonts w:ascii="Arial" w:hAnsi="Arial" w:cs="Arial"/>
        </w:rPr>
        <w:tab/>
        <w:t>The Minister also took issue with the contention of the LF</w:t>
      </w:r>
      <w:r w:rsidR="00F024FB" w:rsidRPr="007A37E1">
        <w:rPr>
          <w:rFonts w:ascii="Arial" w:hAnsi="Arial" w:cs="Arial"/>
        </w:rPr>
        <w:t>N</w:t>
      </w:r>
      <w:r w:rsidRPr="007A37E1">
        <w:rPr>
          <w:rFonts w:ascii="Arial" w:hAnsi="Arial" w:cs="Arial"/>
        </w:rPr>
        <w:t xml:space="preserve"> that the regulations were in conflict with the Gatherings Act. That legislation, like the regulations</w:t>
      </w:r>
      <w:r w:rsidR="00D5758E" w:rsidRPr="007A37E1">
        <w:rPr>
          <w:rFonts w:ascii="Arial" w:hAnsi="Arial" w:cs="Arial"/>
        </w:rPr>
        <w:t>, she pointed out,</w:t>
      </w:r>
      <w:r w:rsidRPr="007A37E1">
        <w:rPr>
          <w:rFonts w:ascii="Arial" w:hAnsi="Arial" w:cs="Arial"/>
        </w:rPr>
        <w:t xml:space="preserve"> regulate</w:t>
      </w:r>
      <w:r w:rsidR="008B08A6" w:rsidRPr="007A37E1">
        <w:rPr>
          <w:rFonts w:ascii="Arial" w:hAnsi="Arial" w:cs="Arial"/>
          <w:color w:val="000000" w:themeColor="text1"/>
        </w:rPr>
        <w:t>s</w:t>
      </w:r>
      <w:r w:rsidRPr="007A37E1">
        <w:rPr>
          <w:rFonts w:ascii="Arial" w:hAnsi="Arial" w:cs="Arial"/>
          <w:color w:val="00B0F0"/>
        </w:rPr>
        <w:t xml:space="preserve"> </w:t>
      </w:r>
      <w:r w:rsidRPr="007A37E1">
        <w:rPr>
          <w:rFonts w:ascii="Arial" w:hAnsi="Arial" w:cs="Arial"/>
        </w:rPr>
        <w:t>the holding of public gatherings and demonstrations. The right to assemble, demonstrate, picket and petition is guaranteed by s 17 of the Constitution. The Minister contended that what was required was to test the regulations against s 36 of the Constitution to see if they pass muster. The Minister insisted that the limitation imposed on fundamental freedoms by the regulations was justifiable</w:t>
      </w:r>
      <w:r w:rsidR="00A05E87" w:rsidRPr="007A37E1">
        <w:rPr>
          <w:rFonts w:ascii="Arial" w:hAnsi="Arial" w:cs="Arial"/>
        </w:rPr>
        <w:t>,</w:t>
      </w:r>
      <w:r w:rsidRPr="007A37E1">
        <w:rPr>
          <w:rFonts w:ascii="Arial" w:hAnsi="Arial" w:cs="Arial"/>
        </w:rPr>
        <w:t xml:space="preserve"> when viewed against the provisions of s 36 of the Constitution.</w:t>
      </w:r>
    </w:p>
    <w:p w14:paraId="117CE914" w14:textId="77777777" w:rsidR="00B70BB5" w:rsidRPr="007A37E1" w:rsidRDefault="00B70BB5" w:rsidP="00B70BB5">
      <w:pPr>
        <w:tabs>
          <w:tab w:val="left" w:pos="284"/>
        </w:tabs>
        <w:spacing w:line="360" w:lineRule="auto"/>
        <w:jc w:val="both"/>
        <w:rPr>
          <w:rFonts w:ascii="Arial" w:hAnsi="Arial" w:cs="Arial"/>
        </w:rPr>
      </w:pPr>
    </w:p>
    <w:p w14:paraId="26F44CEE" w14:textId="666F9FB8" w:rsidR="004A7094" w:rsidRPr="007A37E1" w:rsidRDefault="003F4352" w:rsidP="00B70BB5">
      <w:pPr>
        <w:tabs>
          <w:tab w:val="left" w:pos="284"/>
        </w:tabs>
        <w:spacing w:line="360" w:lineRule="auto"/>
        <w:jc w:val="both"/>
        <w:rPr>
          <w:rFonts w:ascii="Arial" w:hAnsi="Arial" w:cs="Arial"/>
        </w:rPr>
      </w:pPr>
      <w:r w:rsidRPr="007A37E1">
        <w:rPr>
          <w:rFonts w:ascii="Arial" w:hAnsi="Arial" w:cs="Arial"/>
        </w:rPr>
        <w:t>[2</w:t>
      </w:r>
      <w:r w:rsidR="002858BC" w:rsidRPr="007A37E1">
        <w:rPr>
          <w:rFonts w:ascii="Arial" w:hAnsi="Arial" w:cs="Arial"/>
        </w:rPr>
        <w:t>7</w:t>
      </w:r>
      <w:r w:rsidRPr="007A37E1">
        <w:rPr>
          <w:rFonts w:ascii="Arial" w:hAnsi="Arial" w:cs="Arial"/>
        </w:rPr>
        <w:t>]</w:t>
      </w:r>
      <w:r w:rsidRPr="007A37E1">
        <w:rPr>
          <w:rFonts w:ascii="Arial" w:hAnsi="Arial" w:cs="Arial"/>
        </w:rPr>
        <w:tab/>
      </w:r>
      <w:r w:rsidR="00B70BB5" w:rsidRPr="007A37E1">
        <w:rPr>
          <w:rFonts w:ascii="Arial" w:hAnsi="Arial" w:cs="Arial"/>
        </w:rPr>
        <w:t xml:space="preserve">The following factors </w:t>
      </w:r>
      <w:r w:rsidR="00AB2890" w:rsidRPr="007A37E1">
        <w:rPr>
          <w:rFonts w:ascii="Arial" w:hAnsi="Arial" w:cs="Arial"/>
        </w:rPr>
        <w:t>we</w:t>
      </w:r>
      <w:r w:rsidR="00B70BB5" w:rsidRPr="007A37E1">
        <w:rPr>
          <w:rFonts w:ascii="Arial" w:hAnsi="Arial" w:cs="Arial"/>
        </w:rPr>
        <w:t>re relied</w:t>
      </w:r>
      <w:r w:rsidR="00AB2890" w:rsidRPr="007A37E1">
        <w:rPr>
          <w:rFonts w:ascii="Arial" w:hAnsi="Arial" w:cs="Arial"/>
        </w:rPr>
        <w:t xml:space="preserve"> on</w:t>
      </w:r>
      <w:r w:rsidR="00B70BB5" w:rsidRPr="007A37E1">
        <w:rPr>
          <w:rFonts w:ascii="Arial" w:hAnsi="Arial" w:cs="Arial"/>
        </w:rPr>
        <w:t xml:space="preserve"> as justification</w:t>
      </w:r>
      <w:r w:rsidR="00F024FB" w:rsidRPr="007A37E1">
        <w:rPr>
          <w:rFonts w:ascii="Arial" w:hAnsi="Arial" w:cs="Arial"/>
        </w:rPr>
        <w:t>:</w:t>
      </w:r>
      <w:r w:rsidR="00B70BB5" w:rsidRPr="007A37E1">
        <w:rPr>
          <w:rFonts w:ascii="Arial" w:hAnsi="Arial" w:cs="Arial"/>
        </w:rPr>
        <w:t xml:space="preserve"> </w:t>
      </w:r>
    </w:p>
    <w:p w14:paraId="58F0E8F6" w14:textId="0D75D62A" w:rsidR="00981C56" w:rsidRPr="007A37E1" w:rsidRDefault="00F024FB" w:rsidP="00EE608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w:t>
      </w:r>
      <w:r w:rsidR="00981C56" w:rsidRPr="007A37E1">
        <w:rPr>
          <w:rFonts w:ascii="Arial" w:hAnsi="Arial" w:cs="Arial"/>
          <w:sz w:val="22"/>
          <w:szCs w:val="22"/>
        </w:rPr>
        <w:t>66</w:t>
      </w:r>
      <w:r w:rsidR="00EE6081" w:rsidRPr="007A37E1">
        <w:rPr>
          <w:rFonts w:ascii="Arial" w:hAnsi="Arial" w:cs="Arial"/>
          <w:sz w:val="22"/>
          <w:szCs w:val="22"/>
        </w:rPr>
        <w:t>.</w:t>
      </w:r>
      <w:r w:rsidR="00EE6081" w:rsidRPr="007A37E1">
        <w:rPr>
          <w:rFonts w:ascii="Arial" w:hAnsi="Arial" w:cs="Arial"/>
          <w:sz w:val="22"/>
          <w:szCs w:val="22"/>
        </w:rPr>
        <w:tab/>
      </w:r>
      <w:r w:rsidR="00981C56" w:rsidRPr="007A37E1">
        <w:rPr>
          <w:rFonts w:ascii="Arial" w:hAnsi="Arial" w:cs="Arial"/>
          <w:sz w:val="22"/>
          <w:szCs w:val="22"/>
        </w:rPr>
        <w:t>The purpose of the limitation is to save lives. It is a notorious fact that</w:t>
      </w:r>
      <w:r w:rsidR="00EE6081" w:rsidRPr="007A37E1">
        <w:rPr>
          <w:rFonts w:ascii="Arial" w:hAnsi="Arial" w:cs="Arial"/>
          <w:sz w:val="22"/>
          <w:szCs w:val="22"/>
        </w:rPr>
        <w:t xml:space="preserve"> </w:t>
      </w:r>
      <w:r w:rsidR="00981C56" w:rsidRPr="007A37E1">
        <w:rPr>
          <w:rFonts w:ascii="Arial" w:hAnsi="Arial" w:cs="Arial"/>
          <w:sz w:val="22"/>
          <w:szCs w:val="22"/>
        </w:rPr>
        <w:t>the COVID-19 disease is spreading rapidly, and it is transmissible from one person to another. It was, therefore, imperative to limit the freedom of movement of people to reduce the rate of infection. I have mentioned</w:t>
      </w:r>
      <w:r w:rsidR="00EE6081" w:rsidRPr="007A37E1">
        <w:rPr>
          <w:rFonts w:ascii="Arial" w:hAnsi="Arial" w:cs="Arial"/>
          <w:sz w:val="22"/>
          <w:szCs w:val="22"/>
        </w:rPr>
        <w:t xml:space="preserve"> </w:t>
      </w:r>
      <w:r w:rsidR="00981C56" w:rsidRPr="007A37E1">
        <w:rPr>
          <w:rFonts w:ascii="Arial" w:hAnsi="Arial" w:cs="Arial"/>
          <w:sz w:val="22"/>
          <w:szCs w:val="22"/>
        </w:rPr>
        <w:t>in this affidavit that if the rate of infection increased exponentially, public</w:t>
      </w:r>
      <w:r w:rsidR="00EE6081" w:rsidRPr="007A37E1">
        <w:rPr>
          <w:rFonts w:ascii="Arial" w:hAnsi="Arial" w:cs="Arial"/>
          <w:sz w:val="22"/>
          <w:szCs w:val="22"/>
        </w:rPr>
        <w:t xml:space="preserve"> </w:t>
      </w:r>
      <w:r w:rsidR="00981C56" w:rsidRPr="007A37E1">
        <w:rPr>
          <w:rFonts w:ascii="Arial" w:hAnsi="Arial" w:cs="Arial"/>
          <w:sz w:val="22"/>
          <w:szCs w:val="22"/>
        </w:rPr>
        <w:t xml:space="preserve">healthcare facilities would be overwhelmed and it would lead to a collapse of the system </w:t>
      </w:r>
      <w:r w:rsidR="00981C56" w:rsidRPr="007A37E1">
        <w:rPr>
          <w:rFonts w:ascii="Arial" w:hAnsi="Arial" w:cs="Arial"/>
          <w:sz w:val="22"/>
          <w:szCs w:val="22"/>
        </w:rPr>
        <w:lastRenderedPageBreak/>
        <w:t>and both COVID 19 patients and other ordinary patients who suffered from other types of maladies will not receive medical attention or adequate medical attention. Consequently, deaths</w:t>
      </w:r>
      <w:r w:rsidR="00EE6081" w:rsidRPr="007A37E1">
        <w:rPr>
          <w:rFonts w:ascii="Arial" w:hAnsi="Arial" w:cs="Arial"/>
          <w:sz w:val="22"/>
          <w:szCs w:val="22"/>
        </w:rPr>
        <w:t xml:space="preserve"> </w:t>
      </w:r>
      <w:r w:rsidR="00981C56" w:rsidRPr="007A37E1">
        <w:rPr>
          <w:rFonts w:ascii="Arial" w:hAnsi="Arial" w:cs="Arial"/>
          <w:sz w:val="22"/>
          <w:szCs w:val="22"/>
        </w:rPr>
        <w:t>will be inevitable</w:t>
      </w:r>
      <w:r w:rsidR="00502619" w:rsidRPr="007A37E1">
        <w:rPr>
          <w:rFonts w:ascii="Arial" w:hAnsi="Arial" w:cs="Arial"/>
          <w:sz w:val="22"/>
          <w:szCs w:val="22"/>
        </w:rPr>
        <w:t>.</w:t>
      </w:r>
      <w:r w:rsidR="00981C56" w:rsidRPr="007A37E1">
        <w:rPr>
          <w:rFonts w:ascii="Arial" w:hAnsi="Arial" w:cs="Arial"/>
          <w:sz w:val="22"/>
          <w:szCs w:val="22"/>
        </w:rPr>
        <w:t xml:space="preserve"> </w:t>
      </w:r>
    </w:p>
    <w:p w14:paraId="48C8B05D" w14:textId="7CA5BCE1" w:rsidR="00981C56" w:rsidRPr="007A37E1" w:rsidRDefault="00981C56" w:rsidP="00EE608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67</w:t>
      </w:r>
      <w:r w:rsidR="00EE6081" w:rsidRPr="007A37E1">
        <w:rPr>
          <w:rFonts w:ascii="Arial" w:hAnsi="Arial" w:cs="Arial"/>
          <w:sz w:val="22"/>
          <w:szCs w:val="22"/>
        </w:rPr>
        <w:t>.</w:t>
      </w:r>
      <w:r w:rsidR="00EE6081" w:rsidRPr="007A37E1">
        <w:rPr>
          <w:rFonts w:ascii="Arial" w:hAnsi="Arial" w:cs="Arial"/>
          <w:sz w:val="22"/>
          <w:szCs w:val="22"/>
        </w:rPr>
        <w:tab/>
      </w:r>
      <w:r w:rsidRPr="007A37E1">
        <w:rPr>
          <w:rFonts w:ascii="Arial" w:hAnsi="Arial" w:cs="Arial"/>
          <w:sz w:val="22"/>
          <w:szCs w:val="22"/>
        </w:rPr>
        <w:t xml:space="preserve">I have to interpose and state that the Constitution enjoins the State to respect, protect, promote and to fulfil the rights in the Constitution. The right to life, the right to have access to health care and </w:t>
      </w:r>
      <w:r w:rsidR="0075158F" w:rsidRPr="007A37E1">
        <w:rPr>
          <w:rFonts w:ascii="Arial" w:hAnsi="Arial" w:cs="Arial"/>
          <w:sz w:val="22"/>
          <w:szCs w:val="22"/>
        </w:rPr>
        <w:t>[</w:t>
      </w:r>
      <w:r w:rsidR="002C60EE" w:rsidRPr="007A37E1">
        <w:rPr>
          <w:rFonts w:ascii="Arial" w:hAnsi="Arial" w:cs="Arial"/>
          <w:sz w:val="22"/>
          <w:szCs w:val="22"/>
        </w:rPr>
        <w:t>an</w:t>
      </w:r>
      <w:r w:rsidR="0075158F" w:rsidRPr="007A37E1">
        <w:rPr>
          <w:rFonts w:ascii="Arial" w:hAnsi="Arial" w:cs="Arial"/>
          <w:sz w:val="22"/>
          <w:szCs w:val="22"/>
        </w:rPr>
        <w:t>]</w:t>
      </w:r>
      <w:r w:rsidRPr="007A37E1">
        <w:rPr>
          <w:rFonts w:ascii="Arial" w:hAnsi="Arial" w:cs="Arial"/>
          <w:sz w:val="22"/>
          <w:szCs w:val="22"/>
        </w:rPr>
        <w:t xml:space="preserve"> environment that is not harmful, are implicated. </w:t>
      </w:r>
    </w:p>
    <w:p w14:paraId="7D5E47A9" w14:textId="7D4C09B5" w:rsidR="00981C56" w:rsidRPr="007A37E1" w:rsidRDefault="00981C56" w:rsidP="00EE608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68</w:t>
      </w:r>
      <w:r w:rsidR="00EE6081" w:rsidRPr="007A37E1">
        <w:rPr>
          <w:rFonts w:ascii="Arial" w:hAnsi="Arial" w:cs="Arial"/>
          <w:sz w:val="22"/>
          <w:szCs w:val="22"/>
        </w:rPr>
        <w:t>.</w:t>
      </w:r>
      <w:r w:rsidR="00EE6081" w:rsidRPr="007A37E1">
        <w:rPr>
          <w:rFonts w:ascii="Arial" w:hAnsi="Arial" w:cs="Arial"/>
          <w:sz w:val="22"/>
          <w:szCs w:val="22"/>
        </w:rPr>
        <w:tab/>
      </w:r>
      <w:r w:rsidRPr="007A37E1">
        <w:rPr>
          <w:rFonts w:ascii="Arial" w:hAnsi="Arial" w:cs="Arial"/>
          <w:sz w:val="22"/>
          <w:szCs w:val="22"/>
        </w:rPr>
        <w:t xml:space="preserve">The consequence of the lockdown is that people are restricted to their </w:t>
      </w:r>
      <w:r w:rsidR="00EE6081" w:rsidRPr="007A37E1">
        <w:rPr>
          <w:rFonts w:ascii="Arial" w:hAnsi="Arial" w:cs="Arial"/>
          <w:sz w:val="22"/>
          <w:szCs w:val="22"/>
        </w:rPr>
        <w:t>pl</w:t>
      </w:r>
      <w:r w:rsidRPr="007A37E1">
        <w:rPr>
          <w:rFonts w:ascii="Arial" w:hAnsi="Arial" w:cs="Arial"/>
          <w:sz w:val="22"/>
          <w:szCs w:val="22"/>
        </w:rPr>
        <w:t>aces of residence</w:t>
      </w:r>
      <w:r w:rsidR="00EE6081" w:rsidRPr="007A37E1">
        <w:rPr>
          <w:rFonts w:ascii="Arial" w:hAnsi="Arial" w:cs="Arial"/>
          <w:sz w:val="22"/>
          <w:szCs w:val="22"/>
        </w:rPr>
        <w:t>,</w:t>
      </w:r>
      <w:r w:rsidRPr="007A37E1">
        <w:rPr>
          <w:rFonts w:ascii="Arial" w:hAnsi="Arial" w:cs="Arial"/>
          <w:sz w:val="22"/>
          <w:szCs w:val="22"/>
        </w:rPr>
        <w:t xml:space="preserve"> and they ca</w:t>
      </w:r>
      <w:r w:rsidR="00EE6081" w:rsidRPr="007A37E1">
        <w:rPr>
          <w:rFonts w:ascii="Arial" w:hAnsi="Arial" w:cs="Arial"/>
          <w:sz w:val="22"/>
          <w:szCs w:val="22"/>
        </w:rPr>
        <w:t>n</w:t>
      </w:r>
      <w:r w:rsidRPr="007A37E1">
        <w:rPr>
          <w:rFonts w:ascii="Arial" w:hAnsi="Arial" w:cs="Arial"/>
          <w:sz w:val="22"/>
          <w:szCs w:val="22"/>
        </w:rPr>
        <w:t xml:space="preserve"> leave their re</w:t>
      </w:r>
      <w:r w:rsidR="00EE6081" w:rsidRPr="007A37E1">
        <w:rPr>
          <w:rFonts w:ascii="Arial" w:hAnsi="Arial" w:cs="Arial"/>
          <w:sz w:val="22"/>
          <w:szCs w:val="22"/>
        </w:rPr>
        <w:t>sidence only</w:t>
      </w:r>
      <w:r w:rsidRPr="007A37E1">
        <w:rPr>
          <w:rFonts w:ascii="Arial" w:hAnsi="Arial" w:cs="Arial"/>
          <w:sz w:val="22"/>
          <w:szCs w:val="22"/>
        </w:rPr>
        <w:t xml:space="preserve"> if it is</w:t>
      </w:r>
      <w:r w:rsidR="00EE6081" w:rsidRPr="007A37E1">
        <w:rPr>
          <w:rFonts w:ascii="Arial" w:hAnsi="Arial" w:cs="Arial"/>
          <w:sz w:val="22"/>
          <w:szCs w:val="22"/>
        </w:rPr>
        <w:t xml:space="preserve"> </w:t>
      </w:r>
      <w:r w:rsidRPr="007A37E1">
        <w:rPr>
          <w:rFonts w:ascii="Arial" w:hAnsi="Arial" w:cs="Arial"/>
          <w:sz w:val="22"/>
          <w:szCs w:val="22"/>
        </w:rPr>
        <w:t>necessary for example to seek medical attention or to purchase food or</w:t>
      </w:r>
      <w:r w:rsidR="00EE6081" w:rsidRPr="007A37E1">
        <w:rPr>
          <w:rFonts w:ascii="Arial" w:hAnsi="Arial" w:cs="Arial"/>
          <w:sz w:val="22"/>
          <w:szCs w:val="22"/>
        </w:rPr>
        <w:t xml:space="preserve"> </w:t>
      </w:r>
      <w:r w:rsidRPr="007A37E1">
        <w:rPr>
          <w:rFonts w:ascii="Arial" w:hAnsi="Arial" w:cs="Arial"/>
          <w:sz w:val="22"/>
          <w:szCs w:val="22"/>
        </w:rPr>
        <w:t>perform essentia</w:t>
      </w:r>
      <w:r w:rsidR="00EE6081" w:rsidRPr="007A37E1">
        <w:rPr>
          <w:rFonts w:ascii="Arial" w:hAnsi="Arial" w:cs="Arial"/>
          <w:sz w:val="22"/>
          <w:szCs w:val="22"/>
        </w:rPr>
        <w:t>l</w:t>
      </w:r>
      <w:r w:rsidRPr="007A37E1">
        <w:rPr>
          <w:rFonts w:ascii="Arial" w:hAnsi="Arial" w:cs="Arial"/>
          <w:sz w:val="22"/>
          <w:szCs w:val="22"/>
        </w:rPr>
        <w:t xml:space="preserve"> service</w:t>
      </w:r>
      <w:r w:rsidR="00E30457" w:rsidRPr="007A37E1">
        <w:rPr>
          <w:rFonts w:ascii="Arial" w:hAnsi="Arial" w:cs="Arial"/>
          <w:sz w:val="22"/>
          <w:szCs w:val="22"/>
        </w:rPr>
        <w:t>[s]</w:t>
      </w:r>
      <w:r w:rsidRPr="007A37E1">
        <w:rPr>
          <w:rFonts w:ascii="Arial" w:hAnsi="Arial" w:cs="Arial"/>
          <w:sz w:val="22"/>
          <w:szCs w:val="22"/>
        </w:rPr>
        <w:t>, the lockdown measures are reasonable and justifiable to protect public good</w:t>
      </w:r>
      <w:r w:rsidR="00E30457" w:rsidRPr="007A37E1">
        <w:rPr>
          <w:rFonts w:ascii="Arial" w:hAnsi="Arial" w:cs="Arial"/>
          <w:sz w:val="22"/>
          <w:szCs w:val="22"/>
        </w:rPr>
        <w:t>[s] and services</w:t>
      </w:r>
      <w:r w:rsidRPr="007A37E1">
        <w:rPr>
          <w:rFonts w:ascii="Arial" w:hAnsi="Arial" w:cs="Arial"/>
          <w:sz w:val="22"/>
          <w:szCs w:val="22"/>
        </w:rPr>
        <w:t xml:space="preserve">. Thus the extent of the limitation is necessary to reduce the rate of infection and protect </w:t>
      </w:r>
      <w:r w:rsidR="00E30457" w:rsidRPr="007A37E1">
        <w:rPr>
          <w:rFonts w:ascii="Arial" w:hAnsi="Arial" w:cs="Arial"/>
          <w:sz w:val="22"/>
          <w:szCs w:val="22"/>
        </w:rPr>
        <w:t>[people’s]</w:t>
      </w:r>
      <w:r w:rsidRPr="007A37E1">
        <w:rPr>
          <w:rFonts w:ascii="Arial" w:hAnsi="Arial" w:cs="Arial"/>
          <w:sz w:val="22"/>
          <w:szCs w:val="22"/>
        </w:rPr>
        <w:t xml:space="preserve"> lives. </w:t>
      </w:r>
    </w:p>
    <w:p w14:paraId="6C4A2054" w14:textId="26696BC1" w:rsidR="00981C56" w:rsidRPr="007A37E1" w:rsidRDefault="00981C56" w:rsidP="00EE608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69.</w:t>
      </w:r>
      <w:r w:rsidR="00EE6081" w:rsidRPr="007A37E1">
        <w:rPr>
          <w:rFonts w:ascii="Arial" w:hAnsi="Arial" w:cs="Arial"/>
          <w:sz w:val="22"/>
          <w:szCs w:val="22"/>
        </w:rPr>
        <w:tab/>
        <w:t>Wit</w:t>
      </w:r>
      <w:r w:rsidRPr="007A37E1">
        <w:rPr>
          <w:rFonts w:ascii="Arial" w:hAnsi="Arial" w:cs="Arial"/>
          <w:sz w:val="22"/>
          <w:szCs w:val="22"/>
        </w:rPr>
        <w:t>hout the restricting or prohibiting of public gatherings, it would have been virtually impossible to reduce the rate of infection because it is conceivable that in large public gatherings for example soccer or rugby matches it would be impossible for the spectators to maintain a recommended social distancing of 1 and half met</w:t>
      </w:r>
      <w:r w:rsidR="00230FE7" w:rsidRPr="007A37E1">
        <w:rPr>
          <w:rFonts w:ascii="Arial" w:hAnsi="Arial" w:cs="Arial"/>
          <w:sz w:val="22"/>
          <w:szCs w:val="22"/>
        </w:rPr>
        <w:t>re</w:t>
      </w:r>
      <w:r w:rsidR="00E30457" w:rsidRPr="007A37E1">
        <w:rPr>
          <w:rFonts w:ascii="Arial" w:hAnsi="Arial" w:cs="Arial"/>
          <w:sz w:val="22"/>
          <w:szCs w:val="22"/>
        </w:rPr>
        <w:t>[s]</w:t>
      </w:r>
      <w:r w:rsidRPr="007A37E1">
        <w:rPr>
          <w:rFonts w:ascii="Arial" w:hAnsi="Arial" w:cs="Arial"/>
          <w:sz w:val="22"/>
          <w:szCs w:val="22"/>
        </w:rPr>
        <w:t>. As COVI</w:t>
      </w:r>
      <w:r w:rsidR="00E30457" w:rsidRPr="007A37E1">
        <w:rPr>
          <w:rFonts w:ascii="Arial" w:hAnsi="Arial" w:cs="Arial"/>
          <w:sz w:val="22"/>
          <w:szCs w:val="22"/>
        </w:rPr>
        <w:t>D</w:t>
      </w:r>
      <w:r w:rsidRPr="007A37E1">
        <w:rPr>
          <w:rFonts w:ascii="Arial" w:hAnsi="Arial" w:cs="Arial"/>
          <w:sz w:val="22"/>
          <w:szCs w:val="22"/>
        </w:rPr>
        <w:t xml:space="preserve">-19 can be transmitted through passing fluids droplets by coughing, sneezing or </w:t>
      </w:r>
      <w:r w:rsidR="00EE6081" w:rsidRPr="007A37E1">
        <w:rPr>
          <w:rFonts w:ascii="Arial" w:hAnsi="Arial" w:cs="Arial"/>
          <w:sz w:val="22"/>
          <w:szCs w:val="22"/>
        </w:rPr>
        <w:t>touching, it will be chal</w:t>
      </w:r>
      <w:r w:rsidRPr="007A37E1">
        <w:rPr>
          <w:rFonts w:ascii="Arial" w:hAnsi="Arial" w:cs="Arial"/>
          <w:sz w:val="22"/>
          <w:szCs w:val="22"/>
        </w:rPr>
        <w:t xml:space="preserve">lenging </w:t>
      </w:r>
      <w:r w:rsidR="00AE17FA" w:rsidRPr="007A37E1">
        <w:rPr>
          <w:rFonts w:ascii="Arial" w:hAnsi="Arial" w:cs="Arial"/>
          <w:iCs/>
          <w:sz w:val="22"/>
          <w:szCs w:val="22"/>
        </w:rPr>
        <w:t>[to]</w:t>
      </w:r>
      <w:r w:rsidR="00AE17FA" w:rsidRPr="007A37E1">
        <w:rPr>
          <w:rFonts w:ascii="Arial" w:hAnsi="Arial" w:cs="Arial"/>
          <w:sz w:val="22"/>
          <w:szCs w:val="22"/>
        </w:rPr>
        <w:t xml:space="preserve"> </w:t>
      </w:r>
      <w:r w:rsidRPr="007A37E1">
        <w:rPr>
          <w:rFonts w:ascii="Arial" w:hAnsi="Arial" w:cs="Arial"/>
          <w:sz w:val="22"/>
          <w:szCs w:val="22"/>
        </w:rPr>
        <w:t>maintain the re</w:t>
      </w:r>
      <w:r w:rsidR="00EE6081" w:rsidRPr="007A37E1">
        <w:rPr>
          <w:rFonts w:ascii="Arial" w:hAnsi="Arial" w:cs="Arial"/>
          <w:sz w:val="22"/>
          <w:szCs w:val="22"/>
        </w:rPr>
        <w:t xml:space="preserve">commended distance. </w:t>
      </w:r>
      <w:r w:rsidRPr="007A37E1">
        <w:rPr>
          <w:rFonts w:ascii="Arial" w:hAnsi="Arial" w:cs="Arial"/>
          <w:sz w:val="22"/>
          <w:szCs w:val="22"/>
        </w:rPr>
        <w:t xml:space="preserve"> </w:t>
      </w:r>
    </w:p>
    <w:p w14:paraId="0F691699" w14:textId="355796CB" w:rsidR="00981C56" w:rsidRPr="007A37E1" w:rsidRDefault="006F14CC" w:rsidP="00EE6081">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70.</w:t>
      </w:r>
      <w:r w:rsidR="00EE6081" w:rsidRPr="007A37E1">
        <w:rPr>
          <w:rFonts w:ascii="Arial" w:hAnsi="Arial" w:cs="Arial"/>
          <w:sz w:val="22"/>
          <w:szCs w:val="22"/>
        </w:rPr>
        <w:tab/>
      </w:r>
      <w:r w:rsidR="00981C56" w:rsidRPr="007A37E1">
        <w:rPr>
          <w:rFonts w:ascii="Arial" w:hAnsi="Arial" w:cs="Arial"/>
          <w:sz w:val="22"/>
          <w:szCs w:val="22"/>
        </w:rPr>
        <w:t xml:space="preserve">There is a close connection between the limitation and its purpose. If free movement and congregations </w:t>
      </w:r>
      <w:r w:rsidR="00E30457" w:rsidRPr="007A37E1">
        <w:rPr>
          <w:rFonts w:ascii="Arial" w:hAnsi="Arial" w:cs="Arial"/>
          <w:sz w:val="22"/>
          <w:szCs w:val="22"/>
        </w:rPr>
        <w:t>[are]</w:t>
      </w:r>
      <w:r w:rsidR="00981C56" w:rsidRPr="007A37E1">
        <w:rPr>
          <w:rFonts w:ascii="Arial" w:hAnsi="Arial" w:cs="Arial"/>
          <w:sz w:val="22"/>
          <w:szCs w:val="22"/>
        </w:rPr>
        <w:t xml:space="preserve"> minimised, the rate of infection will be reduced. If people keep social distancing, the rate of infection will be slower. If people are confined to their homes, the risk of infection is reduced. I have said in the paragraph </w:t>
      </w:r>
      <w:r w:rsidR="00981C56" w:rsidRPr="007A37E1">
        <w:rPr>
          <w:rFonts w:ascii="Arial" w:hAnsi="Arial" w:cs="Arial"/>
          <w:i/>
          <w:sz w:val="22"/>
          <w:szCs w:val="22"/>
        </w:rPr>
        <w:t>supra</w:t>
      </w:r>
      <w:r w:rsidR="00EE6081" w:rsidRPr="007A37E1">
        <w:rPr>
          <w:rFonts w:ascii="Arial" w:hAnsi="Arial" w:cs="Arial"/>
          <w:i/>
          <w:sz w:val="22"/>
          <w:szCs w:val="22"/>
        </w:rPr>
        <w:t>,</w:t>
      </w:r>
      <w:r w:rsidR="00981C56" w:rsidRPr="007A37E1">
        <w:rPr>
          <w:rFonts w:ascii="Arial" w:hAnsi="Arial" w:cs="Arial"/>
          <w:sz w:val="22"/>
          <w:szCs w:val="22"/>
        </w:rPr>
        <w:t xml:space="preserve"> people may carry this virus</w:t>
      </w:r>
      <w:r w:rsidR="00EE6081" w:rsidRPr="007A37E1">
        <w:rPr>
          <w:rFonts w:ascii="Arial" w:hAnsi="Arial" w:cs="Arial"/>
          <w:sz w:val="22"/>
          <w:szCs w:val="22"/>
        </w:rPr>
        <w:t xml:space="preserve"> </w:t>
      </w:r>
      <w:r w:rsidR="00981C56" w:rsidRPr="007A37E1">
        <w:rPr>
          <w:rFonts w:ascii="Arial" w:hAnsi="Arial" w:cs="Arial"/>
          <w:sz w:val="22"/>
          <w:szCs w:val="22"/>
        </w:rPr>
        <w:t>without showing any symptoms. The scientific evidence locally and abroad indicates tha</w:t>
      </w:r>
      <w:r w:rsidR="00EE6081" w:rsidRPr="007A37E1">
        <w:rPr>
          <w:rFonts w:ascii="Arial" w:hAnsi="Arial" w:cs="Arial"/>
          <w:sz w:val="22"/>
          <w:szCs w:val="22"/>
        </w:rPr>
        <w:t>t</w:t>
      </w:r>
      <w:r w:rsidR="00981C56" w:rsidRPr="007A37E1">
        <w:rPr>
          <w:rFonts w:ascii="Arial" w:hAnsi="Arial" w:cs="Arial"/>
          <w:sz w:val="22"/>
          <w:szCs w:val="22"/>
        </w:rPr>
        <w:t xml:space="preserve"> one infected perso</w:t>
      </w:r>
      <w:r w:rsidR="00EE6081" w:rsidRPr="007A37E1">
        <w:rPr>
          <w:rFonts w:ascii="Arial" w:hAnsi="Arial" w:cs="Arial"/>
          <w:sz w:val="22"/>
          <w:szCs w:val="22"/>
        </w:rPr>
        <w:t>n</w:t>
      </w:r>
      <w:r w:rsidR="00981C56" w:rsidRPr="007A37E1">
        <w:rPr>
          <w:rFonts w:ascii="Arial" w:hAnsi="Arial" w:cs="Arial"/>
          <w:sz w:val="22"/>
          <w:szCs w:val="22"/>
        </w:rPr>
        <w:t xml:space="preserve"> may infect two </w:t>
      </w:r>
      <w:r w:rsidR="00EE6081" w:rsidRPr="007A37E1">
        <w:rPr>
          <w:rFonts w:ascii="Arial" w:hAnsi="Arial" w:cs="Arial"/>
          <w:sz w:val="22"/>
          <w:szCs w:val="22"/>
        </w:rPr>
        <w:t>or</w:t>
      </w:r>
      <w:r w:rsidR="00981C56" w:rsidRPr="007A37E1">
        <w:rPr>
          <w:rFonts w:ascii="Arial" w:hAnsi="Arial" w:cs="Arial"/>
          <w:sz w:val="22"/>
          <w:szCs w:val="22"/>
        </w:rPr>
        <w:t xml:space="preserve"> three</w:t>
      </w:r>
      <w:r w:rsidR="00EE6081" w:rsidRPr="007A37E1">
        <w:rPr>
          <w:rFonts w:ascii="Arial" w:hAnsi="Arial" w:cs="Arial"/>
          <w:sz w:val="22"/>
          <w:szCs w:val="22"/>
        </w:rPr>
        <w:t xml:space="preserve"> </w:t>
      </w:r>
      <w:r w:rsidR="00981C56" w:rsidRPr="007A37E1">
        <w:rPr>
          <w:rFonts w:ascii="Arial" w:hAnsi="Arial" w:cs="Arial"/>
          <w:sz w:val="22"/>
          <w:szCs w:val="22"/>
        </w:rPr>
        <w:t>people. The purpos</w:t>
      </w:r>
      <w:r w:rsidR="00EE6081" w:rsidRPr="007A37E1">
        <w:rPr>
          <w:rFonts w:ascii="Arial" w:hAnsi="Arial" w:cs="Arial"/>
          <w:sz w:val="22"/>
          <w:szCs w:val="22"/>
        </w:rPr>
        <w:t>e</w:t>
      </w:r>
      <w:r w:rsidR="00981C56" w:rsidRPr="007A37E1">
        <w:rPr>
          <w:rFonts w:ascii="Arial" w:hAnsi="Arial" w:cs="Arial"/>
          <w:sz w:val="22"/>
          <w:szCs w:val="22"/>
        </w:rPr>
        <w:t xml:space="preserve"> of the </w:t>
      </w:r>
      <w:r w:rsidR="00EE6081" w:rsidRPr="007A37E1">
        <w:rPr>
          <w:rFonts w:ascii="Arial" w:hAnsi="Arial" w:cs="Arial"/>
          <w:sz w:val="22"/>
          <w:szCs w:val="22"/>
        </w:rPr>
        <w:t>l</w:t>
      </w:r>
      <w:r w:rsidR="00981C56" w:rsidRPr="007A37E1">
        <w:rPr>
          <w:rFonts w:ascii="Arial" w:hAnsi="Arial" w:cs="Arial"/>
          <w:sz w:val="22"/>
          <w:szCs w:val="22"/>
        </w:rPr>
        <w:t>imitation cannot be over emphasised</w:t>
      </w:r>
      <w:r w:rsidR="00EE6081" w:rsidRPr="007A37E1">
        <w:rPr>
          <w:rFonts w:ascii="Arial" w:hAnsi="Arial" w:cs="Arial"/>
          <w:sz w:val="22"/>
          <w:szCs w:val="22"/>
        </w:rPr>
        <w:t>.</w:t>
      </w:r>
      <w:r w:rsidR="00981C56" w:rsidRPr="007A37E1">
        <w:rPr>
          <w:rFonts w:ascii="Arial" w:hAnsi="Arial" w:cs="Arial"/>
          <w:sz w:val="22"/>
          <w:szCs w:val="22"/>
        </w:rPr>
        <w:t xml:space="preserve"> It is </w:t>
      </w:r>
      <w:r w:rsidR="00EE6081" w:rsidRPr="007A37E1">
        <w:rPr>
          <w:rFonts w:ascii="Arial" w:hAnsi="Arial" w:cs="Arial"/>
          <w:sz w:val="22"/>
          <w:szCs w:val="22"/>
        </w:rPr>
        <w:t>to</w:t>
      </w:r>
      <w:r w:rsidR="00981C56" w:rsidRPr="007A37E1">
        <w:rPr>
          <w:rFonts w:ascii="Arial" w:hAnsi="Arial" w:cs="Arial"/>
          <w:sz w:val="22"/>
          <w:szCs w:val="22"/>
        </w:rPr>
        <w:t xml:space="preserve"> save lives. Saving lives takes precedence over freedom of movement and the right to assemble or demonstrate. </w:t>
      </w:r>
    </w:p>
    <w:p w14:paraId="49A586F8" w14:textId="2759BDF4" w:rsidR="004A7094" w:rsidRPr="007A37E1" w:rsidRDefault="00981C56" w:rsidP="00EE6081">
      <w:pPr>
        <w:tabs>
          <w:tab w:val="left" w:pos="284"/>
          <w:tab w:val="left" w:pos="567"/>
        </w:tabs>
        <w:spacing w:line="360" w:lineRule="auto"/>
        <w:ind w:left="567" w:hanging="567"/>
        <w:jc w:val="both"/>
        <w:rPr>
          <w:rFonts w:ascii="Arial" w:hAnsi="Arial" w:cs="Arial"/>
          <w:sz w:val="22"/>
          <w:szCs w:val="22"/>
        </w:rPr>
      </w:pPr>
      <w:r w:rsidRPr="007A37E1">
        <w:rPr>
          <w:rFonts w:ascii="Arial" w:hAnsi="Arial" w:cs="Arial"/>
          <w:sz w:val="22"/>
          <w:szCs w:val="22"/>
        </w:rPr>
        <w:t>71</w:t>
      </w:r>
      <w:r w:rsidR="00EE6081" w:rsidRPr="007A37E1">
        <w:rPr>
          <w:rFonts w:ascii="Arial" w:hAnsi="Arial" w:cs="Arial"/>
          <w:sz w:val="22"/>
          <w:szCs w:val="22"/>
        </w:rPr>
        <w:t>.</w:t>
      </w:r>
      <w:r w:rsidR="00EE6081" w:rsidRPr="007A37E1">
        <w:rPr>
          <w:rFonts w:ascii="Arial" w:hAnsi="Arial" w:cs="Arial"/>
          <w:sz w:val="22"/>
          <w:szCs w:val="22"/>
        </w:rPr>
        <w:tab/>
      </w:r>
      <w:r w:rsidRPr="007A37E1">
        <w:rPr>
          <w:rFonts w:ascii="Arial" w:hAnsi="Arial" w:cs="Arial"/>
          <w:sz w:val="22"/>
          <w:szCs w:val="22"/>
        </w:rPr>
        <w:t>It is evident from other counties such as the United Kingdom, United States of America, Russia, Italy just to mention a few, that it became practically difficult to reduce the rate of infection without implementing the lockdown. The lockdown measures employed were the less restrictive measures to achieve the governmental purpose of saving lives of the South African population and use state resources where mos</w:t>
      </w:r>
      <w:r w:rsidR="00480A61" w:rsidRPr="007A37E1">
        <w:rPr>
          <w:rFonts w:ascii="Arial" w:hAnsi="Arial" w:cs="Arial"/>
          <w:sz w:val="22"/>
          <w:szCs w:val="22"/>
        </w:rPr>
        <w:t>t needed.’</w:t>
      </w:r>
    </w:p>
    <w:p w14:paraId="41E12C8C" w14:textId="7C40AEC0" w:rsidR="00B70BB5" w:rsidRPr="007A37E1" w:rsidRDefault="00B70BB5" w:rsidP="00B70BB5">
      <w:pPr>
        <w:tabs>
          <w:tab w:val="left" w:pos="284"/>
        </w:tabs>
        <w:spacing w:line="360" w:lineRule="auto"/>
        <w:jc w:val="both"/>
        <w:rPr>
          <w:rFonts w:ascii="Arial" w:hAnsi="Arial" w:cs="Arial"/>
        </w:rPr>
      </w:pPr>
      <w:r w:rsidRPr="007A37E1">
        <w:rPr>
          <w:rFonts w:ascii="Arial" w:hAnsi="Arial" w:cs="Arial"/>
        </w:rPr>
        <w:lastRenderedPageBreak/>
        <w:t xml:space="preserve">Reliance was also placed on the decision in </w:t>
      </w:r>
      <w:r w:rsidR="003F4352" w:rsidRPr="007A37E1">
        <w:rPr>
          <w:rFonts w:ascii="Arial" w:hAnsi="Arial" w:cs="Arial"/>
          <w:i/>
        </w:rPr>
        <w:t>Mohamed and Others v President of the Republic of South Africa and Others</w:t>
      </w:r>
      <w:r w:rsidR="00F024FB" w:rsidRPr="007A37E1">
        <w:rPr>
          <w:rFonts w:ascii="Arial" w:hAnsi="Arial" w:cs="Arial"/>
        </w:rPr>
        <w:t>,</w:t>
      </w:r>
      <w:r w:rsidR="00275D6D" w:rsidRPr="007A37E1">
        <w:rPr>
          <w:rStyle w:val="FootnoteReference"/>
          <w:rFonts w:ascii="Arial" w:hAnsi="Arial" w:cs="Arial"/>
        </w:rPr>
        <w:footnoteReference w:id="6"/>
      </w:r>
      <w:r w:rsidR="00F40179" w:rsidRPr="007A37E1">
        <w:rPr>
          <w:rFonts w:ascii="Arial" w:hAnsi="Arial" w:cs="Arial"/>
        </w:rPr>
        <w:t xml:space="preserve"> where the court accepted </w:t>
      </w:r>
      <w:r w:rsidR="00327CBE" w:rsidRPr="007A37E1">
        <w:rPr>
          <w:rFonts w:ascii="Arial" w:hAnsi="Arial" w:cs="Arial"/>
        </w:rPr>
        <w:t>that the government consulted extensively and that it could not find that the restrictions imposed</w:t>
      </w:r>
      <w:r w:rsidR="003E051A" w:rsidRPr="007A37E1">
        <w:rPr>
          <w:rFonts w:ascii="Arial" w:hAnsi="Arial" w:cs="Arial"/>
        </w:rPr>
        <w:t xml:space="preserve"> were either unreasonable or unjustifiable</w:t>
      </w:r>
      <w:r w:rsidR="003F4352" w:rsidRPr="007A37E1">
        <w:rPr>
          <w:rFonts w:ascii="Arial" w:hAnsi="Arial" w:cs="Arial"/>
        </w:rPr>
        <w:t>.</w:t>
      </w:r>
    </w:p>
    <w:p w14:paraId="301B1E9D" w14:textId="77777777" w:rsidR="007045AE" w:rsidRPr="007A37E1" w:rsidRDefault="007045AE" w:rsidP="00B70BB5">
      <w:pPr>
        <w:tabs>
          <w:tab w:val="left" w:pos="284"/>
        </w:tabs>
        <w:spacing w:line="360" w:lineRule="auto"/>
        <w:jc w:val="both"/>
        <w:rPr>
          <w:rFonts w:ascii="Arial" w:hAnsi="Arial" w:cs="Arial"/>
        </w:rPr>
      </w:pPr>
    </w:p>
    <w:p w14:paraId="29FAFF33" w14:textId="751F49E7" w:rsidR="007F7397" w:rsidRPr="007A37E1" w:rsidRDefault="00B70BB5" w:rsidP="008D333A">
      <w:pPr>
        <w:spacing w:line="360" w:lineRule="auto"/>
        <w:jc w:val="both"/>
        <w:rPr>
          <w:rFonts w:ascii="Arial" w:hAnsi="Arial" w:cs="Arial"/>
        </w:rPr>
      </w:pPr>
      <w:r w:rsidRPr="007A37E1">
        <w:rPr>
          <w:rFonts w:ascii="Arial" w:hAnsi="Arial" w:cs="Arial"/>
        </w:rPr>
        <w:t>[2</w:t>
      </w:r>
      <w:r w:rsidR="002858BC" w:rsidRPr="007A37E1">
        <w:rPr>
          <w:rFonts w:ascii="Arial" w:hAnsi="Arial" w:cs="Arial"/>
        </w:rPr>
        <w:t>8</w:t>
      </w:r>
      <w:r w:rsidRPr="007A37E1">
        <w:rPr>
          <w:rFonts w:ascii="Arial" w:hAnsi="Arial" w:cs="Arial"/>
        </w:rPr>
        <w:t>]</w:t>
      </w:r>
      <w:r w:rsidRPr="007A37E1">
        <w:rPr>
          <w:rFonts w:ascii="Arial" w:hAnsi="Arial" w:cs="Arial"/>
        </w:rPr>
        <w:tab/>
        <w:t>It is to the</w:t>
      </w:r>
      <w:r w:rsidR="00A05E87" w:rsidRPr="007A37E1">
        <w:rPr>
          <w:rFonts w:ascii="Arial" w:hAnsi="Arial" w:cs="Arial"/>
        </w:rPr>
        <w:t xml:space="preserve"> high </w:t>
      </w:r>
      <w:r w:rsidRPr="007A37E1">
        <w:rPr>
          <w:rFonts w:ascii="Arial" w:hAnsi="Arial" w:cs="Arial"/>
        </w:rPr>
        <w:t>court’s reasoning and the resultant order that we now turn.</w:t>
      </w:r>
      <w:r w:rsidR="007F7397" w:rsidRPr="007A37E1">
        <w:rPr>
          <w:rFonts w:ascii="Arial" w:hAnsi="Arial" w:cs="Arial"/>
          <w:lang w:val="en-US"/>
        </w:rPr>
        <w:t xml:space="preserve"> On 2 June 2020, the </w:t>
      </w:r>
      <w:r w:rsidR="00A05E87" w:rsidRPr="007A37E1">
        <w:rPr>
          <w:rFonts w:ascii="Arial" w:hAnsi="Arial" w:cs="Arial"/>
          <w:lang w:val="en-US"/>
        </w:rPr>
        <w:t>h</w:t>
      </w:r>
      <w:r w:rsidR="007F7397" w:rsidRPr="007A37E1">
        <w:rPr>
          <w:rFonts w:ascii="Arial" w:hAnsi="Arial" w:cs="Arial"/>
          <w:lang w:val="en-US"/>
        </w:rPr>
        <w:t xml:space="preserve">igh </w:t>
      </w:r>
      <w:r w:rsidR="00A05E87" w:rsidRPr="007A37E1">
        <w:rPr>
          <w:rFonts w:ascii="Arial" w:hAnsi="Arial" w:cs="Arial"/>
          <w:lang w:val="en-US"/>
        </w:rPr>
        <w:t>c</w:t>
      </w:r>
      <w:r w:rsidR="007F7397" w:rsidRPr="007A37E1">
        <w:rPr>
          <w:rFonts w:ascii="Arial" w:hAnsi="Arial" w:cs="Arial"/>
          <w:lang w:val="en-US"/>
        </w:rPr>
        <w:t>ourt declared all the regulations irrational, unconstitutional, unlawful and invalid in their entirety</w:t>
      </w:r>
      <w:r w:rsidR="0081324A" w:rsidRPr="007A37E1">
        <w:rPr>
          <w:rFonts w:ascii="Arial" w:hAnsi="Arial" w:cs="Arial"/>
          <w:lang w:val="en-US"/>
        </w:rPr>
        <w:t>, with the seeming exception of the prohibition on tob</w:t>
      </w:r>
      <w:r w:rsidR="00271FF1" w:rsidRPr="007A37E1">
        <w:rPr>
          <w:rFonts w:ascii="Arial" w:hAnsi="Arial" w:cs="Arial"/>
          <w:lang w:val="en-US"/>
        </w:rPr>
        <w:t>acco and related products</w:t>
      </w:r>
      <w:r w:rsidR="007F7397" w:rsidRPr="007A37E1">
        <w:rPr>
          <w:rFonts w:ascii="Arial" w:hAnsi="Arial" w:cs="Arial"/>
          <w:lang w:val="en-US"/>
        </w:rPr>
        <w:t xml:space="preserve">. </w:t>
      </w:r>
      <w:r w:rsidR="0047307C" w:rsidRPr="007A37E1">
        <w:rPr>
          <w:rFonts w:ascii="Arial" w:hAnsi="Arial" w:cs="Arial"/>
          <w:lang w:val="en-US"/>
        </w:rPr>
        <w:t xml:space="preserve">This broad formulation included and was intended to include, within its scope, the Level 3 regulations, even though they were not dealt with in the affidavits and were not before the court when the case was argued. </w:t>
      </w:r>
      <w:r w:rsidR="007F7397" w:rsidRPr="007A37E1">
        <w:rPr>
          <w:rFonts w:ascii="Arial" w:hAnsi="Arial" w:cs="Arial"/>
          <w:lang w:val="en-US"/>
        </w:rPr>
        <w:t>It did so essentially on the grounds that they are irrational and constitute an unjustifiable limitation of rights in the Bill of Rights. In that regard</w:t>
      </w:r>
      <w:r w:rsidR="00502619" w:rsidRPr="007A37E1">
        <w:rPr>
          <w:rFonts w:ascii="Arial" w:hAnsi="Arial" w:cs="Arial"/>
          <w:lang w:val="en-US"/>
        </w:rPr>
        <w:t>,</w:t>
      </w:r>
      <w:r w:rsidR="007F7397" w:rsidRPr="007A37E1">
        <w:rPr>
          <w:rFonts w:ascii="Arial" w:hAnsi="Arial" w:cs="Arial"/>
          <w:lang w:val="en-US"/>
        </w:rPr>
        <w:t xml:space="preserve"> the high court held:</w:t>
      </w:r>
    </w:p>
    <w:p w14:paraId="7CED117D" w14:textId="5E77A22D" w:rsidR="007F7397" w:rsidRPr="007A37E1" w:rsidRDefault="008D333A" w:rsidP="008D333A">
      <w:pPr>
        <w:tabs>
          <w:tab w:val="left" w:pos="567"/>
        </w:tabs>
        <w:spacing w:line="360" w:lineRule="auto"/>
        <w:jc w:val="both"/>
        <w:rPr>
          <w:rFonts w:ascii="Arial" w:hAnsi="Arial" w:cs="Arial"/>
          <w:sz w:val="22"/>
          <w:szCs w:val="22"/>
        </w:rPr>
      </w:pPr>
      <w:r w:rsidRPr="007A37E1">
        <w:rPr>
          <w:rFonts w:ascii="Arial" w:hAnsi="Arial" w:cs="Arial"/>
          <w:sz w:val="22"/>
          <w:szCs w:val="22"/>
        </w:rPr>
        <w:t>‘[7]</w:t>
      </w:r>
      <w:r w:rsidRPr="007A37E1">
        <w:rPr>
          <w:rFonts w:ascii="Arial" w:hAnsi="Arial" w:cs="Arial"/>
          <w:sz w:val="22"/>
          <w:szCs w:val="22"/>
        </w:rPr>
        <w:tab/>
      </w:r>
      <w:r w:rsidR="007F7397" w:rsidRPr="007A37E1">
        <w:rPr>
          <w:rFonts w:ascii="Arial" w:hAnsi="Arial" w:cs="Arial"/>
          <w:sz w:val="22"/>
          <w:szCs w:val="22"/>
          <w:u w:val="single"/>
        </w:rPr>
        <w:t>Applying the rationality test</w:t>
      </w:r>
      <w:r w:rsidR="007F7397" w:rsidRPr="007A37E1">
        <w:rPr>
          <w:rFonts w:ascii="Arial" w:hAnsi="Arial" w:cs="Arial"/>
          <w:sz w:val="22"/>
          <w:szCs w:val="22"/>
        </w:rPr>
        <w:t xml:space="preserve">: </w:t>
      </w:r>
    </w:p>
    <w:p w14:paraId="2DC4F55A" w14:textId="361F0FE7" w:rsidR="007F7397" w:rsidRPr="007A37E1" w:rsidRDefault="007F7397" w:rsidP="008D333A">
      <w:pPr>
        <w:spacing w:line="360" w:lineRule="auto"/>
        <w:jc w:val="both"/>
        <w:rPr>
          <w:rFonts w:ascii="Arial" w:hAnsi="Arial" w:cs="Arial"/>
          <w:sz w:val="22"/>
          <w:szCs w:val="22"/>
        </w:rPr>
      </w:pPr>
      <w:r w:rsidRPr="007A37E1">
        <w:rPr>
          <w:rFonts w:ascii="Arial" w:hAnsi="Arial" w:cs="Arial"/>
          <w:sz w:val="22"/>
          <w:szCs w:val="22"/>
        </w:rPr>
        <w:t>It is now necessary to test the rationality of s</w:t>
      </w:r>
      <w:r w:rsidRPr="007A37E1">
        <w:rPr>
          <w:rFonts w:ascii="Arial" w:hAnsi="Arial" w:cs="Arial"/>
          <w:color w:val="000000" w:themeColor="text1"/>
          <w:sz w:val="22"/>
          <w:szCs w:val="22"/>
        </w:rPr>
        <w:t>o</w:t>
      </w:r>
      <w:r w:rsidR="00152ABC" w:rsidRPr="007A37E1">
        <w:rPr>
          <w:rFonts w:ascii="Arial" w:hAnsi="Arial" w:cs="Arial"/>
          <w:color w:val="000000" w:themeColor="text1"/>
          <w:sz w:val="22"/>
          <w:szCs w:val="22"/>
        </w:rPr>
        <w:t>m</w:t>
      </w:r>
      <w:r w:rsidRPr="007A37E1">
        <w:rPr>
          <w:rFonts w:ascii="Arial" w:hAnsi="Arial" w:cs="Arial"/>
          <w:color w:val="000000" w:themeColor="text1"/>
          <w:sz w:val="22"/>
          <w:szCs w:val="22"/>
        </w:rPr>
        <w:t>e</w:t>
      </w:r>
      <w:r w:rsidRPr="007A37E1">
        <w:rPr>
          <w:rFonts w:ascii="Arial" w:hAnsi="Arial" w:cs="Arial"/>
          <w:sz w:val="22"/>
          <w:szCs w:val="22"/>
        </w:rPr>
        <w:t xml:space="preserve"> of the regulations and their "connectivity" to the stated objectives of preventing the spread of infection: </w:t>
      </w:r>
    </w:p>
    <w:p w14:paraId="78054ACB" w14:textId="481C02AF" w:rsidR="007F7397" w:rsidRPr="007A37E1" w:rsidRDefault="008D333A" w:rsidP="008D333A">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7.1</w:t>
      </w:r>
      <w:r w:rsidRPr="007A37E1">
        <w:rPr>
          <w:rFonts w:ascii="Arial" w:hAnsi="Arial" w:cs="Arial"/>
          <w:sz w:val="22"/>
          <w:szCs w:val="22"/>
        </w:rPr>
        <w:tab/>
      </w:r>
      <w:r w:rsidR="007F7397" w:rsidRPr="007A37E1">
        <w:rPr>
          <w:rFonts w:ascii="Arial" w:hAnsi="Arial" w:cs="Arial"/>
          <w:sz w:val="22"/>
          <w:szCs w:val="22"/>
        </w:rPr>
        <w:t>When a person, young or old, is in the grip of a terminal disease (other than COVID 19) and is slowly leaving this life, to ease that suffering and the passing, it is part of the nature of humanity for family and loved ones to support the sufferer. Moreover</w:t>
      </w:r>
      <w:r w:rsidR="006A656C" w:rsidRPr="007A37E1">
        <w:rPr>
          <w:rFonts w:ascii="Arial" w:hAnsi="Arial" w:cs="Arial"/>
          <w:sz w:val="22"/>
          <w:szCs w:val="22"/>
        </w:rPr>
        <w:t>,</w:t>
      </w:r>
      <w:r w:rsidR="007F7397" w:rsidRPr="007A37E1">
        <w:rPr>
          <w:rFonts w:ascii="Arial" w:hAnsi="Arial" w:cs="Arial"/>
          <w:sz w:val="22"/>
          <w:szCs w:val="22"/>
        </w:rPr>
        <w:t xml:space="preserve"> there are moral, religious and Ubuntu imperatives demanding this. One might understand the reluctance to have an influx of visitors should the person at death's door be inside the doors of a medical facility for fear of the spread of COVID 19, but what if the person is in his or her own home or at the home of a family member or friend? Loved ones are by the lockdown regulations prohibited from leaving their home to visit if they are not the care-givers of the patient, despite being prepared to limit their numbers and take any prescribed precautions</w:t>
      </w:r>
      <w:r w:rsidR="00C40B01" w:rsidRPr="007A37E1">
        <w:rPr>
          <w:rFonts w:ascii="Arial" w:hAnsi="Arial" w:cs="Arial"/>
          <w:sz w:val="22"/>
          <w:szCs w:val="22"/>
        </w:rPr>
        <w:t>.</w:t>
      </w:r>
      <w:r w:rsidR="007F7397" w:rsidRPr="007A37E1">
        <w:rPr>
          <w:rFonts w:ascii="Arial" w:hAnsi="Arial" w:cs="Arial"/>
          <w:sz w:val="22"/>
          <w:szCs w:val="22"/>
        </w:rPr>
        <w:t xml:space="preserve"> But once the person has passed away, up to 50 people armed with certified copies of death certificates may even cross provincial borders to attend the funeral of one who has departed </w:t>
      </w:r>
      <w:r w:rsidR="007F7397" w:rsidRPr="007A37E1">
        <w:rPr>
          <w:rFonts w:ascii="Arial" w:hAnsi="Arial" w:cs="Arial"/>
          <w:sz w:val="22"/>
          <w:szCs w:val="22"/>
        </w:rPr>
        <w:lastRenderedPageBreak/>
        <w:t xml:space="preserve">and is no longer in need of support. The disparity of the situations are not only distressing but irrational (Regulation 35). </w:t>
      </w:r>
    </w:p>
    <w:p w14:paraId="7E134A6C" w14:textId="759FE0BE" w:rsidR="007F7397" w:rsidRPr="007A37E1" w:rsidRDefault="008D333A" w:rsidP="008D333A">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7.2</w:t>
      </w:r>
      <w:r w:rsidRPr="007A37E1">
        <w:rPr>
          <w:rFonts w:ascii="Arial" w:hAnsi="Arial" w:cs="Arial"/>
          <w:sz w:val="22"/>
          <w:szCs w:val="22"/>
        </w:rPr>
        <w:tab/>
      </w:r>
      <w:r w:rsidR="007F7397" w:rsidRPr="007A37E1">
        <w:rPr>
          <w:rFonts w:ascii="Arial" w:hAnsi="Arial" w:cs="Arial"/>
          <w:sz w:val="22"/>
          <w:szCs w:val="22"/>
        </w:rPr>
        <w:t>There are numerous, thousands, no, millions of South African</w:t>
      </w:r>
      <w:r w:rsidR="0047307C" w:rsidRPr="007A37E1">
        <w:rPr>
          <w:rFonts w:ascii="Arial" w:hAnsi="Arial" w:cs="Arial"/>
          <w:sz w:val="22"/>
          <w:szCs w:val="22"/>
        </w:rPr>
        <w:t>s</w:t>
      </w:r>
      <w:r w:rsidR="007F7397" w:rsidRPr="007A37E1">
        <w:rPr>
          <w:rFonts w:ascii="Arial" w:hAnsi="Arial" w:cs="Arial"/>
          <w:sz w:val="22"/>
          <w:szCs w:val="22"/>
        </w:rPr>
        <w:t xml:space="preserve"> who operate in the informal sector. There are traders, fisheries, shore-foragers, construction workers, street-vendors, waste-pickers, hairdressers and the like who have lost their livelihood and the right to </w:t>
      </w:r>
      <w:r w:rsidR="00C40B01" w:rsidRPr="007A37E1">
        <w:rPr>
          <w:rFonts w:ascii="Arial" w:hAnsi="Arial" w:cs="Arial"/>
          <w:sz w:val="22"/>
          <w:szCs w:val="22"/>
        </w:rPr>
        <w:t>“</w:t>
      </w:r>
      <w:r w:rsidR="007F7397" w:rsidRPr="007A37E1">
        <w:rPr>
          <w:rFonts w:ascii="Arial" w:hAnsi="Arial" w:cs="Arial"/>
          <w:sz w:val="22"/>
          <w:szCs w:val="22"/>
        </w:rPr>
        <w:t>eke out a livelihood</w:t>
      </w:r>
      <w:r w:rsidR="00C40B01" w:rsidRPr="007A37E1">
        <w:rPr>
          <w:rFonts w:ascii="Arial" w:hAnsi="Arial" w:cs="Arial"/>
          <w:sz w:val="22"/>
          <w:szCs w:val="22"/>
        </w:rPr>
        <w:t>”</w:t>
      </w:r>
      <w:r w:rsidR="007F7397" w:rsidRPr="007A37E1">
        <w:rPr>
          <w:rFonts w:ascii="Arial" w:hAnsi="Arial" w:cs="Arial"/>
          <w:sz w:val="22"/>
          <w:szCs w:val="22"/>
        </w:rPr>
        <w:t xml:space="preserve"> as the President referred to it as a result of the regulations. Their contact with other people are less on a daily basis than for example the attendance of a single funeral. The blanket ban imposed on them as opposed to the imposition of limitations and precautions appear to be irrational. </w:t>
      </w:r>
    </w:p>
    <w:p w14:paraId="451B1B07" w14:textId="5719960A" w:rsidR="007F7397" w:rsidRPr="007A37E1" w:rsidRDefault="008D333A" w:rsidP="008D333A">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7.3</w:t>
      </w:r>
      <w:r w:rsidRPr="007A37E1">
        <w:rPr>
          <w:rFonts w:ascii="Arial" w:hAnsi="Arial" w:cs="Arial"/>
          <w:sz w:val="22"/>
          <w:szCs w:val="22"/>
        </w:rPr>
        <w:tab/>
      </w:r>
      <w:r w:rsidR="007F7397" w:rsidRPr="007A37E1">
        <w:rPr>
          <w:rFonts w:ascii="Arial" w:hAnsi="Arial" w:cs="Arial"/>
          <w:sz w:val="22"/>
          <w:szCs w:val="22"/>
        </w:rPr>
        <w:t>To illustrate this irrationality further in the case of hairdressers: a single mother and sole provider for her family may have been prepared to comply with all the preventative measures proposed in the draft Alert Level 3 regulations but must now watch her children go hungry while witnessing minicab taxis pass with passengers in closer proximity to each other than they would have been in her salon. She is stri</w:t>
      </w:r>
      <w:r w:rsidRPr="007A37E1">
        <w:rPr>
          <w:rFonts w:ascii="Arial" w:hAnsi="Arial" w:cs="Arial"/>
          <w:sz w:val="22"/>
          <w:szCs w:val="22"/>
        </w:rPr>
        <w:t>pped of her rights of dignity,</w:t>
      </w:r>
      <w:r w:rsidR="007F7397" w:rsidRPr="007A37E1">
        <w:rPr>
          <w:rFonts w:ascii="Arial" w:hAnsi="Arial" w:cs="Arial"/>
          <w:sz w:val="22"/>
          <w:szCs w:val="22"/>
        </w:rPr>
        <w:t xml:space="preserve"> equality, to earn a living and to provide for the best interests of her children. (Table 2 item 7). </w:t>
      </w:r>
    </w:p>
    <w:p w14:paraId="3BE8B6E2" w14:textId="574DA00E" w:rsidR="007F7397" w:rsidRPr="007A37E1" w:rsidRDefault="008D333A" w:rsidP="00877483">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7.4</w:t>
      </w:r>
      <w:r w:rsidRPr="007A37E1">
        <w:rPr>
          <w:rFonts w:ascii="Arial" w:hAnsi="Arial" w:cs="Arial"/>
          <w:sz w:val="22"/>
          <w:szCs w:val="22"/>
        </w:rPr>
        <w:tab/>
      </w:r>
      <w:r w:rsidR="007F7397" w:rsidRPr="007A37E1">
        <w:rPr>
          <w:rFonts w:ascii="Arial" w:hAnsi="Arial" w:cs="Arial"/>
          <w:sz w:val="22"/>
          <w:szCs w:val="22"/>
        </w:rPr>
        <w:t xml:space="preserve">There were also numerous complaints referred to in </w:t>
      </w:r>
      <w:r w:rsidR="00C40B01" w:rsidRPr="007A37E1">
        <w:rPr>
          <w:rFonts w:ascii="Arial" w:hAnsi="Arial" w:cs="Arial"/>
          <w:sz w:val="22"/>
          <w:szCs w:val="22"/>
        </w:rPr>
        <w:t xml:space="preserve">[the] </w:t>
      </w:r>
      <w:r w:rsidR="007F7397" w:rsidRPr="007A37E1">
        <w:rPr>
          <w:rFonts w:ascii="Arial" w:hAnsi="Arial" w:cs="Arial"/>
          <w:sz w:val="22"/>
          <w:szCs w:val="22"/>
        </w:rPr>
        <w:t xml:space="preserve">papers about Regulation 34 placing irrational obstacles in the way of those responsible for children or in the position of care-givers of children to see that their best interests are catered for. </w:t>
      </w:r>
    </w:p>
    <w:p w14:paraId="69BCBFAF" w14:textId="2EF9A887" w:rsidR="007F7397" w:rsidRPr="007A37E1" w:rsidRDefault="008D333A" w:rsidP="008D333A">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7.5</w:t>
      </w:r>
      <w:r w:rsidRPr="007A37E1">
        <w:rPr>
          <w:rFonts w:ascii="Arial" w:hAnsi="Arial" w:cs="Arial"/>
          <w:sz w:val="22"/>
          <w:szCs w:val="22"/>
        </w:rPr>
        <w:tab/>
      </w:r>
      <w:r w:rsidR="007F7397" w:rsidRPr="007A37E1">
        <w:rPr>
          <w:rFonts w:ascii="Arial" w:hAnsi="Arial" w:cs="Arial"/>
          <w:sz w:val="22"/>
          <w:szCs w:val="22"/>
        </w:rPr>
        <w:t xml:space="preserve">Random other regulations regarding funerals and the passing of persons also lack rationality. If one wants to prevent the spreading of the virus through close proximity, why ban night vigils totally? Why not impose time, distance and closed casket prohibitions? Why not allow a vigil without the body of the deceased? Such a limitation on a cultural practice would be a lesser limitation than an absolute prohibition. If long-distance travel is allowed, albeit under strict limitations, a vigil by a limited number of grieving family members under similar limitations can hardly pose a larger threat. And should grieving family members breach this prohibition, their grief is even criminalized (Regulations 35(3) and 48(2)). </w:t>
      </w:r>
    </w:p>
    <w:p w14:paraId="091296A3" w14:textId="1BA8D9D7" w:rsidR="007F7397" w:rsidRPr="007A37E1" w:rsidRDefault="008D333A" w:rsidP="008D333A">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7.6</w:t>
      </w:r>
      <w:r w:rsidRPr="007A37E1">
        <w:rPr>
          <w:rFonts w:ascii="Arial" w:hAnsi="Arial" w:cs="Arial"/>
          <w:sz w:val="22"/>
          <w:szCs w:val="22"/>
        </w:rPr>
        <w:tab/>
      </w:r>
      <w:r w:rsidR="007F7397" w:rsidRPr="007A37E1">
        <w:rPr>
          <w:rFonts w:ascii="Arial" w:hAnsi="Arial" w:cs="Arial"/>
          <w:sz w:val="22"/>
          <w:szCs w:val="22"/>
        </w:rPr>
        <w:t xml:space="preserve">There is also no rational connection to the stated objectives for the limitation on the degree of the familial relationship to a deceased in order to permissibly attend his or her funeral. What if the deceased is a clan elder or the leader of a community or the traditional head of a small village? Rather than limit the number of funeral attendees with preference to family members, exclusions are now regulated, arbitrarily ignoring the facts of each case (Regulation 35(1)). </w:t>
      </w:r>
    </w:p>
    <w:p w14:paraId="29299A92" w14:textId="11DB5855" w:rsidR="007F7397" w:rsidRPr="007A37E1" w:rsidRDefault="008D333A" w:rsidP="008D333A">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lastRenderedPageBreak/>
        <w:t>7.7</w:t>
      </w:r>
      <w:r w:rsidRPr="007A37E1">
        <w:rPr>
          <w:rFonts w:ascii="Arial" w:hAnsi="Arial" w:cs="Arial"/>
          <w:sz w:val="22"/>
          <w:szCs w:val="22"/>
        </w:rPr>
        <w:tab/>
      </w:r>
      <w:r w:rsidR="007F7397" w:rsidRPr="007A37E1">
        <w:rPr>
          <w:rFonts w:ascii="Arial" w:hAnsi="Arial" w:cs="Arial"/>
          <w:sz w:val="22"/>
          <w:szCs w:val="22"/>
        </w:rPr>
        <w:t>The limitations on exercise are equally perplexing: If the laudable objective is not to have large groups of people exercising in close proximity to each other, the regulations should say so rather than prohibit the organizing of exercise in an arbitrary fashion (Regulation 33</w:t>
      </w:r>
      <w:r w:rsidR="00D8348A" w:rsidRPr="007A37E1">
        <w:rPr>
          <w:rFonts w:ascii="Arial" w:hAnsi="Arial" w:cs="Arial"/>
          <w:sz w:val="22"/>
          <w:szCs w:val="22"/>
        </w:rPr>
        <w:t>[</w:t>
      </w:r>
      <w:r w:rsidR="00B11EF0" w:rsidRPr="007A37E1">
        <w:rPr>
          <w:rFonts w:ascii="Arial" w:hAnsi="Arial" w:cs="Arial"/>
          <w:sz w:val="22"/>
          <w:szCs w:val="22"/>
        </w:rPr>
        <w:t>(1)</w:t>
      </w:r>
      <w:r w:rsidR="00D8348A" w:rsidRPr="007A37E1">
        <w:rPr>
          <w:rFonts w:ascii="Arial" w:hAnsi="Arial" w:cs="Arial"/>
          <w:sz w:val="22"/>
          <w:szCs w:val="22"/>
        </w:rPr>
        <w:t>]</w:t>
      </w:r>
      <w:r w:rsidR="007F7397" w:rsidRPr="007A37E1">
        <w:rPr>
          <w:rFonts w:ascii="Arial" w:hAnsi="Arial" w:cs="Arial"/>
          <w:sz w:val="22"/>
          <w:szCs w:val="22"/>
        </w:rPr>
        <w:t xml:space="preserve">(e)). </w:t>
      </w:r>
    </w:p>
    <w:p w14:paraId="3C1BA516" w14:textId="7F98DF0B" w:rsidR="007F7397" w:rsidRPr="007A37E1" w:rsidRDefault="008D333A" w:rsidP="008D333A">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7.8</w:t>
      </w:r>
      <w:r w:rsidRPr="007A37E1">
        <w:rPr>
          <w:rFonts w:ascii="Arial" w:hAnsi="Arial" w:cs="Arial"/>
          <w:sz w:val="22"/>
          <w:szCs w:val="22"/>
        </w:rPr>
        <w:tab/>
      </w:r>
      <w:r w:rsidR="007F7397" w:rsidRPr="007A37E1">
        <w:rPr>
          <w:rFonts w:ascii="Arial" w:hAnsi="Arial" w:cs="Arial"/>
          <w:sz w:val="22"/>
          <w:szCs w:val="22"/>
        </w:rPr>
        <w:t>Restricting the right to freedom of movement in order to limit contact with others in order to curtail the risks of spreading the virus is rational, but to restrict the hours of exercise to arbitrarily determined time periods is completely irrational (also Regulation 33(1)(e)).</w:t>
      </w:r>
    </w:p>
    <w:p w14:paraId="4CE508CF" w14:textId="51ACD133" w:rsidR="00B3016C" w:rsidRPr="007A37E1" w:rsidRDefault="008D333A" w:rsidP="008D333A">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7.9</w:t>
      </w:r>
      <w:r w:rsidRPr="007A37E1">
        <w:rPr>
          <w:rFonts w:ascii="Arial" w:hAnsi="Arial" w:cs="Arial"/>
          <w:sz w:val="22"/>
          <w:szCs w:val="22"/>
        </w:rPr>
        <w:tab/>
      </w:r>
      <w:r w:rsidR="007F7397" w:rsidRPr="007A37E1">
        <w:rPr>
          <w:rFonts w:ascii="Arial" w:hAnsi="Arial" w:cs="Arial"/>
          <w:sz w:val="22"/>
          <w:szCs w:val="22"/>
        </w:rPr>
        <w:t xml:space="preserve">Similarly, to put it bluntly, it can hardly be argued that it is rational to allow scores of people to run on the promenade but were one to step a foot on the beach, it will lead to rampant infection (Regulation 39(2)(m)). </w:t>
      </w:r>
    </w:p>
    <w:p w14:paraId="5439CEE8" w14:textId="26D862BD" w:rsidR="007F7397" w:rsidRPr="007A37E1" w:rsidRDefault="008D333A" w:rsidP="00C76E5C">
      <w:pPr>
        <w:tabs>
          <w:tab w:val="left" w:pos="567"/>
        </w:tabs>
        <w:spacing w:after="120" w:line="360" w:lineRule="auto"/>
        <w:ind w:left="567" w:hanging="567"/>
        <w:jc w:val="both"/>
        <w:rPr>
          <w:rFonts w:ascii="Arial" w:hAnsi="Arial" w:cs="Arial"/>
          <w:color w:val="FF0000"/>
          <w:lang w:val="en-US"/>
        </w:rPr>
      </w:pPr>
      <w:r w:rsidRPr="007A37E1">
        <w:rPr>
          <w:rFonts w:ascii="Arial" w:hAnsi="Arial" w:cs="Arial"/>
          <w:sz w:val="22"/>
          <w:szCs w:val="22"/>
        </w:rPr>
        <w:t>7.10</w:t>
      </w:r>
      <w:r w:rsidRPr="007A37E1">
        <w:rPr>
          <w:rFonts w:ascii="Arial" w:hAnsi="Arial" w:cs="Arial"/>
          <w:sz w:val="22"/>
          <w:szCs w:val="22"/>
        </w:rPr>
        <w:tab/>
      </w:r>
      <w:r w:rsidR="007F7397" w:rsidRPr="007A37E1">
        <w:rPr>
          <w:rFonts w:ascii="Arial" w:hAnsi="Arial" w:cs="Arial"/>
          <w:sz w:val="22"/>
          <w:szCs w:val="22"/>
        </w:rPr>
        <w:t>And what about the poor gogo who had to look after four youngsters in a single room shack during the whole lockdown period? She may still not take them to the park, even if they all wear masks and avoid other people altogether (also Regulation 39(2)(e)).</w:t>
      </w:r>
      <w:r w:rsidR="007B161E" w:rsidRPr="007A37E1">
        <w:rPr>
          <w:rFonts w:ascii="Arial" w:hAnsi="Arial" w:cs="Arial"/>
          <w:sz w:val="22"/>
          <w:szCs w:val="22"/>
        </w:rPr>
        <w:t xml:space="preserve"> </w:t>
      </w:r>
    </w:p>
    <w:p w14:paraId="1D1D8880" w14:textId="110A64E1" w:rsidR="00C76E5C" w:rsidRPr="007A37E1" w:rsidRDefault="00C76E5C" w:rsidP="00C76E5C">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 . .</w:t>
      </w:r>
    </w:p>
    <w:p w14:paraId="48C37B03" w14:textId="60C166FA" w:rsidR="007F7397" w:rsidRPr="007A37E1" w:rsidRDefault="008D333A" w:rsidP="008D333A">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7.16</w:t>
      </w:r>
      <w:r w:rsidRPr="007A37E1">
        <w:rPr>
          <w:rFonts w:ascii="Arial" w:hAnsi="Arial" w:cs="Arial"/>
          <w:sz w:val="22"/>
          <w:szCs w:val="22"/>
        </w:rPr>
        <w:tab/>
      </w:r>
      <w:r w:rsidR="007F7397" w:rsidRPr="007A37E1">
        <w:rPr>
          <w:rFonts w:ascii="Arial" w:hAnsi="Arial" w:cs="Arial"/>
          <w:sz w:val="22"/>
          <w:szCs w:val="22"/>
        </w:rPr>
        <w:t xml:space="preserve">I debated with counsel for the Minister the fact that I failed to find any evidence on the papers that the Minister has at any time considered the limitations occasioned by each </w:t>
      </w:r>
      <w:r w:rsidR="00B11EF0" w:rsidRPr="007A37E1">
        <w:rPr>
          <w:rFonts w:ascii="Arial" w:hAnsi="Arial" w:cs="Arial"/>
          <w:sz w:val="22"/>
          <w:szCs w:val="22"/>
        </w:rPr>
        <w:t xml:space="preserve">[of] </w:t>
      </w:r>
      <w:r w:rsidR="007F7397" w:rsidRPr="007A37E1">
        <w:rPr>
          <w:rFonts w:ascii="Arial" w:hAnsi="Arial" w:cs="Arial"/>
          <w:sz w:val="22"/>
          <w:szCs w:val="22"/>
        </w:rPr>
        <w:t>the regulations as they were promulgated,</w:t>
      </w:r>
      <w:r w:rsidR="007F7397" w:rsidRPr="007A37E1">
        <w:rPr>
          <w:sz w:val="22"/>
          <w:szCs w:val="22"/>
        </w:rPr>
        <w:t xml:space="preserve"> </w:t>
      </w:r>
      <w:r w:rsidR="007F7397" w:rsidRPr="007A37E1">
        <w:rPr>
          <w:rFonts w:ascii="Arial" w:hAnsi="Arial" w:cs="Arial"/>
          <w:sz w:val="22"/>
          <w:szCs w:val="22"/>
        </w:rPr>
        <w:t xml:space="preserve">on the Constitutional rights of people. The Director General's affidavit contains mere platitudes in a generalized fashion in this regard, but nothing of substance. </w:t>
      </w:r>
    </w:p>
    <w:p w14:paraId="0E530F0A" w14:textId="663B274F" w:rsidR="007F7397" w:rsidRPr="007A37E1" w:rsidRDefault="008D333A" w:rsidP="008D6925">
      <w:pPr>
        <w:tabs>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7.17</w:t>
      </w:r>
      <w:r w:rsidRPr="007A37E1">
        <w:rPr>
          <w:rFonts w:ascii="Arial" w:hAnsi="Arial" w:cs="Arial"/>
          <w:sz w:val="22"/>
          <w:szCs w:val="22"/>
        </w:rPr>
        <w:tab/>
      </w:r>
      <w:r w:rsidR="007F7397" w:rsidRPr="007A37E1">
        <w:rPr>
          <w:rFonts w:ascii="Arial" w:hAnsi="Arial" w:cs="Arial"/>
          <w:sz w:val="22"/>
          <w:szCs w:val="22"/>
        </w:rPr>
        <w:t xml:space="preserve">The clear inference I draw from the evidence is that once the Minister had declared a national state of disaster and once the goal was to </w:t>
      </w:r>
      <w:r w:rsidR="00B11EF0" w:rsidRPr="007A37E1">
        <w:rPr>
          <w:rFonts w:ascii="Arial" w:hAnsi="Arial" w:cs="Arial"/>
          <w:sz w:val="22"/>
          <w:szCs w:val="22"/>
        </w:rPr>
        <w:t>“</w:t>
      </w:r>
      <w:r w:rsidR="007F7397" w:rsidRPr="007A37E1">
        <w:rPr>
          <w:rFonts w:ascii="Arial" w:hAnsi="Arial" w:cs="Arial"/>
          <w:sz w:val="22"/>
          <w:szCs w:val="22"/>
        </w:rPr>
        <w:t>flatten the curve</w:t>
      </w:r>
      <w:r w:rsidR="00B11EF0" w:rsidRPr="007A37E1">
        <w:rPr>
          <w:rFonts w:ascii="Arial" w:hAnsi="Arial" w:cs="Arial"/>
          <w:sz w:val="22"/>
          <w:szCs w:val="22"/>
        </w:rPr>
        <w:t>”</w:t>
      </w:r>
      <w:r w:rsidR="007F7397" w:rsidRPr="007A37E1">
        <w:rPr>
          <w:rFonts w:ascii="Arial" w:hAnsi="Arial" w:cs="Arial"/>
          <w:sz w:val="22"/>
          <w:szCs w:val="22"/>
        </w:rPr>
        <w:t xml:space="preserve"> by way of retarding or limiting the spread of the virus (all very commendable and necessary objectives), little or in fact no regard was given to the extent of the impact of individual regulations on the constitutional rights of people and whether the extent of the limitation of their rights was justifiable or not. The starting point was not </w:t>
      </w:r>
      <w:r w:rsidR="00B11EF0" w:rsidRPr="007A37E1">
        <w:rPr>
          <w:rFonts w:ascii="Arial" w:hAnsi="Arial" w:cs="Arial"/>
          <w:sz w:val="22"/>
          <w:szCs w:val="22"/>
        </w:rPr>
        <w:t>“</w:t>
      </w:r>
      <w:r w:rsidR="007F7397" w:rsidRPr="007A37E1">
        <w:rPr>
          <w:rFonts w:ascii="Arial" w:hAnsi="Arial" w:cs="Arial"/>
          <w:sz w:val="22"/>
          <w:szCs w:val="22"/>
        </w:rPr>
        <w:t>how can we as government limit Constitutional rights in the least possible fashion whilst still protecting the inhabitants of South Africa?</w:t>
      </w:r>
      <w:r w:rsidR="00B11EF0" w:rsidRPr="007A37E1">
        <w:rPr>
          <w:rFonts w:ascii="Arial" w:hAnsi="Arial" w:cs="Arial"/>
          <w:sz w:val="22"/>
          <w:szCs w:val="22"/>
        </w:rPr>
        <w:t>”</w:t>
      </w:r>
      <w:r w:rsidR="007F7397" w:rsidRPr="007A37E1">
        <w:rPr>
          <w:rFonts w:ascii="Arial" w:hAnsi="Arial" w:cs="Arial"/>
          <w:sz w:val="22"/>
          <w:szCs w:val="22"/>
        </w:rPr>
        <w:t xml:space="preserve"> but rather </w:t>
      </w:r>
      <w:r w:rsidR="00B11EF0" w:rsidRPr="007A37E1">
        <w:rPr>
          <w:rFonts w:ascii="Arial" w:hAnsi="Arial" w:cs="Arial"/>
          <w:sz w:val="22"/>
          <w:szCs w:val="22"/>
        </w:rPr>
        <w:t>“</w:t>
      </w:r>
      <w:r w:rsidR="007F7397" w:rsidRPr="007A37E1">
        <w:rPr>
          <w:rFonts w:ascii="Arial" w:hAnsi="Arial" w:cs="Arial"/>
          <w:sz w:val="22"/>
          <w:szCs w:val="22"/>
        </w:rPr>
        <w:t xml:space="preserve">we will seek to achieve our goal by whatever means, irrespective of the costs and we will determine, albeit incrementally, which Constitutional rights you as the people of </w:t>
      </w:r>
      <w:r w:rsidR="00B44DA1" w:rsidRPr="007A37E1">
        <w:rPr>
          <w:rFonts w:ascii="Arial" w:hAnsi="Arial" w:cs="Arial"/>
          <w:sz w:val="22"/>
          <w:szCs w:val="22"/>
        </w:rPr>
        <w:t>S</w:t>
      </w:r>
      <w:r w:rsidR="007F7397" w:rsidRPr="007A37E1">
        <w:rPr>
          <w:rFonts w:ascii="Arial" w:hAnsi="Arial" w:cs="Arial"/>
          <w:sz w:val="22"/>
          <w:szCs w:val="22"/>
        </w:rPr>
        <w:t>outh Africa, may exercise</w:t>
      </w:r>
      <w:r w:rsidR="00B11EF0" w:rsidRPr="007A37E1">
        <w:rPr>
          <w:rFonts w:ascii="Arial" w:hAnsi="Arial" w:cs="Arial"/>
          <w:sz w:val="22"/>
          <w:szCs w:val="22"/>
        </w:rPr>
        <w:t>”</w:t>
      </w:r>
      <w:r w:rsidR="007F7397" w:rsidRPr="007A37E1">
        <w:rPr>
          <w:rFonts w:ascii="Arial" w:hAnsi="Arial" w:cs="Arial"/>
          <w:sz w:val="22"/>
          <w:szCs w:val="22"/>
        </w:rPr>
        <w:t xml:space="preserve">. The affidavit put up on behalf of the Minister confirms that the factual position was the latter. One should also remind oneself that the enabling section of the DMA sought to augment existing measures, not replace them entirely. </w:t>
      </w:r>
    </w:p>
    <w:p w14:paraId="2374AA28" w14:textId="278A0264" w:rsidR="007F7397" w:rsidRPr="007A37E1" w:rsidRDefault="008D6925" w:rsidP="008D6925">
      <w:pPr>
        <w:tabs>
          <w:tab w:val="left" w:pos="567"/>
        </w:tabs>
        <w:spacing w:after="120" w:line="360" w:lineRule="auto"/>
        <w:ind w:left="567" w:hanging="567"/>
        <w:jc w:val="both"/>
        <w:rPr>
          <w:rFonts w:ascii="Arial" w:hAnsi="Arial" w:cs="Arial"/>
          <w:i/>
          <w:sz w:val="22"/>
          <w:szCs w:val="22"/>
        </w:rPr>
      </w:pPr>
      <w:r w:rsidRPr="007A37E1">
        <w:rPr>
          <w:rFonts w:ascii="Arial" w:hAnsi="Arial" w:cs="Arial"/>
          <w:sz w:val="22"/>
          <w:szCs w:val="22"/>
        </w:rPr>
        <w:lastRenderedPageBreak/>
        <w:t>7.18</w:t>
      </w:r>
      <w:r w:rsidRPr="007A37E1">
        <w:rPr>
          <w:rFonts w:ascii="Arial" w:hAnsi="Arial" w:cs="Arial"/>
          <w:sz w:val="22"/>
          <w:szCs w:val="22"/>
        </w:rPr>
        <w:tab/>
      </w:r>
      <w:r w:rsidR="007F7397" w:rsidRPr="007A37E1">
        <w:rPr>
          <w:rFonts w:ascii="Arial" w:hAnsi="Arial" w:cs="Arial"/>
          <w:sz w:val="22"/>
          <w:szCs w:val="22"/>
        </w:rPr>
        <w:t xml:space="preserve">This paternalistic approach, rather than a Constitutionally justifiable approach is illustrated further by the following statement by the Director General: </w:t>
      </w:r>
      <w:r w:rsidR="00B11EF0" w:rsidRPr="007A37E1">
        <w:rPr>
          <w:rFonts w:ascii="Arial" w:hAnsi="Arial" w:cs="Arial"/>
          <w:i/>
          <w:sz w:val="22"/>
          <w:szCs w:val="22"/>
        </w:rPr>
        <w:t>“</w:t>
      </w:r>
      <w:r w:rsidR="007F7397" w:rsidRPr="007A37E1">
        <w:rPr>
          <w:rFonts w:ascii="Arial" w:hAnsi="Arial" w:cs="Arial"/>
          <w:i/>
          <w:sz w:val="22"/>
          <w:szCs w:val="22"/>
        </w:rPr>
        <w:t>The powers exercised under lockdown regulations are for public good. Therefore the standard is not breached</w:t>
      </w:r>
      <w:r w:rsidR="00B11EF0" w:rsidRPr="007A37E1">
        <w:rPr>
          <w:rFonts w:ascii="Arial" w:hAnsi="Arial" w:cs="Arial"/>
          <w:i/>
          <w:sz w:val="22"/>
          <w:szCs w:val="22"/>
        </w:rPr>
        <w:t>”</w:t>
      </w:r>
      <w:r w:rsidR="007F7397" w:rsidRPr="007A37E1">
        <w:rPr>
          <w:rFonts w:ascii="Arial" w:hAnsi="Arial" w:cs="Arial"/>
          <w:i/>
          <w:sz w:val="22"/>
          <w:szCs w:val="22"/>
        </w:rPr>
        <w:t xml:space="preserve">. </w:t>
      </w:r>
    </w:p>
    <w:p w14:paraId="4DB08ADC" w14:textId="1D14A660" w:rsidR="007F7397" w:rsidRPr="007A37E1" w:rsidRDefault="0002693A" w:rsidP="0002693A">
      <w:pPr>
        <w:tabs>
          <w:tab w:val="left" w:pos="567"/>
        </w:tabs>
        <w:spacing w:line="360" w:lineRule="auto"/>
        <w:ind w:left="567" w:hanging="567"/>
        <w:jc w:val="both"/>
        <w:rPr>
          <w:rFonts w:ascii="Arial" w:hAnsi="Arial" w:cs="Arial"/>
          <w:sz w:val="22"/>
          <w:szCs w:val="22"/>
        </w:rPr>
      </w:pPr>
      <w:r w:rsidRPr="007A37E1">
        <w:rPr>
          <w:rFonts w:ascii="Arial" w:hAnsi="Arial" w:cs="Arial"/>
          <w:sz w:val="22"/>
          <w:szCs w:val="22"/>
        </w:rPr>
        <w:t>7.19</w:t>
      </w:r>
      <w:r w:rsidRPr="007A37E1">
        <w:rPr>
          <w:rFonts w:ascii="Arial" w:hAnsi="Arial" w:cs="Arial"/>
          <w:sz w:val="22"/>
          <w:szCs w:val="22"/>
        </w:rPr>
        <w:tab/>
      </w:r>
      <w:r w:rsidR="007F7397" w:rsidRPr="007A37E1">
        <w:rPr>
          <w:rFonts w:ascii="Arial" w:hAnsi="Arial" w:cs="Arial"/>
          <w:sz w:val="22"/>
          <w:szCs w:val="22"/>
        </w:rPr>
        <w:t>The dangers of not following a Constitutional approach in dealing with the COVID 19 pandemic have been highlighted in the judgment of Fabricius, J referred to in paragraph 4.3 above. In his judgment, the learned judge, amongst other things, raised the following question:</w:t>
      </w:r>
    </w:p>
    <w:p w14:paraId="08CBFAF5" w14:textId="7B26DA7D" w:rsidR="007F7397" w:rsidRPr="007A37E1" w:rsidRDefault="00B11EF0" w:rsidP="0002693A">
      <w:pPr>
        <w:tabs>
          <w:tab w:val="left" w:pos="567"/>
          <w:tab w:val="left" w:pos="851"/>
        </w:tabs>
        <w:spacing w:after="120" w:line="360" w:lineRule="auto"/>
        <w:ind w:left="567"/>
        <w:jc w:val="both"/>
        <w:rPr>
          <w:rFonts w:ascii="Arial" w:hAnsi="Arial" w:cs="Arial"/>
          <w:i/>
          <w:sz w:val="22"/>
          <w:szCs w:val="22"/>
        </w:rPr>
      </w:pPr>
      <w:r w:rsidRPr="007A37E1">
        <w:rPr>
          <w:rFonts w:ascii="Arial" w:hAnsi="Arial" w:cs="Arial"/>
          <w:i/>
          <w:sz w:val="22"/>
          <w:szCs w:val="22"/>
        </w:rPr>
        <w:t>“</w:t>
      </w:r>
      <w:r w:rsidR="007F7397" w:rsidRPr="007A37E1">
        <w:rPr>
          <w:rFonts w:ascii="Arial" w:hAnsi="Arial" w:cs="Arial"/>
          <w:i/>
          <w:sz w:val="22"/>
          <w:szCs w:val="22"/>
        </w:rPr>
        <w:t>The virus may well be contained</w:t>
      </w:r>
      <w:r w:rsidRPr="007A37E1">
        <w:rPr>
          <w:rFonts w:ascii="Arial" w:hAnsi="Arial" w:cs="Arial"/>
          <w:i/>
          <w:sz w:val="22"/>
          <w:szCs w:val="22"/>
        </w:rPr>
        <w:t xml:space="preserve"> –</w:t>
      </w:r>
      <w:r w:rsidR="007F7397" w:rsidRPr="007A37E1">
        <w:rPr>
          <w:rFonts w:ascii="Arial" w:hAnsi="Arial" w:cs="Arial"/>
          <w:i/>
          <w:sz w:val="22"/>
          <w:szCs w:val="22"/>
        </w:rPr>
        <w:t xml:space="preserve"> but not defeated until a vaccine is found</w:t>
      </w:r>
      <w:r w:rsidRPr="007A37E1">
        <w:rPr>
          <w:rFonts w:ascii="Arial" w:hAnsi="Arial" w:cs="Arial"/>
          <w:i/>
          <w:sz w:val="22"/>
          <w:szCs w:val="22"/>
        </w:rPr>
        <w:t xml:space="preserve"> –</w:t>
      </w:r>
      <w:r w:rsidR="007F7397" w:rsidRPr="007A37E1">
        <w:rPr>
          <w:rFonts w:ascii="Arial" w:hAnsi="Arial" w:cs="Arial"/>
          <w:i/>
          <w:sz w:val="22"/>
          <w:szCs w:val="22"/>
        </w:rPr>
        <w:t xml:space="preserve"> but what is the point if the result of harsh enforcement measures is a famine, an economic wasteland and the total loss of freedom, the right to dignity and the security of the person and, overall, the maintenance of the rule of law?</w:t>
      </w:r>
      <w:r w:rsidRPr="007A37E1">
        <w:rPr>
          <w:rFonts w:ascii="Arial" w:hAnsi="Arial" w:cs="Arial"/>
          <w:i/>
          <w:sz w:val="22"/>
          <w:szCs w:val="22"/>
        </w:rPr>
        <w:t>”</w:t>
      </w:r>
    </w:p>
    <w:p w14:paraId="14674519" w14:textId="3261CBE3" w:rsidR="007F7397" w:rsidRPr="007A37E1" w:rsidRDefault="0002693A" w:rsidP="0002693A">
      <w:pPr>
        <w:tabs>
          <w:tab w:val="left" w:pos="567"/>
        </w:tabs>
        <w:spacing w:line="360" w:lineRule="auto"/>
        <w:ind w:left="567" w:hanging="567"/>
        <w:jc w:val="both"/>
        <w:rPr>
          <w:rFonts w:ascii="Arial" w:hAnsi="Arial" w:cs="Arial"/>
          <w:sz w:val="22"/>
          <w:szCs w:val="22"/>
        </w:rPr>
      </w:pPr>
      <w:r w:rsidRPr="007A37E1">
        <w:rPr>
          <w:rFonts w:ascii="Arial" w:hAnsi="Arial" w:cs="Arial"/>
          <w:sz w:val="22"/>
          <w:szCs w:val="22"/>
        </w:rPr>
        <w:t>7.20</w:t>
      </w:r>
      <w:r w:rsidRPr="007A37E1">
        <w:rPr>
          <w:rFonts w:ascii="Arial" w:hAnsi="Arial" w:cs="Arial"/>
          <w:sz w:val="22"/>
          <w:szCs w:val="22"/>
        </w:rPr>
        <w:tab/>
      </w:r>
      <w:r w:rsidR="007F7397" w:rsidRPr="007A37E1">
        <w:rPr>
          <w:rFonts w:ascii="Arial" w:hAnsi="Arial" w:cs="Arial"/>
          <w:sz w:val="22"/>
          <w:szCs w:val="22"/>
        </w:rPr>
        <w:t xml:space="preserve">In a recent article by Calitz in De Rebus 2020 (June) DR 9 entitled </w:t>
      </w:r>
      <w:r w:rsidR="00305EEF" w:rsidRPr="007A37E1">
        <w:rPr>
          <w:rFonts w:ascii="Arial" w:hAnsi="Arial" w:cs="Arial"/>
          <w:sz w:val="22"/>
          <w:szCs w:val="22"/>
        </w:rPr>
        <w:t>“</w:t>
      </w:r>
      <w:r w:rsidR="007F7397" w:rsidRPr="007A37E1">
        <w:rPr>
          <w:rFonts w:ascii="Arial" w:hAnsi="Arial" w:cs="Arial"/>
          <w:sz w:val="22"/>
          <w:szCs w:val="22"/>
        </w:rPr>
        <w:t>Government's response to COVID 19: has the Bill of Rights been given effect to?</w:t>
      </w:r>
      <w:r w:rsidR="00305EEF" w:rsidRPr="007A37E1">
        <w:rPr>
          <w:rFonts w:ascii="Arial" w:hAnsi="Arial" w:cs="Arial"/>
          <w:sz w:val="22"/>
          <w:szCs w:val="22"/>
        </w:rPr>
        <w:t>”</w:t>
      </w:r>
      <w:r w:rsidR="007F7397" w:rsidRPr="007A37E1">
        <w:rPr>
          <w:rFonts w:ascii="Arial" w:hAnsi="Arial" w:cs="Arial"/>
          <w:sz w:val="22"/>
          <w:szCs w:val="22"/>
        </w:rPr>
        <w:t xml:space="preserve"> the following apposite views are expressed: </w:t>
      </w:r>
    </w:p>
    <w:p w14:paraId="123F93DA" w14:textId="279DA0CB" w:rsidR="0002693A" w:rsidRPr="007A37E1" w:rsidRDefault="00305EEF" w:rsidP="0002693A">
      <w:pPr>
        <w:tabs>
          <w:tab w:val="left" w:pos="567"/>
        </w:tabs>
        <w:spacing w:after="120" w:line="360" w:lineRule="auto"/>
        <w:ind w:left="567"/>
        <w:jc w:val="both"/>
        <w:rPr>
          <w:rFonts w:ascii="Arial" w:hAnsi="Arial" w:cs="Arial"/>
          <w:i/>
          <w:sz w:val="22"/>
          <w:szCs w:val="22"/>
        </w:rPr>
      </w:pPr>
      <w:r w:rsidRPr="007A37E1">
        <w:rPr>
          <w:rFonts w:ascii="Arial" w:hAnsi="Arial" w:cs="Arial"/>
          <w:i/>
          <w:sz w:val="22"/>
          <w:szCs w:val="22"/>
        </w:rPr>
        <w:t>“</w:t>
      </w:r>
      <w:r w:rsidR="007F7397" w:rsidRPr="007A37E1">
        <w:rPr>
          <w:rFonts w:ascii="Arial" w:hAnsi="Arial" w:cs="Arial"/>
          <w:i/>
          <w:sz w:val="22"/>
          <w:szCs w:val="22"/>
        </w:rPr>
        <w:t>COVID-</w:t>
      </w:r>
      <w:r w:rsidRPr="007A37E1">
        <w:rPr>
          <w:rFonts w:ascii="Arial" w:hAnsi="Arial" w:cs="Arial"/>
          <w:i/>
          <w:sz w:val="22"/>
          <w:szCs w:val="22"/>
        </w:rPr>
        <w:t>1</w:t>
      </w:r>
      <w:r w:rsidR="007F7397" w:rsidRPr="007A37E1">
        <w:rPr>
          <w:rFonts w:ascii="Arial" w:hAnsi="Arial" w:cs="Arial"/>
          <w:i/>
          <w:sz w:val="22"/>
          <w:szCs w:val="22"/>
        </w:rPr>
        <w:t>9 is a fierce pandemic with numerous deaths across the world and unfortunately there is no date on our calendar, which we can circle, to indicate when the storm will finally pass. Yes, there are unprecedented hardships on social, political, health, and economic sectors, but even more so on basic human rights. These distresses are felt more harshly by the least protected in society who do not have access to adequate housing, clean running water, healthcare, food, or social security, which are all</w:t>
      </w:r>
      <w:r w:rsidR="0002693A" w:rsidRPr="007A37E1">
        <w:rPr>
          <w:rFonts w:ascii="Arial" w:hAnsi="Arial" w:cs="Arial"/>
          <w:i/>
          <w:sz w:val="22"/>
          <w:szCs w:val="22"/>
        </w:rPr>
        <w:t xml:space="preserve"> guaranteed basi</w:t>
      </w:r>
      <w:r w:rsidR="00BB7F0A" w:rsidRPr="007A37E1">
        <w:rPr>
          <w:rFonts w:ascii="Arial" w:hAnsi="Arial" w:cs="Arial"/>
          <w:i/>
          <w:sz w:val="22"/>
          <w:szCs w:val="22"/>
        </w:rPr>
        <w:t>c</w:t>
      </w:r>
      <w:r w:rsidR="0002693A" w:rsidRPr="007A37E1">
        <w:rPr>
          <w:rFonts w:ascii="Arial" w:hAnsi="Arial" w:cs="Arial"/>
          <w:i/>
          <w:sz w:val="22"/>
          <w:szCs w:val="22"/>
        </w:rPr>
        <w:t xml:space="preserve"> human rights.</w:t>
      </w:r>
    </w:p>
    <w:p w14:paraId="52274B90" w14:textId="741D5F73" w:rsidR="0002693A" w:rsidRPr="007A37E1" w:rsidRDefault="007F7397" w:rsidP="0002693A">
      <w:pPr>
        <w:tabs>
          <w:tab w:val="left" w:pos="567"/>
        </w:tabs>
        <w:spacing w:after="120" w:line="360" w:lineRule="auto"/>
        <w:ind w:left="567"/>
        <w:jc w:val="both"/>
        <w:rPr>
          <w:rFonts w:ascii="Arial" w:hAnsi="Arial" w:cs="Arial"/>
          <w:i/>
          <w:sz w:val="22"/>
          <w:szCs w:val="22"/>
        </w:rPr>
      </w:pPr>
      <w:r w:rsidRPr="007A37E1">
        <w:rPr>
          <w:rFonts w:ascii="Arial" w:hAnsi="Arial" w:cs="Arial"/>
          <w:i/>
          <w:sz w:val="22"/>
          <w:szCs w:val="22"/>
        </w:rPr>
        <w:t xml:space="preserve">The protection of inherent human dignity is another constitutional right guaranteed in </w:t>
      </w:r>
      <w:r w:rsidRPr="007A37E1">
        <w:rPr>
          <w:rFonts w:ascii="Arial" w:hAnsi="Arial" w:cs="Arial"/>
          <w:i/>
          <w:color w:val="000000" w:themeColor="text1"/>
          <w:sz w:val="22"/>
          <w:szCs w:val="22"/>
        </w:rPr>
        <w:t xml:space="preserve">s </w:t>
      </w:r>
      <w:r w:rsidR="0099058E" w:rsidRPr="007A37E1">
        <w:rPr>
          <w:rFonts w:ascii="Arial" w:hAnsi="Arial" w:cs="Arial"/>
          <w:i/>
          <w:color w:val="000000" w:themeColor="text1"/>
          <w:sz w:val="22"/>
          <w:szCs w:val="22"/>
        </w:rPr>
        <w:t>10</w:t>
      </w:r>
      <w:r w:rsidRPr="007A37E1">
        <w:rPr>
          <w:rFonts w:ascii="Arial" w:hAnsi="Arial" w:cs="Arial"/>
          <w:i/>
          <w:color w:val="000000" w:themeColor="text1"/>
          <w:sz w:val="22"/>
          <w:szCs w:val="22"/>
        </w:rPr>
        <w:t xml:space="preserve"> </w:t>
      </w:r>
      <w:r w:rsidRPr="007A37E1">
        <w:rPr>
          <w:rFonts w:ascii="Arial" w:hAnsi="Arial" w:cs="Arial"/>
          <w:i/>
          <w:sz w:val="22"/>
          <w:szCs w:val="22"/>
        </w:rPr>
        <w:t>of the Constitution. While it goes without saying that the loss of employment or livelihood impact on one's dignity</w:t>
      </w:r>
      <w:r w:rsidR="00B44DA1" w:rsidRPr="007A37E1">
        <w:rPr>
          <w:rFonts w:ascii="Arial" w:hAnsi="Arial" w:cs="Arial"/>
          <w:i/>
          <w:sz w:val="22"/>
          <w:szCs w:val="22"/>
        </w:rPr>
        <w:t>,</w:t>
      </w:r>
      <w:r w:rsidRPr="007A37E1">
        <w:rPr>
          <w:rFonts w:ascii="Arial" w:hAnsi="Arial" w:cs="Arial"/>
          <w:i/>
          <w:sz w:val="22"/>
          <w:szCs w:val="22"/>
        </w:rPr>
        <w:t xml:space="preserve"> the rapidly increased rate of gender-based violence during lockdown raises concern and alarm. Women and men are beaten and abused by their partners while being compelled by law to stay inside their homes. They cannot run or escape and are </w:t>
      </w:r>
      <w:r w:rsidR="00B44DA1" w:rsidRPr="007A37E1">
        <w:rPr>
          <w:rFonts w:ascii="Arial" w:hAnsi="Arial" w:cs="Arial"/>
          <w:i/>
          <w:sz w:val="22"/>
          <w:szCs w:val="22"/>
        </w:rPr>
        <w:t>l</w:t>
      </w:r>
      <w:r w:rsidRPr="007A37E1">
        <w:rPr>
          <w:rFonts w:ascii="Arial" w:hAnsi="Arial" w:cs="Arial"/>
          <w:i/>
          <w:sz w:val="22"/>
          <w:szCs w:val="22"/>
        </w:rPr>
        <w:t>eft helpless.</w:t>
      </w:r>
    </w:p>
    <w:p w14:paraId="58D29D7B" w14:textId="291CD515" w:rsidR="007F7397" w:rsidRPr="007A37E1" w:rsidRDefault="007F7397" w:rsidP="0002693A">
      <w:pPr>
        <w:tabs>
          <w:tab w:val="left" w:pos="567"/>
        </w:tabs>
        <w:spacing w:after="120" w:line="360" w:lineRule="auto"/>
        <w:ind w:left="567"/>
        <w:jc w:val="both"/>
        <w:rPr>
          <w:rFonts w:ascii="Arial" w:hAnsi="Arial" w:cs="Arial"/>
          <w:i/>
          <w:sz w:val="22"/>
          <w:szCs w:val="22"/>
        </w:rPr>
      </w:pPr>
      <w:r w:rsidRPr="007A37E1">
        <w:rPr>
          <w:rFonts w:ascii="Arial" w:hAnsi="Arial" w:cs="Arial"/>
          <w:i/>
          <w:sz w:val="22"/>
          <w:szCs w:val="22"/>
        </w:rPr>
        <w:t xml:space="preserve">During a pandemic, government should never lose sight of basic human rights. In fact, it should prioritise their realization and protection of human rights in such a time even more so. In my view, the Bill of Rights has not been given effect to. A pro-human rights lockdown would have perhaps looked much different – </w:t>
      </w:r>
    </w:p>
    <w:p w14:paraId="22F069E0" w14:textId="0C1A960F" w:rsidR="007F7397" w:rsidRPr="007A37E1" w:rsidRDefault="0002693A" w:rsidP="0002693A">
      <w:pPr>
        <w:tabs>
          <w:tab w:val="left" w:pos="567"/>
          <w:tab w:val="left" w:pos="851"/>
        </w:tabs>
        <w:spacing w:line="360" w:lineRule="auto"/>
        <w:jc w:val="both"/>
        <w:rPr>
          <w:rFonts w:ascii="Arial" w:hAnsi="Arial" w:cs="Arial"/>
          <w:i/>
          <w:sz w:val="22"/>
          <w:szCs w:val="22"/>
          <w:lang w:val="en-US"/>
        </w:rPr>
      </w:pPr>
      <w:r w:rsidRPr="007A37E1">
        <w:rPr>
          <w:rFonts w:ascii="Arial" w:hAnsi="Arial" w:cs="Arial"/>
          <w:i/>
          <w:sz w:val="22"/>
          <w:szCs w:val="22"/>
        </w:rPr>
        <w:tab/>
        <w:t>-</w:t>
      </w:r>
      <w:r w:rsidRPr="007A37E1">
        <w:rPr>
          <w:rFonts w:ascii="Arial" w:hAnsi="Arial" w:cs="Arial"/>
          <w:i/>
          <w:sz w:val="22"/>
          <w:szCs w:val="22"/>
        </w:rPr>
        <w:tab/>
      </w:r>
      <w:r w:rsidR="007F7397" w:rsidRPr="007A37E1">
        <w:rPr>
          <w:rFonts w:ascii="Arial" w:hAnsi="Arial" w:cs="Arial"/>
          <w:i/>
          <w:sz w:val="22"/>
          <w:szCs w:val="22"/>
        </w:rPr>
        <w:t>Military officials would have acted more humanely;</w:t>
      </w:r>
    </w:p>
    <w:p w14:paraId="7C1A8951" w14:textId="2DABACE2" w:rsidR="007F7397" w:rsidRPr="007A37E1" w:rsidRDefault="0002693A" w:rsidP="0002693A">
      <w:pPr>
        <w:tabs>
          <w:tab w:val="left" w:pos="567"/>
        </w:tabs>
        <w:spacing w:line="360" w:lineRule="auto"/>
        <w:ind w:left="851" w:hanging="851"/>
        <w:jc w:val="both"/>
        <w:rPr>
          <w:rFonts w:ascii="Arial" w:hAnsi="Arial" w:cs="Arial"/>
          <w:i/>
          <w:sz w:val="22"/>
          <w:szCs w:val="22"/>
          <w:lang w:val="en-US"/>
        </w:rPr>
      </w:pPr>
      <w:r w:rsidRPr="007A37E1">
        <w:rPr>
          <w:rFonts w:ascii="Arial" w:hAnsi="Arial" w:cs="Arial"/>
          <w:i/>
          <w:sz w:val="22"/>
          <w:szCs w:val="22"/>
        </w:rPr>
        <w:tab/>
        <w:t>-</w:t>
      </w:r>
      <w:r w:rsidRPr="007A37E1">
        <w:rPr>
          <w:rFonts w:ascii="Arial" w:hAnsi="Arial" w:cs="Arial"/>
          <w:i/>
          <w:sz w:val="22"/>
          <w:szCs w:val="22"/>
        </w:rPr>
        <w:tab/>
      </w:r>
      <w:r w:rsidR="007F7397" w:rsidRPr="007A37E1">
        <w:rPr>
          <w:rFonts w:ascii="Arial" w:hAnsi="Arial" w:cs="Arial"/>
          <w:i/>
          <w:sz w:val="22"/>
          <w:szCs w:val="22"/>
        </w:rPr>
        <w:t xml:space="preserve">Lockdown regulations would have not been equally strict over different parts of the country and would have taken into account personal living conditions of the poor; and </w:t>
      </w:r>
    </w:p>
    <w:p w14:paraId="2112EB8D" w14:textId="603EE86F" w:rsidR="007F7397" w:rsidRPr="007A37E1" w:rsidRDefault="0002693A" w:rsidP="0002693A">
      <w:pPr>
        <w:tabs>
          <w:tab w:val="left" w:pos="567"/>
        </w:tabs>
        <w:spacing w:after="120" w:line="360" w:lineRule="auto"/>
        <w:jc w:val="both"/>
        <w:rPr>
          <w:rFonts w:ascii="Arial" w:hAnsi="Arial" w:cs="Arial"/>
          <w:i/>
          <w:sz w:val="22"/>
          <w:szCs w:val="22"/>
          <w:lang w:val="en-US"/>
        </w:rPr>
      </w:pPr>
      <w:r w:rsidRPr="007A37E1">
        <w:rPr>
          <w:rFonts w:ascii="Arial" w:hAnsi="Arial" w:cs="Arial"/>
          <w:i/>
          <w:sz w:val="22"/>
          <w:szCs w:val="22"/>
        </w:rPr>
        <w:lastRenderedPageBreak/>
        <w:tab/>
        <w:t>-</w:t>
      </w:r>
      <w:r w:rsidRPr="007A37E1">
        <w:rPr>
          <w:rFonts w:ascii="Arial" w:hAnsi="Arial" w:cs="Arial"/>
          <w:i/>
          <w:sz w:val="22"/>
          <w:szCs w:val="22"/>
        </w:rPr>
        <w:tab/>
      </w:r>
      <w:r w:rsidR="007F7397" w:rsidRPr="007A37E1">
        <w:rPr>
          <w:rFonts w:ascii="Arial" w:hAnsi="Arial" w:cs="Arial"/>
          <w:i/>
          <w:sz w:val="22"/>
          <w:szCs w:val="22"/>
        </w:rPr>
        <w:t>The fulfilment of human rights would have been the most important priority to attain.</w:t>
      </w:r>
      <w:r w:rsidR="00305EEF" w:rsidRPr="007A37E1">
        <w:rPr>
          <w:rFonts w:ascii="Arial" w:hAnsi="Arial" w:cs="Arial"/>
          <w:i/>
          <w:sz w:val="22"/>
          <w:szCs w:val="22"/>
        </w:rPr>
        <w:t>”</w:t>
      </w:r>
      <w:r w:rsidR="007F7397" w:rsidRPr="007A37E1">
        <w:rPr>
          <w:rFonts w:ascii="Arial" w:hAnsi="Arial" w:cs="Arial"/>
          <w:i/>
          <w:sz w:val="22"/>
          <w:szCs w:val="22"/>
        </w:rPr>
        <w:t xml:space="preserve"> </w:t>
      </w:r>
    </w:p>
    <w:p w14:paraId="6DE35544" w14:textId="31201AA7" w:rsidR="007F7397" w:rsidRPr="007A37E1" w:rsidRDefault="0002693A" w:rsidP="0002693A">
      <w:pPr>
        <w:tabs>
          <w:tab w:val="left" w:pos="567"/>
        </w:tabs>
        <w:spacing w:after="120" w:line="360" w:lineRule="auto"/>
        <w:jc w:val="both"/>
        <w:rPr>
          <w:rFonts w:ascii="Arial" w:hAnsi="Arial" w:cs="Arial"/>
          <w:sz w:val="22"/>
          <w:szCs w:val="22"/>
        </w:rPr>
      </w:pPr>
      <w:r w:rsidRPr="007A37E1">
        <w:rPr>
          <w:rFonts w:ascii="Arial" w:hAnsi="Arial" w:cs="Arial"/>
          <w:sz w:val="22"/>
          <w:szCs w:val="22"/>
        </w:rPr>
        <w:tab/>
      </w:r>
      <w:r w:rsidR="007F7397" w:rsidRPr="007A37E1">
        <w:rPr>
          <w:rFonts w:ascii="Arial" w:hAnsi="Arial" w:cs="Arial"/>
          <w:sz w:val="22"/>
          <w:szCs w:val="22"/>
        </w:rPr>
        <w:t>I agree with these sentiments.</w:t>
      </w:r>
    </w:p>
    <w:p w14:paraId="454AF1C3" w14:textId="117DCBD1" w:rsidR="007F7397" w:rsidRPr="007A37E1" w:rsidRDefault="007F7397" w:rsidP="0002693A">
      <w:pPr>
        <w:pStyle w:val="ListParagraph"/>
        <w:tabs>
          <w:tab w:val="left" w:pos="567"/>
        </w:tabs>
        <w:spacing w:line="360" w:lineRule="auto"/>
        <w:ind w:left="567" w:hanging="567"/>
        <w:jc w:val="both"/>
        <w:rPr>
          <w:rFonts w:ascii="Arial" w:hAnsi="Arial" w:cs="Arial"/>
          <w:sz w:val="22"/>
          <w:szCs w:val="22"/>
        </w:rPr>
      </w:pPr>
      <w:r w:rsidRPr="007A37E1">
        <w:rPr>
          <w:rFonts w:ascii="Arial" w:hAnsi="Arial" w:cs="Arial"/>
          <w:sz w:val="22"/>
          <w:szCs w:val="22"/>
        </w:rPr>
        <w:t>7</w:t>
      </w:r>
      <w:r w:rsidR="0002693A" w:rsidRPr="007A37E1">
        <w:rPr>
          <w:rFonts w:ascii="Arial" w:hAnsi="Arial" w:cs="Arial"/>
          <w:sz w:val="22"/>
          <w:szCs w:val="22"/>
        </w:rPr>
        <w:t>.21</w:t>
      </w:r>
      <w:r w:rsidR="0002693A" w:rsidRPr="007A37E1">
        <w:rPr>
          <w:rFonts w:ascii="Arial" w:hAnsi="Arial" w:cs="Arial"/>
          <w:sz w:val="22"/>
          <w:szCs w:val="22"/>
        </w:rPr>
        <w:tab/>
      </w:r>
      <w:r w:rsidRPr="007A37E1">
        <w:rPr>
          <w:rFonts w:ascii="Arial" w:hAnsi="Arial" w:cs="Arial"/>
          <w:sz w:val="22"/>
          <w:szCs w:val="22"/>
        </w:rPr>
        <w:t xml:space="preserve">I find that, in an overwhelming number of instances the Minister </w:t>
      </w:r>
      <w:r w:rsidR="00305EEF" w:rsidRPr="007A37E1">
        <w:rPr>
          <w:rFonts w:ascii="Arial" w:hAnsi="Arial" w:cs="Arial"/>
          <w:sz w:val="22"/>
          <w:szCs w:val="22"/>
        </w:rPr>
        <w:t>[has]</w:t>
      </w:r>
      <w:r w:rsidRPr="007A37E1">
        <w:rPr>
          <w:rFonts w:ascii="Arial" w:hAnsi="Arial" w:cs="Arial"/>
          <w:sz w:val="22"/>
          <w:szCs w:val="22"/>
        </w:rPr>
        <w:t xml:space="preserve"> not demonstrated that the limitation of the Constitutional rights already mentioned, </w:t>
      </w:r>
      <w:r w:rsidR="00305EEF" w:rsidRPr="007A37E1">
        <w:rPr>
          <w:rFonts w:ascii="Arial" w:hAnsi="Arial" w:cs="Arial"/>
          <w:sz w:val="22"/>
          <w:szCs w:val="22"/>
        </w:rPr>
        <w:t>[has]</w:t>
      </w:r>
      <w:r w:rsidRPr="007A37E1">
        <w:rPr>
          <w:rFonts w:ascii="Arial" w:hAnsi="Arial" w:cs="Arial"/>
          <w:sz w:val="22"/>
          <w:szCs w:val="22"/>
        </w:rPr>
        <w:t xml:space="preserve"> been justified in the context of section 36 of the Constitution.’</w:t>
      </w:r>
    </w:p>
    <w:p w14:paraId="17993A98" w14:textId="4C70A2D8" w:rsidR="0037504E" w:rsidRPr="007A37E1" w:rsidRDefault="0037504E" w:rsidP="0002693A">
      <w:pPr>
        <w:pStyle w:val="ListParagraph"/>
        <w:tabs>
          <w:tab w:val="left" w:pos="567"/>
        </w:tabs>
        <w:spacing w:line="360" w:lineRule="auto"/>
        <w:ind w:left="567" w:hanging="567"/>
        <w:jc w:val="both"/>
        <w:rPr>
          <w:rFonts w:ascii="Arial" w:hAnsi="Arial" w:cs="Arial"/>
          <w:sz w:val="22"/>
          <w:szCs w:val="22"/>
        </w:rPr>
      </w:pPr>
    </w:p>
    <w:p w14:paraId="18241828" w14:textId="04E93744" w:rsidR="0044725E" w:rsidRPr="007A37E1" w:rsidRDefault="0044725E" w:rsidP="006D0E9E">
      <w:pPr>
        <w:pStyle w:val="ListParagraph"/>
        <w:tabs>
          <w:tab w:val="left" w:pos="0"/>
        </w:tabs>
        <w:spacing w:line="360" w:lineRule="auto"/>
        <w:ind w:left="0"/>
        <w:jc w:val="both"/>
        <w:rPr>
          <w:rFonts w:ascii="Arial" w:hAnsi="Arial" w:cs="Arial"/>
        </w:rPr>
      </w:pPr>
      <w:r w:rsidRPr="007A37E1">
        <w:rPr>
          <w:rFonts w:ascii="Arial" w:hAnsi="Arial" w:cs="Arial"/>
        </w:rPr>
        <w:t>[2</w:t>
      </w:r>
      <w:r w:rsidR="00603218" w:rsidRPr="007A37E1">
        <w:rPr>
          <w:rFonts w:ascii="Arial" w:hAnsi="Arial" w:cs="Arial"/>
        </w:rPr>
        <w:t>9</w:t>
      </w:r>
      <w:r w:rsidRPr="007A37E1">
        <w:rPr>
          <w:rFonts w:ascii="Arial" w:hAnsi="Arial" w:cs="Arial"/>
        </w:rPr>
        <w:t>]</w:t>
      </w:r>
      <w:r w:rsidRPr="007A37E1">
        <w:rPr>
          <w:rFonts w:ascii="Arial" w:hAnsi="Arial" w:cs="Arial"/>
        </w:rPr>
        <w:tab/>
        <w:t xml:space="preserve">The </w:t>
      </w:r>
      <w:r w:rsidR="00277873" w:rsidRPr="007A37E1">
        <w:rPr>
          <w:rFonts w:ascii="Arial" w:hAnsi="Arial" w:cs="Arial"/>
        </w:rPr>
        <w:t xml:space="preserve">high </w:t>
      </w:r>
      <w:r w:rsidRPr="007A37E1">
        <w:rPr>
          <w:rFonts w:ascii="Arial" w:hAnsi="Arial" w:cs="Arial"/>
        </w:rPr>
        <w:t xml:space="preserve">court rejected the submission on behalf of the </w:t>
      </w:r>
      <w:r w:rsidR="00B44DA1" w:rsidRPr="007A37E1">
        <w:rPr>
          <w:rFonts w:ascii="Arial" w:hAnsi="Arial" w:cs="Arial"/>
        </w:rPr>
        <w:t xml:space="preserve">present </w:t>
      </w:r>
      <w:r w:rsidRPr="007A37E1">
        <w:rPr>
          <w:rFonts w:ascii="Arial" w:hAnsi="Arial" w:cs="Arial"/>
        </w:rPr>
        <w:t>respondents</w:t>
      </w:r>
      <w:r w:rsidR="007837A2" w:rsidRPr="007A37E1">
        <w:rPr>
          <w:rFonts w:ascii="Arial" w:hAnsi="Arial" w:cs="Arial"/>
        </w:rPr>
        <w:t xml:space="preserve"> concerning the approval of the NCOP. It reasoned as follows</w:t>
      </w:r>
      <w:r w:rsidR="00CD002C" w:rsidRPr="007A37E1">
        <w:rPr>
          <w:rFonts w:ascii="Arial" w:hAnsi="Arial" w:cs="Arial"/>
        </w:rPr>
        <w:t>:</w:t>
      </w:r>
    </w:p>
    <w:p w14:paraId="5327C923" w14:textId="01F9DDE9" w:rsidR="00D36EA0" w:rsidRPr="007A37E1" w:rsidRDefault="00D36EA0" w:rsidP="00D36EA0">
      <w:pPr>
        <w:pStyle w:val="ListParagraph"/>
        <w:spacing w:line="360" w:lineRule="auto"/>
        <w:ind w:left="0"/>
        <w:jc w:val="both"/>
        <w:rPr>
          <w:rFonts w:ascii="Arial" w:hAnsi="Arial" w:cs="Arial"/>
          <w:sz w:val="22"/>
          <w:szCs w:val="22"/>
        </w:rPr>
      </w:pPr>
      <w:r w:rsidRPr="007A37E1">
        <w:rPr>
          <w:rFonts w:ascii="Arial" w:hAnsi="Arial" w:cs="Arial"/>
          <w:sz w:val="22"/>
          <w:szCs w:val="22"/>
        </w:rPr>
        <w:t>‘Many of the functional areas referred to in Section 27(2) of the DMA fall, in terms of Schedule 5 of the Constitu</w:t>
      </w:r>
      <w:r w:rsidR="00FB2FC1" w:rsidRPr="007A37E1">
        <w:rPr>
          <w:rFonts w:ascii="Arial" w:hAnsi="Arial" w:cs="Arial"/>
          <w:sz w:val="22"/>
          <w:szCs w:val="22"/>
        </w:rPr>
        <w:t>t</w:t>
      </w:r>
      <w:r w:rsidRPr="007A37E1">
        <w:rPr>
          <w:rFonts w:ascii="Arial" w:hAnsi="Arial" w:cs="Arial"/>
          <w:sz w:val="22"/>
          <w:szCs w:val="22"/>
        </w:rPr>
        <w:t xml:space="preserve">ion, within the areas of provincial legislative competence, such as liquor licenses, provincial sport, provincial roads and traffic, beaches and amusement facilities, cemeteries, funeral parlours and crematoria, markets, public places and the like </w:t>
      </w:r>
      <w:r w:rsidR="00FB2FC1" w:rsidRPr="007A37E1">
        <w:rPr>
          <w:rFonts w:ascii="Arial" w:hAnsi="Arial" w:cs="Arial"/>
          <w:sz w:val="22"/>
          <w:szCs w:val="22"/>
        </w:rPr>
        <w:t>(</w:t>
      </w:r>
      <w:r w:rsidRPr="007A37E1">
        <w:rPr>
          <w:rFonts w:ascii="Arial" w:hAnsi="Arial" w:cs="Arial"/>
          <w:sz w:val="22"/>
          <w:szCs w:val="22"/>
        </w:rPr>
        <w:t>subject to certain monitoring and control aspects by local spheres of government which are not relevant to the current issues). In order to avoid conflict between national and provincial legislation, section 146(6) of the Constitu</w:t>
      </w:r>
      <w:r w:rsidR="00FB2FC1" w:rsidRPr="007A37E1">
        <w:rPr>
          <w:rFonts w:ascii="Arial" w:hAnsi="Arial" w:cs="Arial"/>
          <w:sz w:val="22"/>
          <w:szCs w:val="22"/>
        </w:rPr>
        <w:t>t</w:t>
      </w:r>
      <w:r w:rsidRPr="007A37E1">
        <w:rPr>
          <w:rFonts w:ascii="Arial" w:hAnsi="Arial" w:cs="Arial"/>
          <w:sz w:val="22"/>
          <w:szCs w:val="22"/>
        </w:rPr>
        <w:t>ion requires laws made by an Act of Parliament to prevail only after approval by the National Council of Provinces (“NCP”). Section 59</w:t>
      </w:r>
      <w:r w:rsidR="00FB2FC1" w:rsidRPr="007A37E1">
        <w:rPr>
          <w:rFonts w:ascii="Arial" w:hAnsi="Arial" w:cs="Arial"/>
          <w:sz w:val="22"/>
          <w:szCs w:val="22"/>
        </w:rPr>
        <w:t>(</w:t>
      </w:r>
      <w:r w:rsidRPr="007A37E1">
        <w:rPr>
          <w:rFonts w:ascii="Arial" w:hAnsi="Arial" w:cs="Arial"/>
          <w:sz w:val="22"/>
          <w:szCs w:val="22"/>
        </w:rPr>
        <w:t>4</w:t>
      </w:r>
      <w:r w:rsidR="00FB2FC1" w:rsidRPr="007A37E1">
        <w:rPr>
          <w:rFonts w:ascii="Arial" w:hAnsi="Arial" w:cs="Arial"/>
          <w:sz w:val="22"/>
          <w:szCs w:val="22"/>
        </w:rPr>
        <w:t>)</w:t>
      </w:r>
      <w:r w:rsidRPr="007A37E1">
        <w:rPr>
          <w:rFonts w:ascii="Arial" w:hAnsi="Arial" w:cs="Arial"/>
          <w:sz w:val="22"/>
          <w:szCs w:val="22"/>
        </w:rPr>
        <w:t xml:space="preserve"> of the DMA provides that regulations made by the Minister should also be referred to the NCOP </w:t>
      </w:r>
      <w:r w:rsidR="004446B5" w:rsidRPr="007A37E1">
        <w:rPr>
          <w:rFonts w:ascii="Arial" w:hAnsi="Arial" w:cs="Arial"/>
          <w:sz w:val="22"/>
          <w:szCs w:val="22"/>
        </w:rPr>
        <w:t>for approval first. This provis</w:t>
      </w:r>
      <w:r w:rsidRPr="007A37E1">
        <w:rPr>
          <w:rFonts w:ascii="Arial" w:hAnsi="Arial" w:cs="Arial"/>
          <w:sz w:val="22"/>
          <w:szCs w:val="22"/>
        </w:rPr>
        <w:t>o, however, only refers to regulations promulgated in the ordinary course of business in terms of section 59(1) of the DMA. It does not apply to all regulations under the Act. Upon a reading of sections 27(2) and 27(5) of the DMA it is also clear that the regulations (and directions) provided for therein, are of an urgent or emergency nature and clearly intended to be for a temporary period only. They are distinguishable from those mentioned in sections 5</w:t>
      </w:r>
      <w:r w:rsidR="00FB2FC1" w:rsidRPr="007A37E1">
        <w:rPr>
          <w:rFonts w:ascii="Arial" w:hAnsi="Arial" w:cs="Arial"/>
          <w:sz w:val="22"/>
          <w:szCs w:val="22"/>
        </w:rPr>
        <w:t>(</w:t>
      </w:r>
      <w:r w:rsidRPr="007A37E1">
        <w:rPr>
          <w:rFonts w:ascii="Arial" w:hAnsi="Arial" w:cs="Arial"/>
          <w:sz w:val="22"/>
          <w:szCs w:val="22"/>
        </w:rPr>
        <w:t xml:space="preserve">1) and </w:t>
      </w:r>
      <w:r w:rsidR="00FB2FC1" w:rsidRPr="007A37E1">
        <w:rPr>
          <w:rFonts w:ascii="Arial" w:hAnsi="Arial" w:cs="Arial"/>
          <w:sz w:val="22"/>
          <w:szCs w:val="22"/>
        </w:rPr>
        <w:t>59(4)</w:t>
      </w:r>
      <w:r w:rsidRPr="007A37E1">
        <w:rPr>
          <w:rFonts w:ascii="Arial" w:hAnsi="Arial" w:cs="Arial"/>
          <w:sz w:val="22"/>
          <w:szCs w:val="22"/>
        </w:rPr>
        <w:t xml:space="preserve"> of the DMA and to equate the two types of regulation with each other and require consideration, debate and approval by the NCOP for Section 27(</w:t>
      </w:r>
      <w:r w:rsidR="006F68CA" w:rsidRPr="007A37E1">
        <w:rPr>
          <w:rFonts w:ascii="Arial" w:hAnsi="Arial" w:cs="Arial"/>
          <w:sz w:val="22"/>
          <w:szCs w:val="22"/>
        </w:rPr>
        <w:t>2</w:t>
      </w:r>
      <w:r w:rsidRPr="007A37E1">
        <w:rPr>
          <w:rFonts w:ascii="Arial" w:hAnsi="Arial" w:cs="Arial"/>
          <w:sz w:val="22"/>
          <w:szCs w:val="22"/>
        </w:rPr>
        <w:t>) regulations might frustrate or negate the whole purpose of urgent action and augmentation of otherwise insufficient disaster management provisions.’</w:t>
      </w:r>
    </w:p>
    <w:p w14:paraId="79434B0D" w14:textId="77777777" w:rsidR="004E0C5C" w:rsidRPr="007A37E1" w:rsidRDefault="004E0C5C" w:rsidP="00B45905">
      <w:pPr>
        <w:spacing w:line="360" w:lineRule="auto"/>
        <w:jc w:val="both"/>
        <w:rPr>
          <w:rFonts w:ascii="Arial" w:hAnsi="Arial" w:cs="Arial"/>
          <w:lang w:val="en-US"/>
        </w:rPr>
      </w:pPr>
    </w:p>
    <w:p w14:paraId="75CB977C" w14:textId="2B01AD36" w:rsidR="007F7397" w:rsidRPr="007A37E1" w:rsidRDefault="007F7397" w:rsidP="00B45905">
      <w:pPr>
        <w:spacing w:line="360" w:lineRule="auto"/>
        <w:jc w:val="both"/>
        <w:rPr>
          <w:rFonts w:ascii="Arial" w:hAnsi="Arial" w:cs="Arial"/>
          <w:lang w:val="en-US"/>
        </w:rPr>
      </w:pPr>
      <w:r w:rsidRPr="007A37E1">
        <w:rPr>
          <w:rFonts w:ascii="Arial" w:hAnsi="Arial" w:cs="Arial"/>
          <w:lang w:val="en-US"/>
        </w:rPr>
        <w:t>[</w:t>
      </w:r>
      <w:r w:rsidR="0044725E" w:rsidRPr="007A37E1">
        <w:rPr>
          <w:rFonts w:ascii="Arial" w:hAnsi="Arial" w:cs="Arial"/>
          <w:lang w:val="en-US"/>
        </w:rPr>
        <w:t>30</w:t>
      </w:r>
      <w:r w:rsidRPr="007A37E1">
        <w:rPr>
          <w:rFonts w:ascii="Arial" w:hAnsi="Arial" w:cs="Arial"/>
          <w:lang w:val="en-US"/>
        </w:rPr>
        <w:t>]</w:t>
      </w:r>
      <w:r w:rsidRPr="007A37E1">
        <w:rPr>
          <w:rFonts w:ascii="Arial" w:hAnsi="Arial" w:cs="Arial"/>
          <w:lang w:val="en-US"/>
        </w:rPr>
        <w:tab/>
        <w:t>On 30 June 2020</w:t>
      </w:r>
      <w:r w:rsidR="00DE5EEE" w:rsidRPr="007A37E1">
        <w:rPr>
          <w:rFonts w:ascii="Arial" w:hAnsi="Arial" w:cs="Arial"/>
          <w:lang w:val="en-US"/>
        </w:rPr>
        <w:t>,</w:t>
      </w:r>
      <w:r w:rsidRPr="007A37E1">
        <w:rPr>
          <w:rFonts w:ascii="Arial" w:hAnsi="Arial" w:cs="Arial"/>
          <w:lang w:val="en-US"/>
        </w:rPr>
        <w:t xml:space="preserve"> the high court granted</w:t>
      </w:r>
      <w:r w:rsidR="00275D6D" w:rsidRPr="007A37E1">
        <w:rPr>
          <w:rFonts w:ascii="Arial" w:hAnsi="Arial" w:cs="Arial"/>
          <w:lang w:val="en-US"/>
        </w:rPr>
        <w:t xml:space="preserve"> </w:t>
      </w:r>
      <w:r w:rsidRPr="007A37E1">
        <w:rPr>
          <w:rFonts w:ascii="Arial" w:hAnsi="Arial" w:cs="Arial"/>
          <w:lang w:val="en-US"/>
        </w:rPr>
        <w:t>leave to the Minister to appeal against the declaration of invalidity of those regulations that were not expressly identified in its judgment</w:t>
      </w:r>
      <w:r w:rsidR="00BD55BD" w:rsidRPr="007A37E1">
        <w:rPr>
          <w:rFonts w:ascii="Arial" w:hAnsi="Arial" w:cs="Arial"/>
          <w:lang w:val="en-US"/>
        </w:rPr>
        <w:t xml:space="preserve"> (ie those discussed in paras 7.1-7.10 of the judgment, which we quoted earlier)</w:t>
      </w:r>
      <w:r w:rsidRPr="007A37E1">
        <w:rPr>
          <w:rFonts w:ascii="Arial" w:hAnsi="Arial" w:cs="Arial"/>
          <w:lang w:val="en-US"/>
        </w:rPr>
        <w:t xml:space="preserve">. </w:t>
      </w:r>
      <w:r w:rsidR="00A05E87" w:rsidRPr="007A37E1">
        <w:rPr>
          <w:rFonts w:ascii="Arial" w:hAnsi="Arial" w:cs="Arial"/>
          <w:lang w:val="en-US"/>
        </w:rPr>
        <w:t>The high court</w:t>
      </w:r>
      <w:r w:rsidRPr="007A37E1">
        <w:rPr>
          <w:rFonts w:ascii="Arial" w:hAnsi="Arial" w:cs="Arial"/>
          <w:lang w:val="en-US"/>
        </w:rPr>
        <w:t xml:space="preserve"> refused leave to appeal against the regulations specifically addressed in its judgment, namely</w:t>
      </w:r>
      <w:r w:rsidR="00D07559" w:rsidRPr="007A37E1">
        <w:rPr>
          <w:rFonts w:ascii="Arial" w:hAnsi="Arial" w:cs="Arial"/>
          <w:lang w:val="en-US"/>
        </w:rPr>
        <w:t>,</w:t>
      </w:r>
      <w:r w:rsidRPr="007A37E1">
        <w:rPr>
          <w:rFonts w:ascii="Arial" w:hAnsi="Arial" w:cs="Arial"/>
          <w:lang w:val="en-US"/>
        </w:rPr>
        <w:t xml:space="preserve"> regulations 33(1)</w:t>
      </w:r>
      <w:r w:rsidRPr="007A37E1">
        <w:rPr>
          <w:rFonts w:ascii="Arial" w:hAnsi="Arial" w:cs="Arial"/>
          <w:i/>
          <w:lang w:val="en-US"/>
        </w:rPr>
        <w:t>(e)</w:t>
      </w:r>
      <w:r w:rsidRPr="007A37E1">
        <w:rPr>
          <w:rFonts w:ascii="Arial" w:hAnsi="Arial" w:cs="Arial"/>
          <w:lang w:val="en-US"/>
        </w:rPr>
        <w:t>, 34, 35 and 39(2)</w:t>
      </w:r>
      <w:r w:rsidRPr="007A37E1">
        <w:rPr>
          <w:rFonts w:ascii="Arial" w:hAnsi="Arial" w:cs="Arial"/>
          <w:i/>
          <w:lang w:val="en-US"/>
        </w:rPr>
        <w:t>(m)</w:t>
      </w:r>
      <w:r w:rsidR="00E52C83" w:rsidRPr="007A37E1">
        <w:rPr>
          <w:rFonts w:ascii="Arial" w:hAnsi="Arial" w:cs="Arial"/>
          <w:lang w:val="en-US"/>
        </w:rPr>
        <w:t xml:space="preserve"> and</w:t>
      </w:r>
      <w:r w:rsidRPr="007A37E1">
        <w:rPr>
          <w:rFonts w:ascii="Arial" w:hAnsi="Arial" w:cs="Arial"/>
          <w:lang w:val="en-US"/>
        </w:rPr>
        <w:t xml:space="preserve"> the exception</w:t>
      </w:r>
      <w:r w:rsidR="00E52C83" w:rsidRPr="007A37E1">
        <w:rPr>
          <w:rFonts w:ascii="Arial" w:hAnsi="Arial" w:cs="Arial"/>
          <w:lang w:val="en-US"/>
        </w:rPr>
        <w:t>s</w:t>
      </w:r>
      <w:r w:rsidRPr="007A37E1">
        <w:rPr>
          <w:rFonts w:ascii="Arial" w:hAnsi="Arial" w:cs="Arial"/>
          <w:lang w:val="en-US"/>
        </w:rPr>
        <w:t xml:space="preserve"> to regulation</w:t>
      </w:r>
      <w:r w:rsidR="00E52C83" w:rsidRPr="007A37E1">
        <w:rPr>
          <w:rFonts w:ascii="Arial" w:hAnsi="Arial" w:cs="Arial"/>
          <w:lang w:val="en-US"/>
        </w:rPr>
        <w:t>s</w:t>
      </w:r>
      <w:r w:rsidRPr="007A37E1">
        <w:rPr>
          <w:rFonts w:ascii="Arial" w:hAnsi="Arial" w:cs="Arial"/>
          <w:lang w:val="en-US"/>
        </w:rPr>
        <w:t xml:space="preserve"> 46(1) and 48(2)</w:t>
      </w:r>
      <w:r w:rsidR="00BD55BD" w:rsidRPr="007A37E1">
        <w:rPr>
          <w:rFonts w:ascii="Arial" w:hAnsi="Arial" w:cs="Arial"/>
          <w:lang w:val="en-US"/>
        </w:rPr>
        <w:t>, all as contained in the Level 3 regulations</w:t>
      </w:r>
      <w:r w:rsidRPr="007A37E1">
        <w:rPr>
          <w:rFonts w:ascii="Arial" w:hAnsi="Arial" w:cs="Arial"/>
          <w:lang w:val="en-US"/>
        </w:rPr>
        <w:t xml:space="preserve"> (the six </w:t>
      </w:r>
      <w:r w:rsidR="00E52FC7" w:rsidRPr="007A37E1">
        <w:rPr>
          <w:rFonts w:ascii="Arial" w:hAnsi="Arial" w:cs="Arial"/>
          <w:lang w:val="en-US"/>
        </w:rPr>
        <w:t>L</w:t>
      </w:r>
      <w:r w:rsidRPr="007A37E1">
        <w:rPr>
          <w:rFonts w:ascii="Arial" w:hAnsi="Arial" w:cs="Arial"/>
          <w:lang w:val="en-US"/>
        </w:rPr>
        <w:t xml:space="preserve">evel 3 </w:t>
      </w:r>
      <w:r w:rsidR="00BD55BD" w:rsidRPr="007A37E1">
        <w:rPr>
          <w:rFonts w:ascii="Arial" w:hAnsi="Arial" w:cs="Arial"/>
          <w:lang w:val="en-US"/>
        </w:rPr>
        <w:t>provisions</w:t>
      </w:r>
      <w:r w:rsidRPr="007A37E1">
        <w:rPr>
          <w:rFonts w:ascii="Arial" w:hAnsi="Arial" w:cs="Arial"/>
          <w:lang w:val="en-US"/>
        </w:rPr>
        <w:t xml:space="preserve">). This </w:t>
      </w:r>
      <w:r w:rsidR="00E80978" w:rsidRPr="007A37E1">
        <w:rPr>
          <w:rFonts w:ascii="Arial" w:hAnsi="Arial" w:cs="Arial"/>
          <w:lang w:val="en-US"/>
        </w:rPr>
        <w:t>C</w:t>
      </w:r>
      <w:r w:rsidRPr="007A37E1">
        <w:rPr>
          <w:rFonts w:ascii="Arial" w:hAnsi="Arial" w:cs="Arial"/>
          <w:lang w:val="en-US"/>
        </w:rPr>
        <w:t xml:space="preserve">ourt granted leave to the Minister to appeal in respect of the six </w:t>
      </w:r>
      <w:r w:rsidR="00E52FC7" w:rsidRPr="007A37E1">
        <w:rPr>
          <w:rFonts w:ascii="Arial" w:hAnsi="Arial" w:cs="Arial"/>
          <w:lang w:val="en-US"/>
        </w:rPr>
        <w:t>L</w:t>
      </w:r>
      <w:r w:rsidRPr="007A37E1">
        <w:rPr>
          <w:rFonts w:ascii="Arial" w:hAnsi="Arial" w:cs="Arial"/>
          <w:lang w:val="en-US"/>
        </w:rPr>
        <w:t xml:space="preserve">evel </w:t>
      </w:r>
      <w:r w:rsidRPr="007A37E1">
        <w:rPr>
          <w:rFonts w:ascii="Arial" w:hAnsi="Arial" w:cs="Arial"/>
          <w:lang w:val="en-US"/>
        </w:rPr>
        <w:lastRenderedPageBreak/>
        <w:t xml:space="preserve">3 </w:t>
      </w:r>
      <w:r w:rsidR="00BD55BD" w:rsidRPr="007A37E1">
        <w:rPr>
          <w:rFonts w:ascii="Arial" w:hAnsi="Arial" w:cs="Arial"/>
          <w:lang w:val="en-US"/>
        </w:rPr>
        <w:t>provisions</w:t>
      </w:r>
      <w:r w:rsidRPr="007A37E1">
        <w:rPr>
          <w:rFonts w:ascii="Arial" w:hAnsi="Arial" w:cs="Arial"/>
          <w:lang w:val="en-US"/>
        </w:rPr>
        <w:t xml:space="preserve"> on 22 September 2020. Accordingly, the appeal before this </w:t>
      </w:r>
      <w:r w:rsidR="00EB04CD" w:rsidRPr="007A37E1">
        <w:rPr>
          <w:rFonts w:ascii="Arial" w:hAnsi="Arial" w:cs="Arial"/>
          <w:lang w:val="en-US"/>
        </w:rPr>
        <w:t>C</w:t>
      </w:r>
      <w:r w:rsidRPr="007A37E1">
        <w:rPr>
          <w:rFonts w:ascii="Arial" w:hAnsi="Arial" w:cs="Arial"/>
          <w:lang w:val="en-US"/>
        </w:rPr>
        <w:t>ourt is against the high court’s order in its entirety.</w:t>
      </w:r>
      <w:r w:rsidR="009D60F1" w:rsidRPr="007A37E1">
        <w:rPr>
          <w:rFonts w:ascii="Arial" w:hAnsi="Arial" w:cs="Arial"/>
          <w:lang w:val="en-US"/>
        </w:rPr>
        <w:t xml:space="preserve"> </w:t>
      </w:r>
    </w:p>
    <w:p w14:paraId="10648FAA" w14:textId="7CE8221A" w:rsidR="00BD55BD" w:rsidRPr="007A37E1" w:rsidRDefault="00BD55BD" w:rsidP="00B45905">
      <w:pPr>
        <w:spacing w:line="360" w:lineRule="auto"/>
        <w:jc w:val="both"/>
        <w:rPr>
          <w:rFonts w:ascii="Arial" w:hAnsi="Arial" w:cs="Arial"/>
          <w:lang w:val="en-US"/>
        </w:rPr>
      </w:pPr>
    </w:p>
    <w:p w14:paraId="70714C3C" w14:textId="2D43F124" w:rsidR="00BD55BD" w:rsidRPr="007A37E1" w:rsidRDefault="004446B5" w:rsidP="00B45905">
      <w:pPr>
        <w:spacing w:line="360" w:lineRule="auto"/>
        <w:jc w:val="both"/>
        <w:rPr>
          <w:rFonts w:ascii="Arial" w:hAnsi="Arial" w:cs="Arial"/>
          <w:lang w:val="en-US"/>
        </w:rPr>
      </w:pPr>
      <w:r w:rsidRPr="007A37E1">
        <w:rPr>
          <w:rFonts w:ascii="Arial" w:hAnsi="Arial" w:cs="Arial"/>
          <w:lang w:val="en-US"/>
        </w:rPr>
        <w:t>[31]</w:t>
      </w:r>
      <w:r w:rsidRPr="007A37E1">
        <w:rPr>
          <w:rFonts w:ascii="Arial" w:hAnsi="Arial" w:cs="Arial"/>
          <w:lang w:val="en-US"/>
        </w:rPr>
        <w:tab/>
      </w:r>
      <w:r w:rsidR="00BD55BD" w:rsidRPr="007A37E1">
        <w:rPr>
          <w:rFonts w:ascii="Arial" w:hAnsi="Arial" w:cs="Arial"/>
          <w:lang w:val="en-US"/>
        </w:rPr>
        <w:t>We must note that the high court declined to grant the relief sought by the present respondents in para 3 of their notice of motion, namely</w:t>
      </w:r>
      <w:r w:rsidR="00811BAF" w:rsidRPr="007A37E1">
        <w:rPr>
          <w:rFonts w:ascii="Arial" w:hAnsi="Arial" w:cs="Arial"/>
          <w:lang w:val="en-US"/>
        </w:rPr>
        <w:t>,</w:t>
      </w:r>
      <w:r w:rsidR="00BD55BD" w:rsidRPr="007A37E1">
        <w:rPr>
          <w:rFonts w:ascii="Arial" w:hAnsi="Arial" w:cs="Arial"/>
          <w:lang w:val="en-US"/>
        </w:rPr>
        <w:t xml:space="preserve"> an order that the proclamation of the national state of disaster was unconstitutional, unlawful and invalid. </w:t>
      </w:r>
      <w:r w:rsidR="001B6431" w:rsidRPr="007A37E1">
        <w:rPr>
          <w:rFonts w:ascii="Arial" w:hAnsi="Arial" w:cs="Arial"/>
          <w:lang w:val="en-US"/>
        </w:rPr>
        <w:t>T</w:t>
      </w:r>
      <w:r w:rsidR="00BD55BD" w:rsidRPr="007A37E1">
        <w:rPr>
          <w:rFonts w:ascii="Arial" w:hAnsi="Arial" w:cs="Arial"/>
          <w:lang w:val="en-US"/>
        </w:rPr>
        <w:t>he high court refused leave to the present respondents to cross-appeal</w:t>
      </w:r>
      <w:r w:rsidR="001B6431" w:rsidRPr="007A37E1">
        <w:rPr>
          <w:rFonts w:ascii="Arial" w:hAnsi="Arial" w:cs="Arial"/>
          <w:lang w:val="en-US"/>
        </w:rPr>
        <w:t>.</w:t>
      </w:r>
      <w:r w:rsidR="00A3718A" w:rsidRPr="007A37E1">
        <w:rPr>
          <w:rFonts w:ascii="Arial" w:hAnsi="Arial" w:cs="Arial"/>
          <w:lang w:val="en-US"/>
        </w:rPr>
        <w:t xml:space="preserve"> </w:t>
      </w:r>
      <w:r w:rsidR="001B6431" w:rsidRPr="007A37E1">
        <w:rPr>
          <w:rFonts w:ascii="Arial" w:hAnsi="Arial" w:cs="Arial"/>
          <w:lang w:val="en-US"/>
        </w:rPr>
        <w:t>T</w:t>
      </w:r>
      <w:r w:rsidR="00BD55BD" w:rsidRPr="007A37E1">
        <w:rPr>
          <w:rFonts w:ascii="Arial" w:hAnsi="Arial" w:cs="Arial"/>
          <w:lang w:val="en-US"/>
        </w:rPr>
        <w:t xml:space="preserve">hey thereafter brought an application for such leave to this </w:t>
      </w:r>
      <w:r w:rsidR="00AD4DCB" w:rsidRPr="007A37E1">
        <w:rPr>
          <w:rFonts w:ascii="Arial" w:hAnsi="Arial" w:cs="Arial"/>
          <w:lang w:val="en-US"/>
        </w:rPr>
        <w:t>C</w:t>
      </w:r>
      <w:r w:rsidR="00BD55BD" w:rsidRPr="007A37E1">
        <w:rPr>
          <w:rFonts w:ascii="Arial" w:hAnsi="Arial" w:cs="Arial"/>
          <w:lang w:val="en-US"/>
        </w:rPr>
        <w:t>ourt. The said application was refused on 22 January 2021 on the basis that it enjoyed no reasonable prospects of success and that there was no other compelling reason for the cross-appeal to be heard.</w:t>
      </w:r>
      <w:r w:rsidR="004E0C5C" w:rsidRPr="007A37E1">
        <w:rPr>
          <w:rFonts w:ascii="Arial" w:hAnsi="Arial" w:cs="Arial"/>
          <w:lang w:val="en-US"/>
        </w:rPr>
        <w:t xml:space="preserve"> </w:t>
      </w:r>
      <w:r w:rsidR="007867CC" w:rsidRPr="007A37E1">
        <w:rPr>
          <w:rFonts w:ascii="Arial" w:hAnsi="Arial" w:cs="Arial"/>
          <w:lang w:val="en-US"/>
        </w:rPr>
        <w:t xml:space="preserve">It needs to be mentioned that the </w:t>
      </w:r>
      <w:r w:rsidR="00230FE7" w:rsidRPr="007A37E1">
        <w:rPr>
          <w:rFonts w:ascii="Arial" w:hAnsi="Arial" w:cs="Arial"/>
          <w:lang w:val="en-US"/>
        </w:rPr>
        <w:t>HBF had sought direct access to the Constitutional Court on an urgent basis, which was refused on 30 March 202</w:t>
      </w:r>
      <w:r w:rsidR="00BA44B6" w:rsidRPr="007A37E1">
        <w:rPr>
          <w:rFonts w:ascii="Arial" w:hAnsi="Arial" w:cs="Arial"/>
          <w:lang w:val="en-US"/>
        </w:rPr>
        <w:t>0</w:t>
      </w:r>
      <w:r w:rsidR="00230FE7" w:rsidRPr="007A37E1">
        <w:rPr>
          <w:rFonts w:ascii="Arial" w:hAnsi="Arial" w:cs="Arial"/>
          <w:lang w:val="en-US"/>
        </w:rPr>
        <w:t>.</w:t>
      </w:r>
    </w:p>
    <w:p w14:paraId="04CFA2E5" w14:textId="77777777" w:rsidR="00B45905" w:rsidRPr="007A37E1" w:rsidRDefault="00B45905" w:rsidP="00B45905">
      <w:pPr>
        <w:spacing w:line="360" w:lineRule="auto"/>
        <w:jc w:val="both"/>
        <w:rPr>
          <w:rFonts w:ascii="Arial" w:hAnsi="Arial" w:cs="Arial"/>
          <w:lang w:val="en-US"/>
        </w:rPr>
      </w:pPr>
    </w:p>
    <w:p w14:paraId="1E7F6F34" w14:textId="5D37D0EA" w:rsidR="007F7397" w:rsidRPr="007A37E1" w:rsidRDefault="00900012" w:rsidP="004E0C5C">
      <w:pPr>
        <w:spacing w:line="360" w:lineRule="auto"/>
        <w:jc w:val="both"/>
        <w:rPr>
          <w:rFonts w:ascii="Arial" w:hAnsi="Arial" w:cs="Arial"/>
          <w:b/>
          <w:bCs/>
          <w:lang w:val="en-US"/>
        </w:rPr>
      </w:pPr>
      <w:r w:rsidRPr="007A37E1">
        <w:rPr>
          <w:rFonts w:ascii="Arial" w:hAnsi="Arial" w:cs="Arial"/>
          <w:b/>
          <w:bCs/>
          <w:lang w:val="en-US"/>
        </w:rPr>
        <w:t>The virtual hearing and recusal</w:t>
      </w:r>
    </w:p>
    <w:p w14:paraId="57571816" w14:textId="26029C7A" w:rsidR="00C70CE0" w:rsidRPr="007A37E1" w:rsidRDefault="00C70CE0" w:rsidP="00AD4DCB">
      <w:pPr>
        <w:spacing w:line="360" w:lineRule="auto"/>
        <w:jc w:val="both"/>
        <w:rPr>
          <w:rFonts w:ascii="Arial" w:hAnsi="Arial" w:cs="Arial"/>
          <w:lang w:val="en-US"/>
        </w:rPr>
      </w:pPr>
      <w:r w:rsidRPr="007A37E1">
        <w:rPr>
          <w:rFonts w:ascii="Arial" w:hAnsi="Arial" w:cs="Arial"/>
          <w:lang w:val="en-US"/>
        </w:rPr>
        <w:t>[</w:t>
      </w:r>
      <w:r w:rsidR="002858BC" w:rsidRPr="007A37E1">
        <w:rPr>
          <w:rFonts w:ascii="Arial" w:hAnsi="Arial" w:cs="Arial"/>
          <w:lang w:val="en-US"/>
        </w:rPr>
        <w:t>3</w:t>
      </w:r>
      <w:r w:rsidR="004446B5" w:rsidRPr="007A37E1">
        <w:rPr>
          <w:rFonts w:ascii="Arial" w:hAnsi="Arial" w:cs="Arial"/>
          <w:lang w:val="en-US"/>
        </w:rPr>
        <w:t>2</w:t>
      </w:r>
      <w:r w:rsidRPr="007A37E1">
        <w:rPr>
          <w:rFonts w:ascii="Arial" w:hAnsi="Arial" w:cs="Arial"/>
          <w:lang w:val="en-US"/>
        </w:rPr>
        <w:t>]</w:t>
      </w:r>
      <w:r w:rsidRPr="007A37E1">
        <w:rPr>
          <w:rFonts w:ascii="Arial" w:hAnsi="Arial" w:cs="Arial"/>
          <w:lang w:val="en-US"/>
        </w:rPr>
        <w:tab/>
        <w:t>Before turning our attention to the merits of the appeal</w:t>
      </w:r>
      <w:r w:rsidR="00900012" w:rsidRPr="007A37E1">
        <w:rPr>
          <w:rFonts w:ascii="Arial" w:hAnsi="Arial" w:cs="Arial"/>
          <w:lang w:val="en-US"/>
        </w:rPr>
        <w:t>,</w:t>
      </w:r>
      <w:r w:rsidRPr="007A37E1">
        <w:rPr>
          <w:rFonts w:ascii="Arial" w:hAnsi="Arial" w:cs="Arial"/>
          <w:lang w:val="en-US"/>
        </w:rPr>
        <w:t xml:space="preserve"> it is necessary to deal with what transpired in the period after the judgment of the </w:t>
      </w:r>
      <w:r w:rsidR="00B3016C" w:rsidRPr="007A37E1">
        <w:rPr>
          <w:rFonts w:ascii="Arial" w:hAnsi="Arial" w:cs="Arial"/>
          <w:lang w:val="en-US"/>
        </w:rPr>
        <w:t xml:space="preserve">high </w:t>
      </w:r>
      <w:r w:rsidRPr="007A37E1">
        <w:rPr>
          <w:rFonts w:ascii="Arial" w:hAnsi="Arial" w:cs="Arial"/>
          <w:lang w:val="en-US"/>
        </w:rPr>
        <w:t xml:space="preserve">court was delivered and </w:t>
      </w:r>
      <w:r w:rsidR="00B3016C" w:rsidRPr="007A37E1">
        <w:rPr>
          <w:rFonts w:ascii="Arial" w:hAnsi="Arial" w:cs="Arial"/>
          <w:lang w:val="en-US"/>
        </w:rPr>
        <w:t xml:space="preserve">the petition to this </w:t>
      </w:r>
      <w:r w:rsidR="003A3F9B" w:rsidRPr="007A37E1">
        <w:rPr>
          <w:rFonts w:ascii="Arial" w:hAnsi="Arial" w:cs="Arial"/>
          <w:lang w:val="en-US"/>
        </w:rPr>
        <w:t>C</w:t>
      </w:r>
      <w:r w:rsidR="00B3016C" w:rsidRPr="007A37E1">
        <w:rPr>
          <w:rFonts w:ascii="Arial" w:hAnsi="Arial" w:cs="Arial"/>
          <w:lang w:val="en-US"/>
        </w:rPr>
        <w:t>ourt to extend the scope of the appeal succeeded</w:t>
      </w:r>
      <w:r w:rsidR="00B45905" w:rsidRPr="007A37E1">
        <w:rPr>
          <w:rFonts w:ascii="Arial" w:hAnsi="Arial" w:cs="Arial"/>
          <w:lang w:val="en-US"/>
        </w:rPr>
        <w:t xml:space="preserve">. The events described </w:t>
      </w:r>
      <w:r w:rsidRPr="007A37E1">
        <w:rPr>
          <w:rFonts w:ascii="Arial" w:hAnsi="Arial" w:cs="Arial"/>
          <w:lang w:val="en-US"/>
        </w:rPr>
        <w:t xml:space="preserve">relate, in the main, to the objection by </w:t>
      </w:r>
      <w:r w:rsidR="00BD55BD" w:rsidRPr="007A37E1">
        <w:rPr>
          <w:rFonts w:ascii="Arial" w:hAnsi="Arial" w:cs="Arial"/>
          <w:lang w:val="en-US"/>
        </w:rPr>
        <w:t xml:space="preserve">the present respondents </w:t>
      </w:r>
      <w:r w:rsidR="00B3016C" w:rsidRPr="007A37E1">
        <w:rPr>
          <w:rFonts w:ascii="Arial" w:hAnsi="Arial" w:cs="Arial"/>
          <w:lang w:val="en-US"/>
        </w:rPr>
        <w:t xml:space="preserve">to the hearing of </w:t>
      </w:r>
      <w:r w:rsidRPr="007A37E1">
        <w:rPr>
          <w:rFonts w:ascii="Arial" w:hAnsi="Arial" w:cs="Arial"/>
          <w:lang w:val="en-US"/>
        </w:rPr>
        <w:t xml:space="preserve">the appeal </w:t>
      </w:r>
      <w:r w:rsidR="00B3016C" w:rsidRPr="007A37E1">
        <w:rPr>
          <w:rFonts w:ascii="Arial" w:hAnsi="Arial" w:cs="Arial"/>
          <w:lang w:val="en-US"/>
        </w:rPr>
        <w:t xml:space="preserve">by this </w:t>
      </w:r>
      <w:r w:rsidR="003A3F9B" w:rsidRPr="007A37E1">
        <w:rPr>
          <w:rFonts w:ascii="Arial" w:hAnsi="Arial" w:cs="Arial"/>
          <w:lang w:val="en-US"/>
        </w:rPr>
        <w:t>C</w:t>
      </w:r>
      <w:r w:rsidR="00B3016C" w:rsidRPr="007A37E1">
        <w:rPr>
          <w:rFonts w:ascii="Arial" w:hAnsi="Arial" w:cs="Arial"/>
          <w:lang w:val="en-US"/>
        </w:rPr>
        <w:t>ourt on a virtual platform</w:t>
      </w:r>
      <w:r w:rsidR="00230FE7" w:rsidRPr="007A37E1">
        <w:rPr>
          <w:rFonts w:ascii="Arial" w:hAnsi="Arial" w:cs="Arial"/>
          <w:lang w:val="en-US"/>
        </w:rPr>
        <w:t xml:space="preserve"> (a digital videoconferencing facility)</w:t>
      </w:r>
      <w:r w:rsidR="00B3016C" w:rsidRPr="007A37E1">
        <w:rPr>
          <w:rFonts w:ascii="Arial" w:hAnsi="Arial" w:cs="Arial"/>
          <w:lang w:val="en-US"/>
        </w:rPr>
        <w:t xml:space="preserve"> </w:t>
      </w:r>
      <w:r w:rsidRPr="007A37E1">
        <w:rPr>
          <w:rFonts w:ascii="Arial" w:hAnsi="Arial" w:cs="Arial"/>
          <w:lang w:val="en-US"/>
        </w:rPr>
        <w:t xml:space="preserve">and to an associated attempt to secure the recusal of the judges assigned to hear the matter. The objection raised by the respondents has to be seen in the context of measures taken by the Office of the Chief Justice </w:t>
      </w:r>
      <w:r w:rsidR="00BD55BD" w:rsidRPr="007A37E1">
        <w:rPr>
          <w:rFonts w:ascii="Arial" w:hAnsi="Arial" w:cs="Arial"/>
          <w:lang w:val="en-US"/>
        </w:rPr>
        <w:t xml:space="preserve">(OCJ) </w:t>
      </w:r>
      <w:r w:rsidRPr="007A37E1">
        <w:rPr>
          <w:rFonts w:ascii="Arial" w:hAnsi="Arial" w:cs="Arial"/>
          <w:lang w:val="en-US"/>
        </w:rPr>
        <w:t xml:space="preserve">and by this </w:t>
      </w:r>
      <w:r w:rsidR="003A3F9B" w:rsidRPr="007A37E1">
        <w:rPr>
          <w:rFonts w:ascii="Arial" w:hAnsi="Arial" w:cs="Arial"/>
          <w:lang w:val="en-US"/>
        </w:rPr>
        <w:t>C</w:t>
      </w:r>
      <w:r w:rsidRPr="007A37E1">
        <w:rPr>
          <w:rFonts w:ascii="Arial" w:hAnsi="Arial" w:cs="Arial"/>
          <w:lang w:val="en-US"/>
        </w:rPr>
        <w:t xml:space="preserve">ourt to deal with the threat posed by COVID-19. That requires a historical excursus before dealing with the stance adopted by the respondents and the exchange of correspondence involving the </w:t>
      </w:r>
      <w:r w:rsidR="001F74B5" w:rsidRPr="007A37E1">
        <w:rPr>
          <w:rFonts w:ascii="Arial" w:hAnsi="Arial" w:cs="Arial"/>
          <w:lang w:val="en-US"/>
        </w:rPr>
        <w:t>Court</w:t>
      </w:r>
      <w:r w:rsidRPr="007A37E1">
        <w:rPr>
          <w:rFonts w:ascii="Arial" w:hAnsi="Arial" w:cs="Arial"/>
          <w:lang w:val="en-US"/>
        </w:rPr>
        <w:t xml:space="preserve">, the parties, </w:t>
      </w:r>
      <w:r w:rsidR="001D1DB3" w:rsidRPr="007A37E1">
        <w:rPr>
          <w:rFonts w:ascii="Arial" w:hAnsi="Arial" w:cs="Arial"/>
          <w:lang w:val="en-US"/>
        </w:rPr>
        <w:t>CASAC</w:t>
      </w:r>
      <w:r w:rsidRPr="007A37E1">
        <w:rPr>
          <w:rFonts w:ascii="Arial" w:hAnsi="Arial" w:cs="Arial"/>
          <w:lang w:val="en-US"/>
        </w:rPr>
        <w:t xml:space="preserve"> and</w:t>
      </w:r>
      <w:r w:rsidR="009B4C8D" w:rsidRPr="007A37E1">
        <w:rPr>
          <w:rFonts w:ascii="Arial" w:hAnsi="Arial" w:cs="Arial"/>
          <w:lang w:val="en-US"/>
        </w:rPr>
        <w:t xml:space="preserve"> the </w:t>
      </w:r>
      <w:r w:rsidR="00BD55BD" w:rsidRPr="007A37E1">
        <w:rPr>
          <w:rFonts w:ascii="Arial" w:hAnsi="Arial" w:cs="Arial"/>
          <w:lang w:val="en-US"/>
        </w:rPr>
        <w:t>HBF</w:t>
      </w:r>
      <w:r w:rsidRPr="007A37E1">
        <w:rPr>
          <w:rFonts w:ascii="Arial" w:hAnsi="Arial" w:cs="Arial"/>
          <w:lang w:val="en-US"/>
        </w:rPr>
        <w:t xml:space="preserve">. </w:t>
      </w:r>
    </w:p>
    <w:p w14:paraId="4343E95F" w14:textId="77777777" w:rsidR="00C70CE0" w:rsidRPr="007A37E1" w:rsidRDefault="00C70CE0" w:rsidP="00C70CE0">
      <w:pPr>
        <w:spacing w:line="360" w:lineRule="auto"/>
        <w:jc w:val="both"/>
        <w:rPr>
          <w:rFonts w:ascii="Arial" w:hAnsi="Arial" w:cs="Arial"/>
          <w:lang w:val="en-US"/>
        </w:rPr>
      </w:pPr>
    </w:p>
    <w:p w14:paraId="1F5CB223" w14:textId="21E26A62" w:rsidR="00C70CE0" w:rsidRPr="007A37E1" w:rsidRDefault="00C70CE0" w:rsidP="00C70CE0">
      <w:pPr>
        <w:spacing w:line="360" w:lineRule="auto"/>
        <w:jc w:val="both"/>
        <w:rPr>
          <w:rFonts w:ascii="Arial" w:hAnsi="Arial" w:cs="Arial"/>
          <w:lang w:val="en-US"/>
        </w:rPr>
      </w:pPr>
      <w:r w:rsidRPr="007A37E1">
        <w:rPr>
          <w:rFonts w:ascii="Arial" w:hAnsi="Arial" w:cs="Arial"/>
          <w:lang w:val="en-US"/>
        </w:rPr>
        <w:t>[3</w:t>
      </w:r>
      <w:r w:rsidR="00E81C11" w:rsidRPr="007A37E1">
        <w:rPr>
          <w:rFonts w:ascii="Arial" w:hAnsi="Arial" w:cs="Arial"/>
          <w:lang w:val="en-US"/>
        </w:rPr>
        <w:t>3</w:t>
      </w:r>
      <w:r w:rsidRPr="007A37E1">
        <w:rPr>
          <w:rFonts w:ascii="Arial" w:hAnsi="Arial" w:cs="Arial"/>
          <w:lang w:val="en-US"/>
        </w:rPr>
        <w:t>]</w:t>
      </w:r>
      <w:r w:rsidRPr="007A37E1">
        <w:rPr>
          <w:rFonts w:ascii="Arial" w:hAnsi="Arial" w:cs="Arial"/>
          <w:lang w:val="en-US"/>
        </w:rPr>
        <w:tab/>
        <w:t>On 17 March 2020</w:t>
      </w:r>
      <w:r w:rsidR="00900012" w:rsidRPr="007A37E1">
        <w:rPr>
          <w:rFonts w:ascii="Arial" w:hAnsi="Arial" w:cs="Arial"/>
          <w:lang w:val="en-US"/>
        </w:rPr>
        <w:t>,</w:t>
      </w:r>
      <w:r w:rsidRPr="007A37E1">
        <w:rPr>
          <w:rFonts w:ascii="Arial" w:hAnsi="Arial" w:cs="Arial"/>
          <w:lang w:val="en-US"/>
        </w:rPr>
        <w:t xml:space="preserve"> the </w:t>
      </w:r>
      <w:r w:rsidR="00BD55BD" w:rsidRPr="007A37E1">
        <w:rPr>
          <w:rFonts w:ascii="Arial" w:hAnsi="Arial" w:cs="Arial"/>
          <w:lang w:val="en-US"/>
        </w:rPr>
        <w:t>OCJ</w:t>
      </w:r>
      <w:r w:rsidRPr="007A37E1">
        <w:rPr>
          <w:rFonts w:ascii="Arial" w:hAnsi="Arial" w:cs="Arial"/>
          <w:lang w:val="en-US"/>
        </w:rPr>
        <w:t xml:space="preserve"> issued a media statement entitled ‘Measures adopted by the </w:t>
      </w:r>
      <w:r w:rsidR="00A969C7" w:rsidRPr="007A37E1">
        <w:rPr>
          <w:rFonts w:ascii="Arial" w:hAnsi="Arial" w:cs="Arial"/>
          <w:lang w:val="en-US"/>
        </w:rPr>
        <w:t>h</w:t>
      </w:r>
      <w:r w:rsidRPr="007A37E1">
        <w:rPr>
          <w:rFonts w:ascii="Arial" w:hAnsi="Arial" w:cs="Arial"/>
          <w:lang w:val="en-US"/>
        </w:rPr>
        <w:t xml:space="preserve">eads of </w:t>
      </w:r>
      <w:r w:rsidR="00A969C7" w:rsidRPr="007A37E1">
        <w:rPr>
          <w:rFonts w:ascii="Arial" w:hAnsi="Arial" w:cs="Arial"/>
          <w:lang w:val="en-US"/>
        </w:rPr>
        <w:t>c</w:t>
      </w:r>
      <w:r w:rsidRPr="007A37E1">
        <w:rPr>
          <w:rFonts w:ascii="Arial" w:hAnsi="Arial" w:cs="Arial"/>
          <w:lang w:val="en-US"/>
        </w:rPr>
        <w:t xml:space="preserve">ourt to curb the spread of COVID-19 in all </w:t>
      </w:r>
      <w:r w:rsidR="00CC5FAF" w:rsidRPr="007A37E1">
        <w:rPr>
          <w:rFonts w:ascii="Arial" w:hAnsi="Arial" w:cs="Arial"/>
          <w:lang w:val="en-US"/>
        </w:rPr>
        <w:t>c</w:t>
      </w:r>
      <w:r w:rsidRPr="007A37E1">
        <w:rPr>
          <w:rFonts w:ascii="Arial" w:hAnsi="Arial" w:cs="Arial"/>
          <w:lang w:val="en-US"/>
        </w:rPr>
        <w:t>ourts’. The media statement commenced with the recognition that the Cabinet, on 15 March 2020, had decided that gatherings of more than 100 people were prohibited and where gatherings of smaller groups were unavoidable</w:t>
      </w:r>
      <w:r w:rsidR="000F1760" w:rsidRPr="007A37E1">
        <w:rPr>
          <w:rFonts w:ascii="Arial" w:hAnsi="Arial" w:cs="Arial"/>
          <w:lang w:val="en-US"/>
        </w:rPr>
        <w:t>,</w:t>
      </w:r>
      <w:r w:rsidRPr="007A37E1">
        <w:rPr>
          <w:rFonts w:ascii="Arial" w:hAnsi="Arial" w:cs="Arial"/>
          <w:lang w:val="en-US"/>
        </w:rPr>
        <w:t xml:space="preserve"> organi</w:t>
      </w:r>
      <w:r w:rsidR="009B7735" w:rsidRPr="007A37E1">
        <w:rPr>
          <w:rFonts w:ascii="Arial" w:hAnsi="Arial" w:cs="Arial"/>
          <w:lang w:val="en-US"/>
        </w:rPr>
        <w:t>s</w:t>
      </w:r>
      <w:r w:rsidRPr="007A37E1">
        <w:rPr>
          <w:rFonts w:ascii="Arial" w:hAnsi="Arial" w:cs="Arial"/>
          <w:lang w:val="en-US"/>
        </w:rPr>
        <w:t xml:space="preserve">ers would have to put in place ‘stringent </w:t>
      </w:r>
      <w:r w:rsidRPr="007A37E1">
        <w:rPr>
          <w:rFonts w:ascii="Arial" w:hAnsi="Arial" w:cs="Arial"/>
          <w:lang w:val="en-US"/>
        </w:rPr>
        <w:lastRenderedPageBreak/>
        <w:t>measures of prevention and control, in order to curb the spread of COVID-19 in South Africa’.</w:t>
      </w:r>
    </w:p>
    <w:p w14:paraId="422AAD46" w14:textId="77777777" w:rsidR="00C70CE0" w:rsidRPr="007A37E1" w:rsidRDefault="00C70CE0" w:rsidP="00C70CE0">
      <w:pPr>
        <w:spacing w:line="360" w:lineRule="auto"/>
        <w:jc w:val="both"/>
        <w:rPr>
          <w:rFonts w:ascii="Arial" w:hAnsi="Arial" w:cs="Arial"/>
          <w:lang w:val="en-US"/>
        </w:rPr>
      </w:pPr>
    </w:p>
    <w:p w14:paraId="7A4637FC" w14:textId="7039764E" w:rsidR="00C70CE0" w:rsidRPr="007A37E1" w:rsidRDefault="00C70CE0" w:rsidP="00C70CE0">
      <w:pPr>
        <w:spacing w:line="360" w:lineRule="auto"/>
        <w:jc w:val="both"/>
        <w:rPr>
          <w:rFonts w:ascii="Arial" w:hAnsi="Arial" w:cs="Arial"/>
          <w:lang w:val="en-US"/>
        </w:rPr>
      </w:pPr>
      <w:r w:rsidRPr="007A37E1">
        <w:rPr>
          <w:rFonts w:ascii="Arial" w:hAnsi="Arial" w:cs="Arial"/>
          <w:lang w:val="en-US"/>
        </w:rPr>
        <w:t>[3</w:t>
      </w:r>
      <w:r w:rsidR="00E81C11" w:rsidRPr="007A37E1">
        <w:rPr>
          <w:rFonts w:ascii="Arial" w:hAnsi="Arial" w:cs="Arial"/>
          <w:lang w:val="en-US"/>
        </w:rPr>
        <w:t>4</w:t>
      </w:r>
      <w:r w:rsidRPr="007A37E1">
        <w:rPr>
          <w:rFonts w:ascii="Arial" w:hAnsi="Arial" w:cs="Arial"/>
          <w:lang w:val="en-US"/>
        </w:rPr>
        <w:t>]</w:t>
      </w:r>
      <w:r w:rsidRPr="007A37E1">
        <w:rPr>
          <w:rFonts w:ascii="Arial" w:hAnsi="Arial" w:cs="Arial"/>
          <w:lang w:val="en-US"/>
        </w:rPr>
        <w:tab/>
        <w:t>The media statement then went on to set out measures that would be taken by courts to counter the threat posed by COVID</w:t>
      </w:r>
      <w:r w:rsidR="000F1760" w:rsidRPr="007A37E1">
        <w:rPr>
          <w:rFonts w:ascii="Arial" w:hAnsi="Arial" w:cs="Arial"/>
          <w:lang w:val="en-US"/>
        </w:rPr>
        <w:t>-</w:t>
      </w:r>
      <w:r w:rsidRPr="007A37E1">
        <w:rPr>
          <w:rFonts w:ascii="Arial" w:hAnsi="Arial" w:cs="Arial"/>
          <w:lang w:val="en-US"/>
        </w:rPr>
        <w:t>19 and to curb its spread. These included decon</w:t>
      </w:r>
      <w:r w:rsidR="00B3016C" w:rsidRPr="007A37E1">
        <w:rPr>
          <w:rFonts w:ascii="Arial" w:hAnsi="Arial" w:cs="Arial"/>
          <w:lang w:val="en-US"/>
        </w:rPr>
        <w:t>tamination measures, temperature</w:t>
      </w:r>
      <w:r w:rsidRPr="007A37E1">
        <w:rPr>
          <w:rFonts w:ascii="Arial" w:hAnsi="Arial" w:cs="Arial"/>
          <w:lang w:val="en-US"/>
        </w:rPr>
        <w:t xml:space="preserve"> checks on people seeking entry, personal protective equipment for court personnel and social distancing measures. In line with </w:t>
      </w:r>
      <w:r w:rsidR="00D60127">
        <w:rPr>
          <w:rFonts w:ascii="Arial" w:hAnsi="Arial" w:cs="Arial"/>
          <w:lang w:val="en-US"/>
        </w:rPr>
        <w:t xml:space="preserve">        </w:t>
      </w:r>
      <w:r w:rsidRPr="007A37E1">
        <w:rPr>
          <w:rFonts w:ascii="Arial" w:hAnsi="Arial" w:cs="Arial"/>
          <w:lang w:val="en-US"/>
        </w:rPr>
        <w:t>s 165 of the Constitution</w:t>
      </w:r>
      <w:r w:rsidRPr="007A37E1">
        <w:rPr>
          <w:rStyle w:val="FootnoteReference"/>
          <w:rFonts w:ascii="Arial" w:hAnsi="Arial" w:cs="Arial"/>
          <w:lang w:val="en-US"/>
        </w:rPr>
        <w:footnoteReference w:id="7"/>
      </w:r>
      <w:r w:rsidRPr="007A37E1">
        <w:rPr>
          <w:rFonts w:ascii="Arial" w:hAnsi="Arial" w:cs="Arial"/>
          <w:lang w:val="en-US"/>
        </w:rPr>
        <w:t xml:space="preserve"> and the provisions of the Superior Courts Act</w:t>
      </w:r>
      <w:r w:rsidR="000F1760" w:rsidRPr="007A37E1">
        <w:rPr>
          <w:rFonts w:ascii="Arial" w:hAnsi="Arial" w:cs="Arial"/>
          <w:lang w:val="en-US"/>
        </w:rPr>
        <w:t xml:space="preserve"> 10 of 2013 (the SC Act)</w:t>
      </w:r>
      <w:r w:rsidRPr="007A37E1">
        <w:rPr>
          <w:rFonts w:ascii="Arial" w:hAnsi="Arial" w:cs="Arial"/>
          <w:lang w:val="en-US"/>
        </w:rPr>
        <w:t xml:space="preserve">, so the statement proceeded, the heads of court may make proposals to the Executive to issue regulations impacting on the operations of courts. The statement ends with an exhortation to all to comply with the directives and guidelines when dealing with confirmed or suspected cases of COVID-19.   </w:t>
      </w:r>
    </w:p>
    <w:p w14:paraId="72DEAB6A" w14:textId="77777777" w:rsidR="00C70CE0" w:rsidRPr="007A37E1" w:rsidRDefault="00C70CE0" w:rsidP="00C70CE0">
      <w:pPr>
        <w:spacing w:line="360" w:lineRule="auto"/>
        <w:jc w:val="both"/>
        <w:rPr>
          <w:rFonts w:ascii="Arial" w:hAnsi="Arial" w:cs="Arial"/>
          <w:lang w:val="en-US"/>
        </w:rPr>
      </w:pPr>
    </w:p>
    <w:p w14:paraId="2B8F3A31" w14:textId="41B3AF56" w:rsidR="00E52C83" w:rsidRPr="007A37E1" w:rsidRDefault="00C70CE0" w:rsidP="00C70CE0">
      <w:pPr>
        <w:spacing w:line="360" w:lineRule="auto"/>
        <w:jc w:val="both"/>
        <w:rPr>
          <w:rFonts w:ascii="Arial" w:hAnsi="Arial" w:cs="Arial"/>
          <w:lang w:val="en-US"/>
        </w:rPr>
      </w:pPr>
      <w:r w:rsidRPr="007A37E1">
        <w:rPr>
          <w:rFonts w:ascii="Arial" w:hAnsi="Arial" w:cs="Arial"/>
          <w:lang w:val="en-US"/>
        </w:rPr>
        <w:t>[3</w:t>
      </w:r>
      <w:r w:rsidR="00E81C11" w:rsidRPr="007A37E1">
        <w:rPr>
          <w:rFonts w:ascii="Arial" w:hAnsi="Arial" w:cs="Arial"/>
          <w:lang w:val="en-US"/>
        </w:rPr>
        <w:t>5</w:t>
      </w:r>
      <w:r w:rsidRPr="007A37E1">
        <w:rPr>
          <w:rFonts w:ascii="Arial" w:hAnsi="Arial" w:cs="Arial"/>
          <w:lang w:val="en-US"/>
        </w:rPr>
        <w:t>]</w:t>
      </w:r>
      <w:r w:rsidRPr="007A37E1">
        <w:rPr>
          <w:rFonts w:ascii="Arial" w:hAnsi="Arial" w:cs="Arial"/>
          <w:lang w:val="en-US"/>
        </w:rPr>
        <w:tab/>
        <w:t>On 20 March 2020, acting in terms of s 165</w:t>
      </w:r>
      <w:r w:rsidR="00025E09" w:rsidRPr="007A37E1">
        <w:rPr>
          <w:rFonts w:ascii="Arial" w:hAnsi="Arial" w:cs="Arial"/>
          <w:lang w:val="en-US"/>
        </w:rPr>
        <w:t xml:space="preserve"> of the Constitution</w:t>
      </w:r>
      <w:r w:rsidRPr="007A37E1">
        <w:rPr>
          <w:rFonts w:ascii="Arial" w:hAnsi="Arial" w:cs="Arial"/>
          <w:lang w:val="en-US"/>
        </w:rPr>
        <w:t xml:space="preserve"> and </w:t>
      </w:r>
      <w:r w:rsidR="00025E09" w:rsidRPr="007A37E1">
        <w:rPr>
          <w:rFonts w:ascii="Arial" w:hAnsi="Arial" w:cs="Arial"/>
          <w:lang w:val="en-US"/>
        </w:rPr>
        <w:t xml:space="preserve">s </w:t>
      </w:r>
      <w:r w:rsidRPr="007A37E1">
        <w:rPr>
          <w:rFonts w:ascii="Arial" w:hAnsi="Arial" w:cs="Arial"/>
          <w:lang w:val="en-US"/>
        </w:rPr>
        <w:t>8(3) of the SC Act</w:t>
      </w:r>
      <w:r w:rsidR="00B3016C" w:rsidRPr="007A37E1">
        <w:rPr>
          <w:rFonts w:ascii="Arial" w:hAnsi="Arial" w:cs="Arial"/>
          <w:lang w:val="en-US"/>
        </w:rPr>
        <w:t>,</w:t>
      </w:r>
      <w:r w:rsidRPr="007A37E1">
        <w:rPr>
          <w:rStyle w:val="FootnoteReference"/>
          <w:rFonts w:ascii="Arial" w:hAnsi="Arial" w:cs="Arial"/>
          <w:lang w:val="en-US"/>
        </w:rPr>
        <w:footnoteReference w:id="8"/>
      </w:r>
      <w:r w:rsidRPr="007A37E1">
        <w:rPr>
          <w:rFonts w:ascii="Arial" w:hAnsi="Arial" w:cs="Arial"/>
          <w:lang w:val="en-US"/>
        </w:rPr>
        <w:t xml:space="preserve"> the Chief Justic</w:t>
      </w:r>
      <w:r w:rsidR="00B3016C" w:rsidRPr="007A37E1">
        <w:rPr>
          <w:rFonts w:ascii="Arial" w:hAnsi="Arial" w:cs="Arial"/>
          <w:lang w:val="en-US"/>
        </w:rPr>
        <w:t>e issued a directive pursuant to</w:t>
      </w:r>
      <w:r w:rsidRPr="007A37E1">
        <w:rPr>
          <w:rFonts w:ascii="Arial" w:hAnsi="Arial" w:cs="Arial"/>
          <w:lang w:val="en-US"/>
        </w:rPr>
        <w:t xml:space="preserve"> which access to courts was restricted to people with </w:t>
      </w:r>
      <w:r w:rsidR="000E5B58" w:rsidRPr="007A37E1">
        <w:rPr>
          <w:rFonts w:ascii="Arial" w:hAnsi="Arial" w:cs="Arial"/>
          <w:lang w:val="en-US"/>
        </w:rPr>
        <w:t xml:space="preserve">a </w:t>
      </w:r>
      <w:r w:rsidRPr="007A37E1">
        <w:rPr>
          <w:rFonts w:ascii="Arial" w:hAnsi="Arial" w:cs="Arial"/>
          <w:lang w:val="en-US"/>
        </w:rPr>
        <w:t>material interest in a case. Non-essential visitors were allowed entry only with the permission of the head of court. On 17 April 2020</w:t>
      </w:r>
      <w:r w:rsidR="000F1760" w:rsidRPr="007A37E1">
        <w:rPr>
          <w:rFonts w:ascii="Arial" w:hAnsi="Arial" w:cs="Arial"/>
          <w:lang w:val="en-US"/>
        </w:rPr>
        <w:t>,</w:t>
      </w:r>
      <w:r w:rsidRPr="007A37E1">
        <w:rPr>
          <w:rFonts w:ascii="Arial" w:hAnsi="Arial" w:cs="Arial"/>
          <w:lang w:val="en-US"/>
        </w:rPr>
        <w:t xml:space="preserve"> the Chief Justice issued a further directive. He also delegated to heads of court the authority to take such action and issue such directions as may be necessary to give effect to ‘these Directives’. Parties to litigation were, in terms of the directive</w:t>
      </w:r>
      <w:r w:rsidR="00900012" w:rsidRPr="007A37E1">
        <w:rPr>
          <w:rFonts w:ascii="Arial" w:hAnsi="Arial" w:cs="Arial"/>
          <w:lang w:val="en-US"/>
        </w:rPr>
        <w:t>,</w:t>
      </w:r>
      <w:r w:rsidRPr="007A37E1">
        <w:rPr>
          <w:rFonts w:ascii="Arial" w:hAnsi="Arial" w:cs="Arial"/>
          <w:lang w:val="en-US"/>
        </w:rPr>
        <w:t xml:space="preserve"> given the option to agree to have m</w:t>
      </w:r>
      <w:r w:rsidR="00B3016C" w:rsidRPr="007A37E1">
        <w:rPr>
          <w:rFonts w:ascii="Arial" w:hAnsi="Arial" w:cs="Arial"/>
          <w:lang w:val="en-US"/>
        </w:rPr>
        <w:t xml:space="preserve">atters </w:t>
      </w:r>
      <w:r w:rsidR="00FD31C1" w:rsidRPr="007A37E1">
        <w:rPr>
          <w:rFonts w:ascii="Arial" w:hAnsi="Arial" w:cs="Arial"/>
          <w:lang w:val="en-US"/>
        </w:rPr>
        <w:t xml:space="preserve">that were </w:t>
      </w:r>
      <w:r w:rsidR="00B3016C" w:rsidRPr="007A37E1">
        <w:rPr>
          <w:rFonts w:ascii="Arial" w:hAnsi="Arial" w:cs="Arial"/>
          <w:lang w:val="en-US"/>
        </w:rPr>
        <w:t xml:space="preserve">set down during </w:t>
      </w:r>
      <w:r w:rsidR="000F1760" w:rsidRPr="007A37E1">
        <w:rPr>
          <w:rFonts w:ascii="Arial" w:hAnsi="Arial" w:cs="Arial"/>
          <w:lang w:val="en-US"/>
        </w:rPr>
        <w:t xml:space="preserve">the </w:t>
      </w:r>
      <w:r w:rsidR="00B3016C" w:rsidRPr="007A37E1">
        <w:rPr>
          <w:rFonts w:ascii="Arial" w:hAnsi="Arial" w:cs="Arial"/>
          <w:lang w:val="en-US"/>
        </w:rPr>
        <w:t xml:space="preserve">lockdown, </w:t>
      </w:r>
      <w:r w:rsidRPr="007A37E1">
        <w:rPr>
          <w:rFonts w:ascii="Arial" w:hAnsi="Arial" w:cs="Arial"/>
          <w:lang w:val="en-US"/>
        </w:rPr>
        <w:t>removed from the roll.</w:t>
      </w:r>
    </w:p>
    <w:p w14:paraId="5F9973E6" w14:textId="77777777" w:rsidR="00E52C83" w:rsidRPr="007A37E1" w:rsidRDefault="00E52C83" w:rsidP="00C70CE0">
      <w:pPr>
        <w:spacing w:line="360" w:lineRule="auto"/>
        <w:jc w:val="both"/>
        <w:rPr>
          <w:rFonts w:ascii="Arial" w:hAnsi="Arial" w:cs="Arial"/>
          <w:lang w:val="en-US"/>
        </w:rPr>
      </w:pPr>
    </w:p>
    <w:p w14:paraId="6D2D6ACC" w14:textId="31BC7ED6" w:rsidR="00C70CE0" w:rsidRPr="007A37E1" w:rsidRDefault="00C70CE0" w:rsidP="00F62D27">
      <w:pPr>
        <w:tabs>
          <w:tab w:val="left" w:pos="851"/>
        </w:tabs>
        <w:spacing w:line="360" w:lineRule="auto"/>
        <w:jc w:val="both"/>
        <w:rPr>
          <w:rFonts w:ascii="Arial" w:hAnsi="Arial" w:cs="Arial"/>
          <w:lang w:val="en-US"/>
        </w:rPr>
      </w:pPr>
      <w:r w:rsidRPr="007A37E1">
        <w:rPr>
          <w:rFonts w:ascii="Arial" w:hAnsi="Arial" w:cs="Arial"/>
          <w:lang w:val="en-US"/>
        </w:rPr>
        <w:lastRenderedPageBreak/>
        <w:t>[3</w:t>
      </w:r>
      <w:r w:rsidR="00E81C11" w:rsidRPr="007A37E1">
        <w:rPr>
          <w:rFonts w:ascii="Arial" w:hAnsi="Arial" w:cs="Arial"/>
          <w:lang w:val="en-US"/>
        </w:rPr>
        <w:t>6</w:t>
      </w:r>
      <w:r w:rsidRPr="007A37E1">
        <w:rPr>
          <w:rFonts w:ascii="Arial" w:hAnsi="Arial" w:cs="Arial"/>
          <w:lang w:val="en-US"/>
        </w:rPr>
        <w:t>]</w:t>
      </w:r>
      <w:r w:rsidRPr="007A37E1">
        <w:rPr>
          <w:rFonts w:ascii="Arial" w:hAnsi="Arial" w:cs="Arial"/>
          <w:lang w:val="en-US"/>
        </w:rPr>
        <w:tab/>
        <w:t xml:space="preserve">The directive provided that only urgent applications and ‘urgent matters arising from the activities associated with disaster management may be heard in open </w:t>
      </w:r>
      <w:r w:rsidR="00A969C7" w:rsidRPr="007A37E1">
        <w:rPr>
          <w:rFonts w:ascii="Arial" w:hAnsi="Arial" w:cs="Arial"/>
          <w:lang w:val="en-US"/>
        </w:rPr>
        <w:t>C</w:t>
      </w:r>
      <w:r w:rsidRPr="007A37E1">
        <w:rPr>
          <w:rFonts w:ascii="Arial" w:hAnsi="Arial" w:cs="Arial"/>
          <w:lang w:val="en-US"/>
        </w:rPr>
        <w:t xml:space="preserve">ourt during the lockdown period, provided that the Judge or Magistrate </w:t>
      </w:r>
      <w:r w:rsidR="00A969C7" w:rsidRPr="007A37E1">
        <w:rPr>
          <w:rFonts w:ascii="Arial" w:hAnsi="Arial" w:cs="Arial"/>
          <w:lang w:val="en-US"/>
        </w:rPr>
        <w:t xml:space="preserve">. . . </w:t>
      </w:r>
      <w:r w:rsidRPr="007A37E1">
        <w:rPr>
          <w:rFonts w:ascii="Arial" w:hAnsi="Arial" w:cs="Arial"/>
          <w:lang w:val="en-US"/>
        </w:rPr>
        <w:t>hearing the matter may, if he or she deems it necessary, having regard to the exigencies of each case, hear any such matter through videoconferencing or other electronic means which are appropriate in the circumstances, after consultation with the parties concerned’.</w:t>
      </w:r>
    </w:p>
    <w:p w14:paraId="0266F658" w14:textId="77777777" w:rsidR="00C70CE0" w:rsidRPr="007A37E1" w:rsidRDefault="00C70CE0" w:rsidP="00C70CE0">
      <w:pPr>
        <w:spacing w:line="360" w:lineRule="auto"/>
        <w:jc w:val="both"/>
        <w:rPr>
          <w:rFonts w:ascii="Arial" w:hAnsi="Arial" w:cs="Arial"/>
          <w:lang w:val="en-US"/>
        </w:rPr>
      </w:pPr>
    </w:p>
    <w:p w14:paraId="4305468A" w14:textId="4A9F347B" w:rsidR="00C70CE0" w:rsidRPr="007A37E1" w:rsidRDefault="00C70CE0" w:rsidP="00C70CE0">
      <w:pPr>
        <w:spacing w:line="360" w:lineRule="auto"/>
        <w:jc w:val="both"/>
        <w:rPr>
          <w:rFonts w:ascii="Arial" w:hAnsi="Arial" w:cs="Arial"/>
          <w:lang w:val="en-US"/>
        </w:rPr>
      </w:pPr>
      <w:r w:rsidRPr="007A37E1">
        <w:rPr>
          <w:rFonts w:ascii="Arial" w:hAnsi="Arial" w:cs="Arial"/>
          <w:lang w:val="en-US"/>
        </w:rPr>
        <w:t>[3</w:t>
      </w:r>
      <w:r w:rsidR="00E81C11" w:rsidRPr="007A37E1">
        <w:rPr>
          <w:rFonts w:ascii="Arial" w:hAnsi="Arial" w:cs="Arial"/>
          <w:lang w:val="en-US"/>
        </w:rPr>
        <w:t>7</w:t>
      </w:r>
      <w:r w:rsidRPr="007A37E1">
        <w:rPr>
          <w:rFonts w:ascii="Arial" w:hAnsi="Arial" w:cs="Arial"/>
          <w:lang w:val="en-US"/>
        </w:rPr>
        <w:t>]</w:t>
      </w:r>
      <w:r w:rsidRPr="007A37E1">
        <w:rPr>
          <w:rFonts w:ascii="Arial" w:hAnsi="Arial" w:cs="Arial"/>
          <w:lang w:val="en-US"/>
        </w:rPr>
        <w:tab/>
        <w:t>The directive also dealt with opposed applications. Heads of argument were required to be filed electronically, save where a litigant was unrepresented and did not have access to email. Parties were required to endeavo</w:t>
      </w:r>
      <w:r w:rsidR="00FD31C1" w:rsidRPr="007A37E1">
        <w:rPr>
          <w:rFonts w:ascii="Arial" w:hAnsi="Arial" w:cs="Arial"/>
          <w:lang w:val="en-US"/>
        </w:rPr>
        <w:t>u</w:t>
      </w:r>
      <w:r w:rsidRPr="007A37E1">
        <w:rPr>
          <w:rFonts w:ascii="Arial" w:hAnsi="Arial" w:cs="Arial"/>
          <w:lang w:val="en-US"/>
        </w:rPr>
        <w:t>r to reach agreement on dispensing with oral argument. In the absence of agreement being reached</w:t>
      </w:r>
      <w:r w:rsidR="00FD31C1" w:rsidRPr="007A37E1">
        <w:rPr>
          <w:rFonts w:ascii="Arial" w:hAnsi="Arial" w:cs="Arial"/>
          <w:lang w:val="en-US"/>
        </w:rPr>
        <w:t>,</w:t>
      </w:r>
      <w:r w:rsidRPr="007A37E1">
        <w:rPr>
          <w:rFonts w:ascii="Arial" w:hAnsi="Arial" w:cs="Arial"/>
          <w:lang w:val="en-US"/>
        </w:rPr>
        <w:t xml:space="preserve"> the judicial officer concerned may direct that the matter be heard by way of videoconferencing or other appropriate electronic means.</w:t>
      </w:r>
    </w:p>
    <w:p w14:paraId="3C6FFB4B" w14:textId="77777777" w:rsidR="00C70CE0" w:rsidRPr="007A37E1" w:rsidRDefault="00C70CE0" w:rsidP="00C70CE0">
      <w:pPr>
        <w:spacing w:line="360" w:lineRule="auto"/>
        <w:jc w:val="both"/>
        <w:rPr>
          <w:rFonts w:ascii="Arial" w:hAnsi="Arial" w:cs="Arial"/>
          <w:lang w:val="en-US"/>
        </w:rPr>
      </w:pPr>
    </w:p>
    <w:p w14:paraId="2F0850F3" w14:textId="73C9B56F" w:rsidR="00C70CE0" w:rsidRPr="007A37E1" w:rsidRDefault="00C70CE0" w:rsidP="00CF4CDA">
      <w:pPr>
        <w:tabs>
          <w:tab w:val="left" w:pos="851"/>
        </w:tabs>
        <w:spacing w:line="360" w:lineRule="auto"/>
        <w:jc w:val="both"/>
        <w:rPr>
          <w:rFonts w:ascii="Arial" w:hAnsi="Arial" w:cs="Arial"/>
          <w:lang w:val="en-US"/>
        </w:rPr>
      </w:pPr>
      <w:r w:rsidRPr="007A37E1">
        <w:rPr>
          <w:rFonts w:ascii="Arial" w:hAnsi="Arial" w:cs="Arial"/>
          <w:lang w:val="en-US"/>
        </w:rPr>
        <w:t>[3</w:t>
      </w:r>
      <w:r w:rsidR="00E81C11" w:rsidRPr="007A37E1">
        <w:rPr>
          <w:rFonts w:ascii="Arial" w:hAnsi="Arial" w:cs="Arial"/>
          <w:lang w:val="en-US"/>
        </w:rPr>
        <w:t>8</w:t>
      </w:r>
      <w:r w:rsidRPr="007A37E1">
        <w:rPr>
          <w:rFonts w:ascii="Arial" w:hAnsi="Arial" w:cs="Arial"/>
          <w:lang w:val="en-US"/>
        </w:rPr>
        <w:t>]</w:t>
      </w:r>
      <w:r w:rsidRPr="007A37E1">
        <w:rPr>
          <w:rFonts w:ascii="Arial" w:hAnsi="Arial" w:cs="Arial"/>
          <w:lang w:val="en-US"/>
        </w:rPr>
        <w:tab/>
        <w:t>In relation to appeals</w:t>
      </w:r>
      <w:r w:rsidR="00FD31C1" w:rsidRPr="007A37E1">
        <w:rPr>
          <w:rFonts w:ascii="Arial" w:hAnsi="Arial" w:cs="Arial"/>
          <w:lang w:val="en-US"/>
        </w:rPr>
        <w:t>,</w:t>
      </w:r>
      <w:r w:rsidRPr="007A37E1">
        <w:rPr>
          <w:rFonts w:ascii="Arial" w:hAnsi="Arial" w:cs="Arial"/>
          <w:lang w:val="en-US"/>
        </w:rPr>
        <w:t xml:space="preserve"> the directive dictated that appropriate measures ‘shall be taken to eliminate the need for practitioners to attend court</w:t>
      </w:r>
      <w:r w:rsidR="00A969C7" w:rsidRPr="007A37E1">
        <w:rPr>
          <w:rFonts w:ascii="Arial" w:hAnsi="Arial" w:cs="Arial"/>
          <w:lang w:val="en-US"/>
        </w:rPr>
        <w:t>,</w:t>
      </w:r>
      <w:r w:rsidRPr="007A37E1">
        <w:rPr>
          <w:rFonts w:ascii="Arial" w:hAnsi="Arial" w:cs="Arial"/>
          <w:lang w:val="en-US"/>
        </w:rPr>
        <w:t xml:space="preserve"> and the presiding </w:t>
      </w:r>
      <w:r w:rsidR="00A969C7" w:rsidRPr="007A37E1">
        <w:rPr>
          <w:rFonts w:ascii="Arial" w:hAnsi="Arial" w:cs="Arial"/>
          <w:lang w:val="en-US"/>
        </w:rPr>
        <w:t>J</w:t>
      </w:r>
      <w:r w:rsidRPr="007A37E1">
        <w:rPr>
          <w:rFonts w:ascii="Arial" w:hAnsi="Arial" w:cs="Arial"/>
          <w:lang w:val="en-US"/>
        </w:rPr>
        <w:t xml:space="preserve">udge may direct that the hearing be by video conference or other electronic means which are appropriate . . . and on such terms as </w:t>
      </w:r>
      <w:r w:rsidR="00A969C7" w:rsidRPr="007A37E1">
        <w:rPr>
          <w:rFonts w:ascii="Arial" w:hAnsi="Arial" w:cs="Arial"/>
          <w:lang w:val="en-US"/>
        </w:rPr>
        <w:t>s</w:t>
      </w:r>
      <w:r w:rsidRPr="007A37E1">
        <w:rPr>
          <w:rFonts w:ascii="Arial" w:hAnsi="Arial" w:cs="Arial"/>
          <w:lang w:val="en-US"/>
        </w:rPr>
        <w:t>he or he may determine’</w:t>
      </w:r>
      <w:r w:rsidR="002C7288" w:rsidRPr="007A37E1">
        <w:rPr>
          <w:rFonts w:ascii="Arial" w:hAnsi="Arial" w:cs="Arial"/>
          <w:lang w:val="en-US"/>
        </w:rPr>
        <w:t>.</w:t>
      </w:r>
    </w:p>
    <w:p w14:paraId="6D1658E9" w14:textId="77777777" w:rsidR="00C70CE0" w:rsidRPr="007A37E1" w:rsidRDefault="00C70CE0" w:rsidP="00C70CE0">
      <w:pPr>
        <w:spacing w:line="360" w:lineRule="auto"/>
        <w:jc w:val="both"/>
        <w:rPr>
          <w:rFonts w:ascii="Arial" w:hAnsi="Arial" w:cs="Arial"/>
          <w:lang w:val="en-US"/>
        </w:rPr>
      </w:pPr>
    </w:p>
    <w:p w14:paraId="0D5DCC4C" w14:textId="0A9F8A37" w:rsidR="00C70CE0" w:rsidRPr="007A37E1" w:rsidRDefault="00C70CE0" w:rsidP="00C70CE0">
      <w:pPr>
        <w:spacing w:line="360" w:lineRule="auto"/>
        <w:jc w:val="both"/>
        <w:rPr>
          <w:rFonts w:ascii="Arial" w:hAnsi="Arial" w:cs="Arial"/>
          <w:lang w:val="en-US"/>
        </w:rPr>
      </w:pPr>
      <w:r w:rsidRPr="007A37E1">
        <w:rPr>
          <w:rFonts w:ascii="Arial" w:hAnsi="Arial" w:cs="Arial"/>
          <w:lang w:val="en-US"/>
        </w:rPr>
        <w:t>[3</w:t>
      </w:r>
      <w:r w:rsidR="00E81C11" w:rsidRPr="007A37E1">
        <w:rPr>
          <w:rFonts w:ascii="Arial" w:hAnsi="Arial" w:cs="Arial"/>
          <w:lang w:val="en-US"/>
        </w:rPr>
        <w:t>9</w:t>
      </w:r>
      <w:r w:rsidRPr="007A37E1">
        <w:rPr>
          <w:rFonts w:ascii="Arial" w:hAnsi="Arial" w:cs="Arial"/>
          <w:lang w:val="en-US"/>
        </w:rPr>
        <w:t>]</w:t>
      </w:r>
      <w:r w:rsidRPr="007A37E1">
        <w:rPr>
          <w:rFonts w:ascii="Arial" w:hAnsi="Arial" w:cs="Arial"/>
          <w:lang w:val="en-US"/>
        </w:rPr>
        <w:tab/>
        <w:t xml:space="preserve">The directive ended by stating that the </w:t>
      </w:r>
      <w:r w:rsidR="002C7288" w:rsidRPr="007A37E1">
        <w:rPr>
          <w:rFonts w:ascii="Arial" w:hAnsi="Arial" w:cs="Arial"/>
          <w:lang w:val="en-US"/>
        </w:rPr>
        <w:t>h</w:t>
      </w:r>
      <w:r w:rsidRPr="007A37E1">
        <w:rPr>
          <w:rFonts w:ascii="Arial" w:hAnsi="Arial" w:cs="Arial"/>
          <w:lang w:val="en-US"/>
        </w:rPr>
        <w:t xml:space="preserve">eads of </w:t>
      </w:r>
      <w:r w:rsidR="002C7288" w:rsidRPr="007A37E1">
        <w:rPr>
          <w:rFonts w:ascii="Arial" w:hAnsi="Arial" w:cs="Arial"/>
          <w:lang w:val="en-US"/>
        </w:rPr>
        <w:t>c</w:t>
      </w:r>
      <w:r w:rsidRPr="007A37E1">
        <w:rPr>
          <w:rFonts w:ascii="Arial" w:hAnsi="Arial" w:cs="Arial"/>
          <w:lang w:val="en-US"/>
        </w:rPr>
        <w:t>ourt shall, during lockdown</w:t>
      </w:r>
      <w:r w:rsidR="00E52C83" w:rsidRPr="007A37E1">
        <w:rPr>
          <w:rFonts w:ascii="Arial" w:hAnsi="Arial" w:cs="Arial"/>
          <w:lang w:val="en-US"/>
        </w:rPr>
        <w:t>,</w:t>
      </w:r>
      <w:r w:rsidRPr="007A37E1">
        <w:rPr>
          <w:rFonts w:ascii="Arial" w:hAnsi="Arial" w:cs="Arial"/>
          <w:lang w:val="en-US"/>
        </w:rPr>
        <w:t xml:space="preserve"> issue such Directions as may be necessary to manage particular circumstances and that the measures set out in the directive issued on 17 March 2020 shall remain in force during the lockdown period.</w:t>
      </w:r>
    </w:p>
    <w:p w14:paraId="62733794" w14:textId="77777777" w:rsidR="00C70CE0" w:rsidRPr="007A37E1" w:rsidRDefault="00C70CE0" w:rsidP="00C70CE0">
      <w:pPr>
        <w:spacing w:line="360" w:lineRule="auto"/>
        <w:jc w:val="both"/>
        <w:rPr>
          <w:rFonts w:ascii="Arial" w:hAnsi="Arial" w:cs="Arial"/>
          <w:lang w:val="en-US"/>
        </w:rPr>
      </w:pPr>
    </w:p>
    <w:p w14:paraId="79281CE7" w14:textId="1C426600" w:rsidR="00C70CE0" w:rsidRPr="007A37E1" w:rsidRDefault="00C70CE0" w:rsidP="00C70CE0">
      <w:pPr>
        <w:spacing w:line="360" w:lineRule="auto"/>
        <w:jc w:val="both"/>
        <w:rPr>
          <w:rFonts w:ascii="Arial" w:hAnsi="Arial" w:cs="Arial"/>
          <w:lang w:val="en-US"/>
        </w:rPr>
      </w:pPr>
      <w:r w:rsidRPr="007A37E1">
        <w:rPr>
          <w:rFonts w:ascii="Arial" w:hAnsi="Arial" w:cs="Arial"/>
          <w:lang w:val="en-US"/>
        </w:rPr>
        <w:t>[</w:t>
      </w:r>
      <w:r w:rsidR="00E81C11" w:rsidRPr="007A37E1">
        <w:rPr>
          <w:rFonts w:ascii="Arial" w:hAnsi="Arial" w:cs="Arial"/>
          <w:lang w:val="en-US"/>
        </w:rPr>
        <w:t>40</w:t>
      </w:r>
      <w:r w:rsidRPr="007A37E1">
        <w:rPr>
          <w:rFonts w:ascii="Arial" w:hAnsi="Arial" w:cs="Arial"/>
          <w:lang w:val="en-US"/>
        </w:rPr>
        <w:t>]</w:t>
      </w:r>
      <w:r w:rsidRPr="007A37E1">
        <w:rPr>
          <w:rFonts w:ascii="Arial" w:hAnsi="Arial" w:cs="Arial"/>
          <w:lang w:val="en-US"/>
        </w:rPr>
        <w:tab/>
        <w:t>On 21 April 2020</w:t>
      </w:r>
      <w:r w:rsidR="006E2CE7" w:rsidRPr="007A37E1">
        <w:rPr>
          <w:rFonts w:ascii="Arial" w:hAnsi="Arial" w:cs="Arial"/>
          <w:lang w:val="en-US"/>
        </w:rPr>
        <w:t>,</w:t>
      </w:r>
      <w:r w:rsidRPr="007A37E1">
        <w:rPr>
          <w:rFonts w:ascii="Arial" w:hAnsi="Arial" w:cs="Arial"/>
          <w:lang w:val="en-US"/>
        </w:rPr>
        <w:t xml:space="preserve"> the President of this Court addressed a letter to attorneys, the General Council of the Bar, Law Societies and the Legal Practice Council pointing out that courts, throughout the world, have found it necessary to direct that hearings should ‘proceed remotely’. The profession was notified that this Court had resolved not to conduct physical </w:t>
      </w:r>
      <w:r w:rsidR="006660C5" w:rsidRPr="007A37E1">
        <w:rPr>
          <w:rFonts w:ascii="Arial" w:hAnsi="Arial" w:cs="Arial"/>
          <w:lang w:val="en-US"/>
        </w:rPr>
        <w:t xml:space="preserve">in-person </w:t>
      </w:r>
      <w:r w:rsidRPr="007A37E1">
        <w:rPr>
          <w:rFonts w:ascii="Arial" w:hAnsi="Arial" w:cs="Arial"/>
          <w:lang w:val="en-US"/>
        </w:rPr>
        <w:t>hearings during May 2020 – the first term after lockdown measures were put in place. Parties were given a choice to agree to dispense with oral argument in terms of s 19</w:t>
      </w:r>
      <w:r w:rsidRPr="007A37E1">
        <w:rPr>
          <w:rFonts w:ascii="Arial" w:hAnsi="Arial" w:cs="Arial"/>
          <w:i/>
          <w:lang w:val="en-US"/>
        </w:rPr>
        <w:t>(a)</w:t>
      </w:r>
      <w:r w:rsidRPr="007A37E1">
        <w:rPr>
          <w:rFonts w:ascii="Arial" w:hAnsi="Arial" w:cs="Arial"/>
          <w:lang w:val="en-US"/>
        </w:rPr>
        <w:t xml:space="preserve"> of the S</w:t>
      </w:r>
      <w:r w:rsidR="004446B5" w:rsidRPr="007A37E1">
        <w:rPr>
          <w:rFonts w:ascii="Arial" w:hAnsi="Arial" w:cs="Arial"/>
          <w:lang w:val="en-US"/>
        </w:rPr>
        <w:t xml:space="preserve">C </w:t>
      </w:r>
      <w:r w:rsidR="006660C5" w:rsidRPr="007A37E1">
        <w:rPr>
          <w:rFonts w:ascii="Arial" w:hAnsi="Arial" w:cs="Arial"/>
          <w:lang w:val="en-US"/>
        </w:rPr>
        <w:t>A</w:t>
      </w:r>
      <w:r w:rsidR="004446B5" w:rsidRPr="007A37E1">
        <w:rPr>
          <w:rFonts w:ascii="Arial" w:hAnsi="Arial" w:cs="Arial"/>
          <w:lang w:val="en-US"/>
        </w:rPr>
        <w:t>ct</w:t>
      </w:r>
      <w:r w:rsidRPr="007A37E1">
        <w:rPr>
          <w:rFonts w:ascii="Arial" w:hAnsi="Arial" w:cs="Arial"/>
          <w:lang w:val="en-US"/>
        </w:rPr>
        <w:t xml:space="preserve">. Lawyers were notified that hearings would proceed via web-based videoconferencing. Parties who took the view that a physical </w:t>
      </w:r>
      <w:r w:rsidRPr="007A37E1">
        <w:rPr>
          <w:rFonts w:ascii="Arial" w:hAnsi="Arial" w:cs="Arial"/>
          <w:lang w:val="en-US"/>
        </w:rPr>
        <w:lastRenderedPageBreak/>
        <w:t>hearing could not be dispensed with were required to communicate that view to the Registrar and to say why a physical hearing was imperative</w:t>
      </w:r>
      <w:r w:rsidR="00FD31C1" w:rsidRPr="007A37E1">
        <w:rPr>
          <w:rFonts w:ascii="Arial" w:hAnsi="Arial" w:cs="Arial"/>
          <w:lang w:val="en-US"/>
        </w:rPr>
        <w:t>,</w:t>
      </w:r>
      <w:r w:rsidRPr="007A37E1">
        <w:rPr>
          <w:rFonts w:ascii="Arial" w:hAnsi="Arial" w:cs="Arial"/>
          <w:lang w:val="en-US"/>
        </w:rPr>
        <w:t xml:space="preserve"> whereafter the presiding judge would issue an appropriate directive, including</w:t>
      </w:r>
      <w:r w:rsidR="000E5B58" w:rsidRPr="007A37E1">
        <w:rPr>
          <w:rFonts w:ascii="Arial" w:hAnsi="Arial" w:cs="Arial"/>
          <w:lang w:val="en-US"/>
        </w:rPr>
        <w:t>, if necessary and where appropriate,</w:t>
      </w:r>
      <w:r w:rsidRPr="007A37E1">
        <w:rPr>
          <w:rFonts w:ascii="Arial" w:hAnsi="Arial" w:cs="Arial"/>
          <w:lang w:val="en-US"/>
        </w:rPr>
        <w:t xml:space="preserve"> an order that the matter be adjourned </w:t>
      </w:r>
      <w:r w:rsidRPr="007A37E1">
        <w:rPr>
          <w:rFonts w:ascii="Arial" w:hAnsi="Arial" w:cs="Arial"/>
          <w:i/>
          <w:iCs/>
          <w:lang w:val="en-US"/>
        </w:rPr>
        <w:t>sine die</w:t>
      </w:r>
      <w:r w:rsidRPr="007A37E1">
        <w:rPr>
          <w:rFonts w:ascii="Arial" w:hAnsi="Arial" w:cs="Arial"/>
          <w:lang w:val="en-US"/>
        </w:rPr>
        <w:t>.</w:t>
      </w:r>
    </w:p>
    <w:p w14:paraId="43D47B4B" w14:textId="77777777" w:rsidR="004446B5" w:rsidRPr="007A37E1" w:rsidRDefault="004446B5" w:rsidP="00C70CE0">
      <w:pPr>
        <w:spacing w:line="360" w:lineRule="auto"/>
        <w:jc w:val="both"/>
        <w:rPr>
          <w:rFonts w:ascii="Arial" w:hAnsi="Arial" w:cs="Arial"/>
          <w:lang w:val="en-US"/>
        </w:rPr>
      </w:pPr>
    </w:p>
    <w:p w14:paraId="2B5B3746" w14:textId="20F1004D" w:rsidR="00C70CE0" w:rsidRPr="007A37E1" w:rsidRDefault="00C70CE0" w:rsidP="00CF4CDA">
      <w:pPr>
        <w:tabs>
          <w:tab w:val="left" w:pos="567"/>
          <w:tab w:val="left" w:pos="851"/>
        </w:tabs>
        <w:spacing w:line="360" w:lineRule="auto"/>
        <w:jc w:val="both"/>
        <w:rPr>
          <w:rFonts w:ascii="Arial" w:hAnsi="Arial" w:cs="Arial"/>
          <w:lang w:val="en-US"/>
        </w:rPr>
      </w:pPr>
      <w:r w:rsidRPr="007A37E1">
        <w:rPr>
          <w:rFonts w:ascii="Arial" w:hAnsi="Arial" w:cs="Arial"/>
          <w:lang w:val="en-US"/>
        </w:rPr>
        <w:t>[</w:t>
      </w:r>
      <w:r w:rsidR="00FE1E22" w:rsidRPr="007A37E1">
        <w:rPr>
          <w:rFonts w:ascii="Arial" w:hAnsi="Arial" w:cs="Arial"/>
          <w:lang w:val="en-US"/>
        </w:rPr>
        <w:t>4</w:t>
      </w:r>
      <w:r w:rsidR="00E81C11" w:rsidRPr="007A37E1">
        <w:rPr>
          <w:rFonts w:ascii="Arial" w:hAnsi="Arial" w:cs="Arial"/>
          <w:lang w:val="en-US"/>
        </w:rPr>
        <w:t>1</w:t>
      </w:r>
      <w:r w:rsidRPr="007A37E1">
        <w:rPr>
          <w:rFonts w:ascii="Arial" w:hAnsi="Arial" w:cs="Arial"/>
          <w:lang w:val="en-US"/>
        </w:rPr>
        <w:t>]</w:t>
      </w:r>
      <w:r w:rsidRPr="007A37E1">
        <w:rPr>
          <w:rFonts w:ascii="Arial" w:hAnsi="Arial" w:cs="Arial"/>
          <w:lang w:val="en-US"/>
        </w:rPr>
        <w:tab/>
      </w:r>
      <w:r w:rsidR="00CF4CDA" w:rsidRPr="007A37E1">
        <w:rPr>
          <w:rFonts w:ascii="Arial" w:hAnsi="Arial" w:cs="Arial"/>
          <w:lang w:val="en-US"/>
        </w:rPr>
        <w:tab/>
      </w:r>
      <w:r w:rsidRPr="007A37E1">
        <w:rPr>
          <w:rFonts w:ascii="Arial" w:hAnsi="Arial" w:cs="Arial"/>
          <w:lang w:val="en-US"/>
        </w:rPr>
        <w:t>On 29 April 2020</w:t>
      </w:r>
      <w:r w:rsidR="00900012" w:rsidRPr="007A37E1">
        <w:rPr>
          <w:rFonts w:ascii="Arial" w:hAnsi="Arial" w:cs="Arial"/>
          <w:lang w:val="en-US"/>
        </w:rPr>
        <w:t>,</w:t>
      </w:r>
      <w:r w:rsidRPr="007A37E1">
        <w:rPr>
          <w:rFonts w:ascii="Arial" w:hAnsi="Arial" w:cs="Arial"/>
          <w:lang w:val="en-US"/>
        </w:rPr>
        <w:t xml:space="preserve"> the President of this Court issued a practice directive in relation to appeal video or audio hearings during </w:t>
      </w:r>
      <w:r w:rsidR="005C13C8" w:rsidRPr="007A37E1">
        <w:rPr>
          <w:rFonts w:ascii="Arial" w:hAnsi="Arial" w:cs="Arial"/>
          <w:lang w:val="en-US"/>
        </w:rPr>
        <w:t xml:space="preserve">the </w:t>
      </w:r>
      <w:r w:rsidRPr="007A37E1">
        <w:rPr>
          <w:rFonts w:ascii="Arial" w:hAnsi="Arial" w:cs="Arial"/>
          <w:lang w:val="en-US"/>
        </w:rPr>
        <w:t>COVID-19 pandemic</w:t>
      </w:r>
      <w:r w:rsidR="001C5D82" w:rsidRPr="007A37E1">
        <w:rPr>
          <w:rStyle w:val="FootnoteReference"/>
          <w:rFonts w:ascii="Arial" w:hAnsi="Arial" w:cs="Arial"/>
          <w:lang w:val="en-US"/>
        </w:rPr>
        <w:footnoteReference w:id="9"/>
      </w:r>
      <w:r w:rsidRPr="007A37E1">
        <w:rPr>
          <w:rFonts w:ascii="Arial" w:hAnsi="Arial" w:cs="Arial"/>
          <w:lang w:val="en-US"/>
        </w:rPr>
        <w:t>. The directive stated that ‘[v]irtual hearings are the default position until further direction’. The primary aim was to ‘ensure ongoing access to justice by all parties to cases before the court and safety from infection whilst facilitating hearings that allow parties to participate as fully as possible’. The directive also dealt with the</w:t>
      </w:r>
      <w:r w:rsidR="00FD31C1" w:rsidRPr="007A37E1">
        <w:rPr>
          <w:rFonts w:ascii="Arial" w:hAnsi="Arial" w:cs="Arial"/>
          <w:lang w:val="en-US"/>
        </w:rPr>
        <w:t xml:space="preserve"> variety of available options for the</w:t>
      </w:r>
      <w:r w:rsidRPr="007A37E1">
        <w:rPr>
          <w:rFonts w:ascii="Arial" w:hAnsi="Arial" w:cs="Arial"/>
          <w:lang w:val="en-US"/>
        </w:rPr>
        <w:t xml:space="preserve"> conduct </w:t>
      </w:r>
      <w:r w:rsidR="00FD31C1" w:rsidRPr="007A37E1">
        <w:rPr>
          <w:rFonts w:ascii="Arial" w:hAnsi="Arial" w:cs="Arial"/>
          <w:lang w:val="en-US"/>
        </w:rPr>
        <w:t xml:space="preserve">of </w:t>
      </w:r>
      <w:r w:rsidRPr="007A37E1">
        <w:rPr>
          <w:rFonts w:ascii="Arial" w:hAnsi="Arial" w:cs="Arial"/>
          <w:lang w:val="en-US"/>
        </w:rPr>
        <w:t>web-based hearings and set out hearing protocols</w:t>
      </w:r>
      <w:r w:rsidR="002A2557" w:rsidRPr="007A37E1">
        <w:rPr>
          <w:rFonts w:ascii="Arial" w:hAnsi="Arial" w:cs="Arial"/>
          <w:lang w:val="en-US"/>
        </w:rPr>
        <w:t xml:space="preserve"> </w:t>
      </w:r>
      <w:r w:rsidR="00CC5FAF" w:rsidRPr="007A37E1">
        <w:rPr>
          <w:rFonts w:ascii="Arial" w:hAnsi="Arial" w:cs="Arial"/>
          <w:lang w:val="en-US"/>
        </w:rPr>
        <w:t xml:space="preserve">in respect </w:t>
      </w:r>
      <w:r w:rsidR="002A2557" w:rsidRPr="007A37E1">
        <w:rPr>
          <w:rFonts w:ascii="Arial" w:hAnsi="Arial" w:cs="Arial"/>
          <w:lang w:val="en-US"/>
        </w:rPr>
        <w:t>of the digital videoconferencing platform</w:t>
      </w:r>
      <w:r w:rsidR="00CC5FAF" w:rsidRPr="007A37E1">
        <w:rPr>
          <w:rFonts w:ascii="Arial" w:hAnsi="Arial" w:cs="Arial"/>
          <w:lang w:val="en-US"/>
        </w:rPr>
        <w:t>s</w:t>
      </w:r>
      <w:r w:rsidRPr="007A37E1">
        <w:rPr>
          <w:rFonts w:ascii="Arial" w:hAnsi="Arial" w:cs="Arial"/>
          <w:lang w:val="en-US"/>
        </w:rPr>
        <w:t xml:space="preserve">.  </w:t>
      </w:r>
    </w:p>
    <w:p w14:paraId="656437AB" w14:textId="77777777" w:rsidR="00C70CE0" w:rsidRPr="007A37E1" w:rsidRDefault="00C70CE0" w:rsidP="00C70CE0">
      <w:pPr>
        <w:spacing w:line="360" w:lineRule="auto"/>
        <w:jc w:val="both"/>
        <w:rPr>
          <w:rFonts w:ascii="Arial" w:hAnsi="Arial" w:cs="Arial"/>
          <w:lang w:val="en-US"/>
        </w:rPr>
      </w:pPr>
    </w:p>
    <w:p w14:paraId="50B880A6" w14:textId="30158E02" w:rsidR="00C70CE0" w:rsidRPr="007A37E1" w:rsidRDefault="00C70CE0" w:rsidP="00C70CE0">
      <w:pPr>
        <w:spacing w:line="360" w:lineRule="auto"/>
        <w:jc w:val="both"/>
        <w:rPr>
          <w:rFonts w:ascii="Arial" w:hAnsi="Arial" w:cs="Arial"/>
          <w:lang w:val="en-US"/>
        </w:rPr>
      </w:pPr>
      <w:r w:rsidRPr="007A37E1">
        <w:rPr>
          <w:rFonts w:ascii="Arial" w:hAnsi="Arial" w:cs="Arial"/>
          <w:lang w:val="en-US"/>
        </w:rPr>
        <w:t>[</w:t>
      </w:r>
      <w:r w:rsidR="002858BC" w:rsidRPr="007A37E1">
        <w:rPr>
          <w:rFonts w:ascii="Arial" w:hAnsi="Arial" w:cs="Arial"/>
          <w:lang w:val="en-US"/>
        </w:rPr>
        <w:t>4</w:t>
      </w:r>
      <w:r w:rsidR="00E81C11" w:rsidRPr="007A37E1">
        <w:rPr>
          <w:rFonts w:ascii="Arial" w:hAnsi="Arial" w:cs="Arial"/>
          <w:lang w:val="en-US"/>
        </w:rPr>
        <w:t>2</w:t>
      </w:r>
      <w:r w:rsidRPr="007A37E1">
        <w:rPr>
          <w:rFonts w:ascii="Arial" w:hAnsi="Arial" w:cs="Arial"/>
          <w:lang w:val="en-US"/>
        </w:rPr>
        <w:t>]</w:t>
      </w:r>
      <w:r w:rsidRPr="007A37E1">
        <w:rPr>
          <w:rFonts w:ascii="Arial" w:hAnsi="Arial" w:cs="Arial"/>
          <w:lang w:val="en-US"/>
        </w:rPr>
        <w:tab/>
        <w:t>On 2 May 2020</w:t>
      </w:r>
      <w:r w:rsidR="002A2557" w:rsidRPr="007A37E1">
        <w:rPr>
          <w:rFonts w:ascii="Arial" w:hAnsi="Arial" w:cs="Arial"/>
          <w:lang w:val="en-US"/>
        </w:rPr>
        <w:t>,</w:t>
      </w:r>
      <w:r w:rsidRPr="007A37E1">
        <w:rPr>
          <w:rFonts w:ascii="Arial" w:hAnsi="Arial" w:cs="Arial"/>
          <w:lang w:val="en-US"/>
        </w:rPr>
        <w:t xml:space="preserve"> a further directive was issued by the Chief Justice. Parties were once again informed that matters set down during </w:t>
      </w:r>
      <w:r w:rsidR="0007160E" w:rsidRPr="007A37E1">
        <w:rPr>
          <w:rFonts w:ascii="Arial" w:hAnsi="Arial" w:cs="Arial"/>
          <w:lang w:val="en-US"/>
        </w:rPr>
        <w:t xml:space="preserve">the </w:t>
      </w:r>
      <w:r w:rsidRPr="007A37E1">
        <w:rPr>
          <w:rFonts w:ascii="Arial" w:hAnsi="Arial" w:cs="Arial"/>
          <w:lang w:val="en-US"/>
        </w:rPr>
        <w:t>lockdown may be removed by agreement. It went further and stated that matters not removed from the roll would be dealt with in accordance with a procedure determined by the head of court. In relation to opposed applications</w:t>
      </w:r>
      <w:r w:rsidR="0007160E" w:rsidRPr="007A37E1">
        <w:rPr>
          <w:rFonts w:ascii="Arial" w:hAnsi="Arial" w:cs="Arial"/>
          <w:lang w:val="en-US"/>
        </w:rPr>
        <w:t>,</w:t>
      </w:r>
      <w:r w:rsidRPr="007A37E1">
        <w:rPr>
          <w:rFonts w:ascii="Arial" w:hAnsi="Arial" w:cs="Arial"/>
          <w:lang w:val="en-US"/>
        </w:rPr>
        <w:t xml:space="preserve"> the directive was that in the event that parties failed to reach agreement dispensing with oral argument</w:t>
      </w:r>
      <w:r w:rsidR="00FD31C1" w:rsidRPr="007A37E1">
        <w:rPr>
          <w:rFonts w:ascii="Arial" w:hAnsi="Arial" w:cs="Arial"/>
          <w:lang w:val="en-US"/>
        </w:rPr>
        <w:t>,</w:t>
      </w:r>
      <w:r w:rsidRPr="007A37E1">
        <w:rPr>
          <w:rFonts w:ascii="Arial" w:hAnsi="Arial" w:cs="Arial"/>
          <w:lang w:val="en-US"/>
        </w:rPr>
        <w:t xml:space="preserve"> a judicial officer may direct that the matter be heard electronically. In relation to appeals</w:t>
      </w:r>
      <w:r w:rsidR="0007160E" w:rsidRPr="007A37E1">
        <w:rPr>
          <w:rFonts w:ascii="Arial" w:hAnsi="Arial" w:cs="Arial"/>
          <w:lang w:val="en-US"/>
        </w:rPr>
        <w:t>,</w:t>
      </w:r>
      <w:r w:rsidRPr="007A37E1">
        <w:rPr>
          <w:rFonts w:ascii="Arial" w:hAnsi="Arial" w:cs="Arial"/>
          <w:lang w:val="en-US"/>
        </w:rPr>
        <w:t xml:space="preserve"> the following is stated:</w:t>
      </w:r>
    </w:p>
    <w:p w14:paraId="512C3EDD" w14:textId="3C5F2CEA" w:rsidR="00C70CE0" w:rsidRPr="007A37E1" w:rsidRDefault="00C70CE0" w:rsidP="00263D2E">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w:t>
      </w:r>
      <w:r w:rsidR="00263D2E" w:rsidRPr="007A37E1">
        <w:rPr>
          <w:rFonts w:ascii="Arial" w:hAnsi="Arial" w:cs="Arial"/>
          <w:sz w:val="22"/>
          <w:szCs w:val="22"/>
          <w:lang w:val="en-US"/>
        </w:rPr>
        <w:t>15.</w:t>
      </w:r>
      <w:r w:rsidRPr="007A37E1">
        <w:rPr>
          <w:rFonts w:ascii="Arial" w:hAnsi="Arial" w:cs="Arial"/>
          <w:sz w:val="22"/>
          <w:szCs w:val="22"/>
          <w:lang w:val="en-US"/>
        </w:rPr>
        <w:tab/>
        <w:t>Barring changes and adaptations in relation to process and hearings necessitated by the period of the national state of disaster, the Constitutional Court shall process and dispose of all matters in line with its Rules and the Constitution.</w:t>
      </w:r>
    </w:p>
    <w:p w14:paraId="297486F8" w14:textId="1C9C489F" w:rsidR="00C70CE0" w:rsidRPr="007A37E1" w:rsidRDefault="00263D2E" w:rsidP="00263D2E">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16.</w:t>
      </w:r>
      <w:r w:rsidR="00C70CE0" w:rsidRPr="007A37E1">
        <w:rPr>
          <w:rFonts w:ascii="Arial" w:hAnsi="Arial" w:cs="Arial"/>
          <w:sz w:val="22"/>
          <w:szCs w:val="22"/>
          <w:lang w:val="en-US"/>
        </w:rPr>
        <w:tab/>
        <w:t>The Presiding Judge shall solicit the views of the parties prior to the appeal panel making a determination in terms of section 19</w:t>
      </w:r>
      <w:r w:rsidR="00C70CE0" w:rsidRPr="007A37E1">
        <w:rPr>
          <w:rFonts w:ascii="Arial" w:hAnsi="Arial" w:cs="Arial"/>
          <w:i/>
          <w:sz w:val="22"/>
          <w:szCs w:val="22"/>
          <w:lang w:val="en-US"/>
        </w:rPr>
        <w:t>(a)</w:t>
      </w:r>
      <w:r w:rsidR="00C70CE0" w:rsidRPr="007A37E1">
        <w:rPr>
          <w:rFonts w:ascii="Arial" w:hAnsi="Arial" w:cs="Arial"/>
          <w:sz w:val="22"/>
          <w:szCs w:val="22"/>
          <w:lang w:val="en-US"/>
        </w:rPr>
        <w:t xml:space="preserve"> of the Superior Courts Act.</w:t>
      </w:r>
    </w:p>
    <w:p w14:paraId="766A9409" w14:textId="59D23CBE" w:rsidR="00C70CE0" w:rsidRPr="007A37E1" w:rsidRDefault="00263D2E" w:rsidP="00C70CE0">
      <w:pPr>
        <w:tabs>
          <w:tab w:val="left" w:pos="567"/>
        </w:tabs>
        <w:spacing w:line="360" w:lineRule="auto"/>
        <w:ind w:left="567" w:hanging="567"/>
        <w:jc w:val="both"/>
        <w:rPr>
          <w:rFonts w:ascii="Arial" w:hAnsi="Arial" w:cs="Arial"/>
          <w:sz w:val="22"/>
          <w:szCs w:val="22"/>
          <w:lang w:val="en-US"/>
        </w:rPr>
      </w:pPr>
      <w:r w:rsidRPr="007A37E1">
        <w:rPr>
          <w:rFonts w:ascii="Arial" w:hAnsi="Arial" w:cs="Arial"/>
          <w:sz w:val="22"/>
          <w:szCs w:val="22"/>
          <w:lang w:val="en-US"/>
        </w:rPr>
        <w:t>17.</w:t>
      </w:r>
      <w:r w:rsidR="00C70CE0" w:rsidRPr="007A37E1">
        <w:rPr>
          <w:rFonts w:ascii="Arial" w:hAnsi="Arial" w:cs="Arial"/>
          <w:sz w:val="22"/>
          <w:szCs w:val="22"/>
          <w:lang w:val="en-US"/>
        </w:rPr>
        <w:tab/>
        <w:t>In the event of the appeal panel determining that oral submissions are to be made, appropriate measures shall be taken to eliminate the need for practitioners to attend court, and the presiding Judge may direct that the hearing be by video conference or other electronic means which are appropriate . . . on such terms as she or he may determine.’</w:t>
      </w:r>
    </w:p>
    <w:p w14:paraId="2189AA3B" w14:textId="38B37E32" w:rsidR="00C70CE0" w:rsidRPr="007A37E1" w:rsidRDefault="00C70CE0" w:rsidP="00C70CE0">
      <w:pPr>
        <w:spacing w:line="360" w:lineRule="auto"/>
        <w:jc w:val="both"/>
        <w:rPr>
          <w:rFonts w:ascii="Arial" w:hAnsi="Arial" w:cs="Arial"/>
          <w:lang w:val="en-US"/>
        </w:rPr>
      </w:pPr>
      <w:r w:rsidRPr="007A37E1">
        <w:rPr>
          <w:rFonts w:ascii="Arial" w:hAnsi="Arial" w:cs="Arial"/>
          <w:lang w:val="en-US"/>
        </w:rPr>
        <w:lastRenderedPageBreak/>
        <w:t xml:space="preserve"> [</w:t>
      </w:r>
      <w:r w:rsidR="00FE1E22" w:rsidRPr="007A37E1">
        <w:rPr>
          <w:rFonts w:ascii="Arial" w:hAnsi="Arial" w:cs="Arial"/>
          <w:lang w:val="en-US"/>
        </w:rPr>
        <w:t>4</w:t>
      </w:r>
      <w:r w:rsidR="00E81C11" w:rsidRPr="007A37E1">
        <w:rPr>
          <w:rFonts w:ascii="Arial" w:hAnsi="Arial" w:cs="Arial"/>
          <w:lang w:val="en-US"/>
        </w:rPr>
        <w:t>3</w:t>
      </w:r>
      <w:r w:rsidRPr="007A37E1">
        <w:rPr>
          <w:rFonts w:ascii="Arial" w:hAnsi="Arial" w:cs="Arial"/>
          <w:lang w:val="en-US"/>
        </w:rPr>
        <w:t>]</w:t>
      </w:r>
      <w:r w:rsidRPr="007A37E1">
        <w:rPr>
          <w:rFonts w:ascii="Arial" w:hAnsi="Arial" w:cs="Arial"/>
          <w:lang w:val="en-US"/>
        </w:rPr>
        <w:tab/>
        <w:t>The directive ended by stating that the Directives issued on 20 March 2020 shall remain in force during the period of the national state of disaster</w:t>
      </w:r>
      <w:r w:rsidR="00FD31C1" w:rsidRPr="007A37E1">
        <w:rPr>
          <w:rFonts w:ascii="Arial" w:hAnsi="Arial" w:cs="Arial"/>
          <w:lang w:val="en-US"/>
        </w:rPr>
        <w:t>,</w:t>
      </w:r>
      <w:r w:rsidRPr="007A37E1">
        <w:rPr>
          <w:rFonts w:ascii="Arial" w:hAnsi="Arial" w:cs="Arial"/>
          <w:lang w:val="en-US"/>
        </w:rPr>
        <w:t xml:space="preserve"> but that the measures issued on 17 April 2020 were repealed.</w:t>
      </w:r>
    </w:p>
    <w:p w14:paraId="39544C50" w14:textId="77777777" w:rsidR="00C70CE0" w:rsidRPr="007A37E1" w:rsidRDefault="00C70CE0" w:rsidP="00C70CE0">
      <w:pPr>
        <w:spacing w:line="360" w:lineRule="auto"/>
        <w:jc w:val="both"/>
        <w:rPr>
          <w:rFonts w:ascii="Arial" w:hAnsi="Arial" w:cs="Arial"/>
          <w:lang w:val="en-US"/>
        </w:rPr>
      </w:pPr>
    </w:p>
    <w:p w14:paraId="72005959" w14:textId="675FA40B" w:rsidR="00C70CE0" w:rsidRPr="007A37E1" w:rsidRDefault="00C70CE0" w:rsidP="00C70CE0">
      <w:pPr>
        <w:spacing w:line="360" w:lineRule="auto"/>
        <w:jc w:val="both"/>
        <w:rPr>
          <w:rFonts w:ascii="Arial" w:hAnsi="Arial" w:cs="Arial"/>
          <w:lang w:val="en-US"/>
        </w:rPr>
      </w:pPr>
      <w:r w:rsidRPr="007A37E1">
        <w:rPr>
          <w:rFonts w:ascii="Arial" w:hAnsi="Arial" w:cs="Arial"/>
          <w:lang w:val="en-US"/>
        </w:rPr>
        <w:t>[</w:t>
      </w:r>
      <w:r w:rsidR="00FE1E22" w:rsidRPr="007A37E1">
        <w:rPr>
          <w:rFonts w:ascii="Arial" w:hAnsi="Arial" w:cs="Arial"/>
          <w:lang w:val="en-US"/>
        </w:rPr>
        <w:t>4</w:t>
      </w:r>
      <w:r w:rsidR="00E81C11" w:rsidRPr="007A37E1">
        <w:rPr>
          <w:rFonts w:ascii="Arial" w:hAnsi="Arial" w:cs="Arial"/>
          <w:lang w:val="en-US"/>
        </w:rPr>
        <w:t>4</w:t>
      </w:r>
      <w:r w:rsidRPr="007A37E1">
        <w:rPr>
          <w:rFonts w:ascii="Arial" w:hAnsi="Arial" w:cs="Arial"/>
          <w:lang w:val="en-US"/>
        </w:rPr>
        <w:t>]</w:t>
      </w:r>
      <w:r w:rsidRPr="007A37E1">
        <w:rPr>
          <w:rFonts w:ascii="Arial" w:hAnsi="Arial" w:cs="Arial"/>
          <w:lang w:val="en-US"/>
        </w:rPr>
        <w:tab/>
        <w:t>On 1 August 2020</w:t>
      </w:r>
      <w:r w:rsidR="0007160E" w:rsidRPr="007A37E1">
        <w:rPr>
          <w:rFonts w:ascii="Arial" w:hAnsi="Arial" w:cs="Arial"/>
          <w:lang w:val="en-US"/>
        </w:rPr>
        <w:t>,</w:t>
      </w:r>
      <w:r w:rsidRPr="007A37E1">
        <w:rPr>
          <w:rFonts w:ascii="Arial" w:hAnsi="Arial" w:cs="Arial"/>
          <w:lang w:val="en-US"/>
        </w:rPr>
        <w:t xml:space="preserve"> the President of this Court issued a practice </w:t>
      </w:r>
      <w:r w:rsidR="00E52C83" w:rsidRPr="007A37E1">
        <w:rPr>
          <w:rFonts w:ascii="Arial" w:hAnsi="Arial" w:cs="Arial"/>
          <w:lang w:val="en-US"/>
        </w:rPr>
        <w:t>protocol</w:t>
      </w:r>
      <w:r w:rsidRPr="007A37E1">
        <w:rPr>
          <w:rFonts w:ascii="Arial" w:hAnsi="Arial" w:cs="Arial"/>
          <w:lang w:val="en-US"/>
        </w:rPr>
        <w:t xml:space="preserve">. </w:t>
      </w:r>
      <w:r w:rsidR="00D60127">
        <w:rPr>
          <w:rFonts w:ascii="Arial" w:hAnsi="Arial" w:cs="Arial"/>
          <w:lang w:val="en-US"/>
        </w:rPr>
        <w:t xml:space="preserve">            </w:t>
      </w:r>
      <w:r w:rsidRPr="007A37E1">
        <w:rPr>
          <w:rFonts w:ascii="Arial" w:hAnsi="Arial" w:cs="Arial"/>
          <w:lang w:val="en-US"/>
        </w:rPr>
        <w:t>The purpose is stated right at the outset:</w:t>
      </w:r>
    </w:p>
    <w:p w14:paraId="1270A5B1" w14:textId="2C787B8A" w:rsidR="00C70CE0" w:rsidRPr="007A37E1" w:rsidRDefault="00C70CE0" w:rsidP="00C70CE0">
      <w:pPr>
        <w:spacing w:line="360" w:lineRule="auto"/>
        <w:jc w:val="both"/>
        <w:rPr>
          <w:rFonts w:ascii="Arial" w:hAnsi="Arial" w:cs="Arial"/>
          <w:sz w:val="22"/>
          <w:szCs w:val="22"/>
          <w:lang w:val="en-US"/>
        </w:rPr>
      </w:pPr>
      <w:r w:rsidRPr="007A37E1">
        <w:rPr>
          <w:rFonts w:ascii="Arial" w:hAnsi="Arial" w:cs="Arial"/>
          <w:sz w:val="22"/>
          <w:szCs w:val="22"/>
          <w:lang w:val="en-US"/>
        </w:rPr>
        <w:t xml:space="preserve">‘The purpose of </w:t>
      </w:r>
      <w:r w:rsidR="00D27B1C" w:rsidRPr="007A37E1">
        <w:rPr>
          <w:rFonts w:ascii="Arial" w:hAnsi="Arial" w:cs="Arial"/>
          <w:sz w:val="22"/>
          <w:szCs w:val="22"/>
          <w:lang w:val="en-US"/>
        </w:rPr>
        <w:t>this</w:t>
      </w:r>
      <w:r w:rsidRPr="007A37E1">
        <w:rPr>
          <w:rFonts w:ascii="Arial" w:hAnsi="Arial" w:cs="Arial"/>
          <w:sz w:val="22"/>
          <w:szCs w:val="22"/>
          <w:lang w:val="en-US"/>
        </w:rPr>
        <w:t xml:space="preserve"> protocol is to prescribe the manner in which </w:t>
      </w:r>
      <w:r w:rsidR="00D27B1C" w:rsidRPr="007A37E1">
        <w:rPr>
          <w:rFonts w:ascii="Arial" w:hAnsi="Arial" w:cs="Arial"/>
          <w:sz w:val="22"/>
          <w:szCs w:val="22"/>
          <w:lang w:val="en-US"/>
        </w:rPr>
        <w:t xml:space="preserve">the </w:t>
      </w:r>
      <w:r w:rsidRPr="007A37E1">
        <w:rPr>
          <w:rFonts w:ascii="Arial" w:hAnsi="Arial" w:cs="Arial"/>
          <w:sz w:val="22"/>
          <w:szCs w:val="22"/>
          <w:lang w:val="en-US"/>
        </w:rPr>
        <w:t xml:space="preserve">virtual hearing </w:t>
      </w:r>
      <w:r w:rsidR="00D27B1C" w:rsidRPr="007A37E1">
        <w:rPr>
          <w:rFonts w:ascii="Arial" w:hAnsi="Arial" w:cs="Arial"/>
          <w:sz w:val="22"/>
          <w:szCs w:val="22"/>
          <w:lang w:val="en-US"/>
        </w:rPr>
        <w:t>is</w:t>
      </w:r>
      <w:r w:rsidRPr="007A37E1">
        <w:rPr>
          <w:rFonts w:ascii="Arial" w:hAnsi="Arial" w:cs="Arial"/>
          <w:sz w:val="22"/>
          <w:szCs w:val="22"/>
          <w:lang w:val="en-US"/>
        </w:rPr>
        <w:t xml:space="preserve"> to be conducted. Insofar as possible given the nature of the technology being used for the hearing it will be conducted in the same manner as a conventional hearing in the Supreme Court of Appeal. It is essential that ordinary conventions are followed in regard to dress, mode of address and the like in order to maintain proper decorum in the court.’</w:t>
      </w:r>
    </w:p>
    <w:p w14:paraId="0691429C" w14:textId="3A4FDF73" w:rsidR="00C70CE0" w:rsidRPr="007A37E1" w:rsidRDefault="00C70CE0" w:rsidP="00C70CE0">
      <w:pPr>
        <w:spacing w:line="360" w:lineRule="auto"/>
        <w:jc w:val="both"/>
        <w:rPr>
          <w:rFonts w:ascii="Arial" w:hAnsi="Arial" w:cs="Arial"/>
          <w:lang w:val="en-US"/>
        </w:rPr>
      </w:pPr>
      <w:r w:rsidRPr="007A37E1">
        <w:rPr>
          <w:rFonts w:ascii="Arial" w:hAnsi="Arial" w:cs="Arial"/>
          <w:lang w:val="en-US"/>
        </w:rPr>
        <w:t>The directive announced that the preferred videoconferenc</w:t>
      </w:r>
      <w:r w:rsidR="00D27B1C" w:rsidRPr="007A37E1">
        <w:rPr>
          <w:rFonts w:ascii="Arial" w:hAnsi="Arial" w:cs="Arial"/>
          <w:lang w:val="en-US"/>
        </w:rPr>
        <w:t>ing</w:t>
      </w:r>
      <w:r w:rsidRPr="007A37E1">
        <w:rPr>
          <w:rFonts w:ascii="Arial" w:hAnsi="Arial" w:cs="Arial"/>
          <w:lang w:val="en-US"/>
        </w:rPr>
        <w:t xml:space="preserve"> platform was Microsoft Teams. The protocols for the hearing were then spelt out.</w:t>
      </w:r>
    </w:p>
    <w:p w14:paraId="0DB4FCD8" w14:textId="77777777" w:rsidR="00C70CE0" w:rsidRPr="007A37E1" w:rsidRDefault="00C70CE0" w:rsidP="00C70CE0">
      <w:pPr>
        <w:spacing w:line="360" w:lineRule="auto"/>
        <w:jc w:val="both"/>
        <w:rPr>
          <w:rFonts w:ascii="Arial" w:hAnsi="Arial" w:cs="Arial"/>
          <w:lang w:val="en-US"/>
        </w:rPr>
      </w:pPr>
    </w:p>
    <w:p w14:paraId="73549759" w14:textId="253C0344" w:rsidR="00C70CE0" w:rsidRPr="007A37E1" w:rsidRDefault="00C70CE0" w:rsidP="00C70CE0">
      <w:pPr>
        <w:spacing w:line="360" w:lineRule="auto"/>
        <w:jc w:val="both"/>
        <w:rPr>
          <w:rFonts w:ascii="Arial" w:hAnsi="Arial" w:cs="Arial"/>
          <w:lang w:val="en-US"/>
        </w:rPr>
      </w:pPr>
      <w:r w:rsidRPr="007A37E1">
        <w:rPr>
          <w:rFonts w:ascii="Arial" w:hAnsi="Arial" w:cs="Arial"/>
          <w:lang w:val="en-US"/>
        </w:rPr>
        <w:t>[4</w:t>
      </w:r>
      <w:r w:rsidR="00E81C11" w:rsidRPr="007A37E1">
        <w:rPr>
          <w:rFonts w:ascii="Arial" w:hAnsi="Arial" w:cs="Arial"/>
          <w:lang w:val="en-US"/>
        </w:rPr>
        <w:t>5</w:t>
      </w:r>
      <w:r w:rsidRPr="007A37E1">
        <w:rPr>
          <w:rFonts w:ascii="Arial" w:hAnsi="Arial" w:cs="Arial"/>
          <w:lang w:val="en-US"/>
        </w:rPr>
        <w:t>]</w:t>
      </w:r>
      <w:r w:rsidRPr="007A37E1">
        <w:rPr>
          <w:rFonts w:ascii="Arial" w:hAnsi="Arial" w:cs="Arial"/>
          <w:lang w:val="en-US"/>
        </w:rPr>
        <w:tab/>
        <w:t xml:space="preserve">Those then were the directives, which it will be seen were consistent in relation to hearings during </w:t>
      </w:r>
      <w:r w:rsidR="0007160E" w:rsidRPr="007A37E1">
        <w:rPr>
          <w:rFonts w:ascii="Arial" w:hAnsi="Arial" w:cs="Arial"/>
          <w:lang w:val="en-US"/>
        </w:rPr>
        <w:t xml:space="preserve">the </w:t>
      </w:r>
      <w:r w:rsidRPr="007A37E1">
        <w:rPr>
          <w:rFonts w:ascii="Arial" w:hAnsi="Arial" w:cs="Arial"/>
          <w:lang w:val="en-US"/>
        </w:rPr>
        <w:t>lockdown</w:t>
      </w:r>
      <w:r w:rsidR="0007160E" w:rsidRPr="007A37E1">
        <w:rPr>
          <w:rFonts w:ascii="Arial" w:hAnsi="Arial" w:cs="Arial"/>
          <w:lang w:val="en-US"/>
        </w:rPr>
        <w:t xml:space="preserve"> period</w:t>
      </w:r>
      <w:r w:rsidRPr="007A37E1">
        <w:rPr>
          <w:rFonts w:ascii="Arial" w:hAnsi="Arial" w:cs="Arial"/>
          <w:lang w:val="en-US"/>
        </w:rPr>
        <w:t>. This Court applied them and conducted hearings in accordance with the directives.</w:t>
      </w:r>
    </w:p>
    <w:p w14:paraId="0F3F29F8" w14:textId="77777777" w:rsidR="00C70CE0" w:rsidRPr="007A37E1" w:rsidRDefault="00C70CE0" w:rsidP="00C70CE0">
      <w:pPr>
        <w:spacing w:line="360" w:lineRule="auto"/>
        <w:jc w:val="both"/>
        <w:rPr>
          <w:rFonts w:ascii="Arial" w:hAnsi="Arial" w:cs="Arial"/>
          <w:lang w:val="en-US"/>
        </w:rPr>
      </w:pPr>
    </w:p>
    <w:p w14:paraId="0539D3A8" w14:textId="7F86F78A" w:rsidR="00C70CE0" w:rsidRPr="007A37E1" w:rsidRDefault="00C70CE0" w:rsidP="00CF4CDA">
      <w:pPr>
        <w:tabs>
          <w:tab w:val="left" w:pos="851"/>
        </w:tabs>
        <w:spacing w:line="360" w:lineRule="auto"/>
        <w:jc w:val="both"/>
        <w:rPr>
          <w:rFonts w:ascii="Arial" w:hAnsi="Arial" w:cs="Arial"/>
          <w:lang w:val="en-US"/>
        </w:rPr>
      </w:pPr>
      <w:r w:rsidRPr="007A37E1">
        <w:rPr>
          <w:rFonts w:ascii="Arial" w:hAnsi="Arial" w:cs="Arial"/>
          <w:lang w:val="en-US"/>
        </w:rPr>
        <w:t>[</w:t>
      </w:r>
      <w:r w:rsidR="002858BC" w:rsidRPr="007A37E1">
        <w:rPr>
          <w:rFonts w:ascii="Arial" w:hAnsi="Arial" w:cs="Arial"/>
          <w:lang w:val="en-US"/>
        </w:rPr>
        <w:t>4</w:t>
      </w:r>
      <w:r w:rsidR="00E81C11" w:rsidRPr="007A37E1">
        <w:rPr>
          <w:rFonts w:ascii="Arial" w:hAnsi="Arial" w:cs="Arial"/>
          <w:lang w:val="en-US"/>
        </w:rPr>
        <w:t>6</w:t>
      </w:r>
      <w:r w:rsidRPr="007A37E1">
        <w:rPr>
          <w:rFonts w:ascii="Arial" w:hAnsi="Arial" w:cs="Arial"/>
          <w:lang w:val="en-US"/>
        </w:rPr>
        <w:t>]</w:t>
      </w:r>
      <w:r w:rsidRPr="007A37E1">
        <w:rPr>
          <w:rFonts w:ascii="Arial" w:hAnsi="Arial" w:cs="Arial"/>
          <w:lang w:val="en-US"/>
        </w:rPr>
        <w:tab/>
        <w:t>On 18 March 2021</w:t>
      </w:r>
      <w:r w:rsidR="0007160E" w:rsidRPr="007A37E1">
        <w:rPr>
          <w:rFonts w:ascii="Arial" w:hAnsi="Arial" w:cs="Arial"/>
          <w:lang w:val="en-US"/>
        </w:rPr>
        <w:t>,</w:t>
      </w:r>
      <w:r w:rsidRPr="007A37E1">
        <w:rPr>
          <w:rFonts w:ascii="Arial" w:hAnsi="Arial" w:cs="Arial"/>
          <w:lang w:val="en-US"/>
        </w:rPr>
        <w:t xml:space="preserve"> the parties</w:t>
      </w:r>
      <w:r w:rsidR="007D402F" w:rsidRPr="007A37E1">
        <w:rPr>
          <w:rFonts w:ascii="Arial" w:hAnsi="Arial" w:cs="Arial"/>
          <w:lang w:val="en-US"/>
        </w:rPr>
        <w:t>,</w:t>
      </w:r>
      <w:r w:rsidR="009B4C8D" w:rsidRPr="007A37E1">
        <w:rPr>
          <w:rFonts w:ascii="Arial" w:hAnsi="Arial" w:cs="Arial"/>
          <w:lang w:val="en-US"/>
        </w:rPr>
        <w:t xml:space="preserve"> CASAC</w:t>
      </w:r>
      <w:r w:rsidR="007D402F" w:rsidRPr="007A37E1">
        <w:rPr>
          <w:rFonts w:ascii="Arial" w:hAnsi="Arial" w:cs="Arial"/>
          <w:lang w:val="en-US"/>
        </w:rPr>
        <w:t>,</w:t>
      </w:r>
      <w:r w:rsidRPr="007A37E1">
        <w:rPr>
          <w:rFonts w:ascii="Arial" w:hAnsi="Arial" w:cs="Arial"/>
          <w:lang w:val="en-US"/>
        </w:rPr>
        <w:t xml:space="preserve"> as well as the </w:t>
      </w:r>
      <w:r w:rsidR="009B4C8D" w:rsidRPr="007A37E1">
        <w:rPr>
          <w:rFonts w:ascii="Arial" w:hAnsi="Arial" w:cs="Arial"/>
          <w:lang w:val="en-US"/>
        </w:rPr>
        <w:t>H</w:t>
      </w:r>
      <w:r w:rsidR="00277873" w:rsidRPr="007A37E1">
        <w:rPr>
          <w:rFonts w:ascii="Arial" w:hAnsi="Arial" w:cs="Arial"/>
          <w:lang w:val="en-US"/>
        </w:rPr>
        <w:t>BF</w:t>
      </w:r>
      <w:r w:rsidRPr="007A37E1">
        <w:rPr>
          <w:rFonts w:ascii="Arial" w:hAnsi="Arial" w:cs="Arial"/>
          <w:lang w:val="en-US"/>
        </w:rPr>
        <w:t xml:space="preserve"> were sent a notice of set-down of this appeal by this Court’s Registrar. They were informed that the appeal would be heard on Wednesday 26 May 2021. Paragraph </w:t>
      </w:r>
      <w:r w:rsidR="00D27B1C" w:rsidRPr="007A37E1">
        <w:rPr>
          <w:rFonts w:ascii="Arial" w:hAnsi="Arial" w:cs="Arial"/>
          <w:lang w:val="en-US"/>
        </w:rPr>
        <w:t>3.</w:t>
      </w:r>
      <w:r w:rsidRPr="007A37E1">
        <w:rPr>
          <w:rFonts w:ascii="Arial" w:hAnsi="Arial" w:cs="Arial"/>
          <w:lang w:val="en-US"/>
        </w:rPr>
        <w:t>2 of the notice contained the following customary paragraph, in line with the directives set out above:</w:t>
      </w:r>
    </w:p>
    <w:p w14:paraId="16798F3A" w14:textId="3098AFA9" w:rsidR="00C70CE0" w:rsidRPr="007A37E1" w:rsidRDefault="00C70CE0" w:rsidP="00C70CE0">
      <w:pPr>
        <w:spacing w:line="360" w:lineRule="auto"/>
        <w:jc w:val="both"/>
        <w:rPr>
          <w:rFonts w:ascii="Arial" w:hAnsi="Arial" w:cs="Arial"/>
          <w:sz w:val="22"/>
          <w:szCs w:val="22"/>
          <w:lang w:val="en-US"/>
        </w:rPr>
      </w:pPr>
      <w:r w:rsidRPr="007A37E1">
        <w:rPr>
          <w:rFonts w:ascii="Arial" w:hAnsi="Arial" w:cs="Arial"/>
          <w:sz w:val="22"/>
          <w:szCs w:val="22"/>
          <w:lang w:val="en-US"/>
        </w:rPr>
        <w:t>‘If any party is of the view that an in-person oral hearing cannot be dispensed with, such party will be directed to make representations in writing to the registrar as to why the appeal requires an in</w:t>
      </w:r>
      <w:r w:rsidR="00072EA8" w:rsidRPr="007A37E1">
        <w:rPr>
          <w:rFonts w:ascii="Arial" w:hAnsi="Arial" w:cs="Arial"/>
          <w:sz w:val="22"/>
          <w:szCs w:val="22"/>
          <w:lang w:val="en-US"/>
        </w:rPr>
        <w:t>-</w:t>
      </w:r>
      <w:r w:rsidRPr="007A37E1">
        <w:rPr>
          <w:rFonts w:ascii="Arial" w:hAnsi="Arial" w:cs="Arial"/>
          <w:sz w:val="22"/>
          <w:szCs w:val="22"/>
          <w:lang w:val="en-US"/>
        </w:rPr>
        <w:t xml:space="preserve">person oral argument and the presiding judge will issue an appropriate directive, including, if necessary, an order that the matter be </w:t>
      </w:r>
      <w:r w:rsidR="00D27B1C" w:rsidRPr="007A37E1">
        <w:rPr>
          <w:rFonts w:ascii="Arial" w:hAnsi="Arial" w:cs="Arial"/>
          <w:sz w:val="22"/>
          <w:szCs w:val="22"/>
          <w:lang w:val="en-US"/>
        </w:rPr>
        <w:t>adjourned</w:t>
      </w:r>
      <w:r w:rsidRPr="007A37E1">
        <w:rPr>
          <w:rFonts w:ascii="Arial" w:hAnsi="Arial" w:cs="Arial"/>
          <w:sz w:val="22"/>
          <w:szCs w:val="22"/>
          <w:lang w:val="en-US"/>
        </w:rPr>
        <w:t xml:space="preserve"> </w:t>
      </w:r>
      <w:r w:rsidRPr="007A37E1">
        <w:rPr>
          <w:rFonts w:ascii="Arial" w:hAnsi="Arial" w:cs="Arial"/>
          <w:i/>
          <w:iCs/>
          <w:sz w:val="22"/>
          <w:szCs w:val="22"/>
          <w:lang w:val="en-US"/>
        </w:rPr>
        <w:t>sine die</w:t>
      </w:r>
      <w:r w:rsidRPr="007A37E1">
        <w:rPr>
          <w:rFonts w:ascii="Arial" w:hAnsi="Arial" w:cs="Arial"/>
          <w:sz w:val="22"/>
          <w:szCs w:val="22"/>
          <w:lang w:val="en-US"/>
        </w:rPr>
        <w:t>.’</w:t>
      </w:r>
    </w:p>
    <w:p w14:paraId="50786A94" w14:textId="44BEE947" w:rsidR="00C70CE0" w:rsidRPr="007A37E1" w:rsidRDefault="00CF600C" w:rsidP="00C70CE0">
      <w:pPr>
        <w:spacing w:line="360" w:lineRule="auto"/>
        <w:jc w:val="both"/>
        <w:rPr>
          <w:rFonts w:ascii="Arial" w:hAnsi="Arial" w:cs="Arial"/>
          <w:lang w:val="en-US"/>
        </w:rPr>
      </w:pPr>
      <w:r w:rsidRPr="007A37E1">
        <w:rPr>
          <w:rFonts w:ascii="Arial" w:hAnsi="Arial" w:cs="Arial"/>
          <w:lang w:val="en-US"/>
        </w:rPr>
        <w:t xml:space="preserve">It is necessary to note that </w:t>
      </w:r>
      <w:r w:rsidR="00F82C95" w:rsidRPr="007A37E1">
        <w:rPr>
          <w:rFonts w:ascii="Arial" w:hAnsi="Arial" w:cs="Arial"/>
          <w:lang w:val="en-US"/>
        </w:rPr>
        <w:t xml:space="preserve">the </w:t>
      </w:r>
      <w:r w:rsidR="000E0127" w:rsidRPr="007A37E1">
        <w:rPr>
          <w:rFonts w:ascii="Arial" w:hAnsi="Arial" w:cs="Arial"/>
          <w:lang w:val="en-US"/>
        </w:rPr>
        <w:t>present r</w:t>
      </w:r>
      <w:r w:rsidR="00F82C95" w:rsidRPr="007A37E1">
        <w:rPr>
          <w:rFonts w:ascii="Arial" w:hAnsi="Arial" w:cs="Arial"/>
          <w:lang w:val="en-US"/>
        </w:rPr>
        <w:t>espondent</w:t>
      </w:r>
      <w:r w:rsidR="000E0127" w:rsidRPr="007A37E1">
        <w:rPr>
          <w:rFonts w:ascii="Arial" w:hAnsi="Arial" w:cs="Arial"/>
          <w:lang w:val="en-US"/>
        </w:rPr>
        <w:t>s</w:t>
      </w:r>
      <w:r w:rsidR="00F82C95" w:rsidRPr="007A37E1">
        <w:rPr>
          <w:rFonts w:ascii="Arial" w:hAnsi="Arial" w:cs="Arial"/>
          <w:lang w:val="en-US"/>
        </w:rPr>
        <w:t xml:space="preserve"> had</w:t>
      </w:r>
      <w:r w:rsidR="0020576B" w:rsidRPr="007A37E1">
        <w:rPr>
          <w:rFonts w:ascii="Arial" w:hAnsi="Arial" w:cs="Arial"/>
          <w:lang w:val="en-US"/>
        </w:rPr>
        <w:t>, in anticipation of the appeal being heard,</w:t>
      </w:r>
      <w:r w:rsidR="00F82C95" w:rsidRPr="007A37E1">
        <w:rPr>
          <w:rFonts w:ascii="Arial" w:hAnsi="Arial" w:cs="Arial"/>
          <w:lang w:val="en-US"/>
        </w:rPr>
        <w:t xml:space="preserve"> filed hea</w:t>
      </w:r>
      <w:r w:rsidR="0020576B" w:rsidRPr="007A37E1">
        <w:rPr>
          <w:rFonts w:ascii="Arial" w:hAnsi="Arial" w:cs="Arial"/>
          <w:lang w:val="en-US"/>
        </w:rPr>
        <w:t>d</w:t>
      </w:r>
      <w:r w:rsidR="00F82C95" w:rsidRPr="007A37E1">
        <w:rPr>
          <w:rFonts w:ascii="Arial" w:hAnsi="Arial" w:cs="Arial"/>
          <w:lang w:val="en-US"/>
        </w:rPr>
        <w:t xml:space="preserve">s of argument that </w:t>
      </w:r>
      <w:r w:rsidR="00465145" w:rsidRPr="007A37E1">
        <w:rPr>
          <w:rFonts w:ascii="Arial" w:hAnsi="Arial" w:cs="Arial"/>
          <w:lang w:val="en-US"/>
        </w:rPr>
        <w:t>are</w:t>
      </w:r>
      <w:r w:rsidR="00F82C95" w:rsidRPr="007A37E1">
        <w:rPr>
          <w:rFonts w:ascii="Arial" w:hAnsi="Arial" w:cs="Arial"/>
          <w:lang w:val="en-US"/>
        </w:rPr>
        <w:t xml:space="preserve"> 38 pages long</w:t>
      </w:r>
      <w:r w:rsidR="0020576B" w:rsidRPr="007A37E1">
        <w:rPr>
          <w:rFonts w:ascii="Arial" w:hAnsi="Arial" w:cs="Arial"/>
          <w:lang w:val="en-US"/>
        </w:rPr>
        <w:t>.</w:t>
      </w:r>
    </w:p>
    <w:p w14:paraId="34525B3A" w14:textId="77777777" w:rsidR="00CF600C" w:rsidRPr="007A37E1" w:rsidRDefault="00CF600C" w:rsidP="00C70CE0">
      <w:pPr>
        <w:spacing w:line="360" w:lineRule="auto"/>
        <w:jc w:val="both"/>
        <w:rPr>
          <w:rFonts w:ascii="Arial" w:hAnsi="Arial" w:cs="Arial"/>
          <w:lang w:val="en-US"/>
        </w:rPr>
      </w:pPr>
    </w:p>
    <w:p w14:paraId="369D86AF" w14:textId="0AB22B95" w:rsidR="00C70CE0" w:rsidRPr="007A37E1" w:rsidRDefault="00C70CE0" w:rsidP="00C70CE0">
      <w:pPr>
        <w:spacing w:line="360" w:lineRule="auto"/>
        <w:jc w:val="both"/>
        <w:rPr>
          <w:rFonts w:ascii="Arial" w:hAnsi="Arial" w:cs="Arial"/>
          <w:lang w:val="en-US"/>
        </w:rPr>
      </w:pPr>
      <w:r w:rsidRPr="007A37E1">
        <w:rPr>
          <w:rFonts w:ascii="Arial" w:hAnsi="Arial" w:cs="Arial"/>
          <w:lang w:val="en-US"/>
        </w:rPr>
        <w:t>[4</w:t>
      </w:r>
      <w:r w:rsidR="00E81C11" w:rsidRPr="007A37E1">
        <w:rPr>
          <w:rFonts w:ascii="Arial" w:hAnsi="Arial" w:cs="Arial"/>
          <w:lang w:val="en-US"/>
        </w:rPr>
        <w:t>7</w:t>
      </w:r>
      <w:r w:rsidRPr="007A37E1">
        <w:rPr>
          <w:rFonts w:ascii="Arial" w:hAnsi="Arial" w:cs="Arial"/>
          <w:lang w:val="en-US"/>
        </w:rPr>
        <w:t>]</w:t>
      </w:r>
      <w:r w:rsidRPr="007A37E1">
        <w:rPr>
          <w:rFonts w:ascii="Arial" w:hAnsi="Arial" w:cs="Arial"/>
          <w:lang w:val="en-US"/>
        </w:rPr>
        <w:tab/>
        <w:t>On 30 March 2021</w:t>
      </w:r>
      <w:r w:rsidR="007C6BBE" w:rsidRPr="007A37E1">
        <w:rPr>
          <w:rFonts w:ascii="Arial" w:hAnsi="Arial" w:cs="Arial"/>
          <w:lang w:val="en-US"/>
        </w:rPr>
        <w:t>,</w:t>
      </w:r>
      <w:r w:rsidRPr="007A37E1">
        <w:rPr>
          <w:rFonts w:ascii="Arial" w:hAnsi="Arial" w:cs="Arial"/>
          <w:lang w:val="en-US"/>
        </w:rPr>
        <w:t xml:space="preserve"> the state attorney, on behalf of the Minister</w:t>
      </w:r>
      <w:r w:rsidR="000E0127" w:rsidRPr="007A37E1">
        <w:rPr>
          <w:rFonts w:ascii="Arial" w:hAnsi="Arial" w:cs="Arial"/>
          <w:lang w:val="en-US"/>
        </w:rPr>
        <w:t>,</w:t>
      </w:r>
      <w:r w:rsidRPr="007A37E1">
        <w:rPr>
          <w:rFonts w:ascii="Arial" w:hAnsi="Arial" w:cs="Arial"/>
          <w:lang w:val="en-US"/>
        </w:rPr>
        <w:t xml:space="preserve"> responded to the notice of set-down, by stating that CASAC and the Minister were both of the view that the </w:t>
      </w:r>
      <w:r w:rsidRPr="007A37E1">
        <w:rPr>
          <w:rFonts w:ascii="Arial" w:hAnsi="Arial" w:cs="Arial"/>
          <w:lang w:val="en-US"/>
        </w:rPr>
        <w:lastRenderedPageBreak/>
        <w:t>matter should be disposed of by way of a remote virtual hearing. The state attorney ended that written communication as follows:</w:t>
      </w:r>
    </w:p>
    <w:p w14:paraId="5444B606" w14:textId="2D1763D8" w:rsidR="00C70CE0" w:rsidRPr="007A37E1" w:rsidRDefault="00C70CE0" w:rsidP="00C70CE0">
      <w:pPr>
        <w:spacing w:line="360" w:lineRule="auto"/>
        <w:jc w:val="both"/>
        <w:rPr>
          <w:rFonts w:ascii="Arial" w:hAnsi="Arial" w:cs="Arial"/>
          <w:sz w:val="22"/>
          <w:szCs w:val="22"/>
          <w:lang w:val="en-US"/>
        </w:rPr>
      </w:pPr>
      <w:r w:rsidRPr="007A37E1">
        <w:rPr>
          <w:rFonts w:ascii="Arial" w:hAnsi="Arial" w:cs="Arial"/>
          <w:sz w:val="22"/>
          <w:szCs w:val="22"/>
          <w:lang w:val="en-US"/>
        </w:rPr>
        <w:t xml:space="preserve">‘We understand that the respondents seek an in-person hearing . . . We attach the letter we sent </w:t>
      </w:r>
      <w:r w:rsidR="00BD43BD" w:rsidRPr="007A37E1">
        <w:rPr>
          <w:rFonts w:ascii="Arial" w:hAnsi="Arial" w:cs="Arial"/>
          <w:sz w:val="22"/>
          <w:szCs w:val="22"/>
          <w:lang w:val="en-US"/>
        </w:rPr>
        <w:t xml:space="preserve">to </w:t>
      </w:r>
      <w:r w:rsidRPr="007A37E1">
        <w:rPr>
          <w:rFonts w:ascii="Arial" w:hAnsi="Arial" w:cs="Arial"/>
          <w:sz w:val="22"/>
          <w:szCs w:val="22"/>
          <w:lang w:val="en-US"/>
        </w:rPr>
        <w:t>them, requesting their consent to a virtual hearing . . .’</w:t>
      </w:r>
    </w:p>
    <w:p w14:paraId="6B07E4D6" w14:textId="41A720C0" w:rsidR="00C70CE0" w:rsidRPr="007A37E1" w:rsidRDefault="00C70CE0" w:rsidP="00C70CE0">
      <w:pPr>
        <w:spacing w:line="360" w:lineRule="auto"/>
        <w:jc w:val="both"/>
        <w:rPr>
          <w:rFonts w:ascii="Arial" w:hAnsi="Arial" w:cs="Arial"/>
          <w:lang w:val="en-US"/>
        </w:rPr>
      </w:pPr>
      <w:r w:rsidRPr="007A37E1">
        <w:rPr>
          <w:rFonts w:ascii="Arial" w:hAnsi="Arial" w:cs="Arial"/>
          <w:lang w:val="en-US"/>
        </w:rPr>
        <w:t>On 30 March 2021</w:t>
      </w:r>
      <w:r w:rsidR="00072EA8" w:rsidRPr="007A37E1">
        <w:rPr>
          <w:rFonts w:ascii="Arial" w:hAnsi="Arial" w:cs="Arial"/>
          <w:lang w:val="en-US"/>
        </w:rPr>
        <w:t>,</w:t>
      </w:r>
      <w:r w:rsidRPr="007A37E1">
        <w:rPr>
          <w:rFonts w:ascii="Arial" w:hAnsi="Arial" w:cs="Arial"/>
          <w:lang w:val="en-US"/>
        </w:rPr>
        <w:t xml:space="preserve"> the LF</w:t>
      </w:r>
      <w:r w:rsidR="00D26BB9" w:rsidRPr="007A37E1">
        <w:rPr>
          <w:rFonts w:ascii="Arial" w:hAnsi="Arial" w:cs="Arial"/>
          <w:lang w:val="en-US"/>
        </w:rPr>
        <w:t>N</w:t>
      </w:r>
      <w:r w:rsidRPr="007A37E1">
        <w:rPr>
          <w:rFonts w:ascii="Arial" w:hAnsi="Arial" w:cs="Arial"/>
          <w:lang w:val="en-US"/>
        </w:rPr>
        <w:t xml:space="preserve"> and </w:t>
      </w:r>
      <w:r w:rsidR="000E0127" w:rsidRPr="007A37E1">
        <w:rPr>
          <w:rFonts w:ascii="Arial" w:hAnsi="Arial" w:cs="Arial"/>
          <w:lang w:val="en-US"/>
        </w:rPr>
        <w:t>Mr d</w:t>
      </w:r>
      <w:r w:rsidRPr="007A37E1">
        <w:rPr>
          <w:rFonts w:ascii="Arial" w:hAnsi="Arial" w:cs="Arial"/>
          <w:lang w:val="en-US"/>
        </w:rPr>
        <w:t>e Beer responded to that request as follows:</w:t>
      </w:r>
    </w:p>
    <w:p w14:paraId="28E2CBB9" w14:textId="049998B3" w:rsidR="00C70CE0" w:rsidRPr="007A37E1" w:rsidRDefault="00C70CE0" w:rsidP="00C70CE0">
      <w:pPr>
        <w:tabs>
          <w:tab w:val="left" w:pos="567"/>
        </w:tabs>
        <w:spacing w:line="360" w:lineRule="auto"/>
        <w:jc w:val="both"/>
        <w:rPr>
          <w:rFonts w:ascii="Arial" w:hAnsi="Arial" w:cs="Arial"/>
          <w:sz w:val="22"/>
          <w:szCs w:val="22"/>
          <w:lang w:val="en-US"/>
        </w:rPr>
      </w:pPr>
      <w:r w:rsidRPr="007A37E1">
        <w:rPr>
          <w:rFonts w:ascii="Arial" w:hAnsi="Arial" w:cs="Arial"/>
          <w:sz w:val="22"/>
          <w:szCs w:val="22"/>
          <w:lang w:val="en-US"/>
        </w:rPr>
        <w:t>‘1.</w:t>
      </w:r>
      <w:r w:rsidRPr="007A37E1">
        <w:rPr>
          <w:rFonts w:ascii="Arial" w:hAnsi="Arial" w:cs="Arial"/>
          <w:sz w:val="22"/>
          <w:szCs w:val="22"/>
          <w:lang w:val="en-US"/>
        </w:rPr>
        <w:tab/>
        <w:t xml:space="preserve">Writer refers to the Notice of Set Down in the Supreme Court of Appeal for </w:t>
      </w:r>
      <w:r w:rsidR="00072EA8" w:rsidRPr="007A37E1">
        <w:rPr>
          <w:rFonts w:ascii="Arial" w:hAnsi="Arial" w:cs="Arial"/>
          <w:sz w:val="22"/>
          <w:szCs w:val="22"/>
          <w:lang w:val="en-US"/>
        </w:rPr>
        <w:t xml:space="preserve">26 </w:t>
      </w:r>
      <w:r w:rsidRPr="007A37E1">
        <w:rPr>
          <w:rFonts w:ascii="Arial" w:hAnsi="Arial" w:cs="Arial"/>
          <w:sz w:val="22"/>
          <w:szCs w:val="22"/>
          <w:lang w:val="en-US"/>
        </w:rPr>
        <w:t>May 2021.</w:t>
      </w:r>
    </w:p>
    <w:p w14:paraId="1FAE33ED" w14:textId="4CC3FCF7" w:rsidR="00C70CE0" w:rsidRPr="007A37E1" w:rsidRDefault="00C70CE0" w:rsidP="00316435">
      <w:pPr>
        <w:tabs>
          <w:tab w:val="left" w:pos="993"/>
        </w:tabs>
        <w:spacing w:line="360" w:lineRule="auto"/>
        <w:ind w:left="567" w:hanging="567"/>
        <w:jc w:val="both"/>
        <w:rPr>
          <w:rFonts w:ascii="Arial" w:hAnsi="Arial" w:cs="Arial"/>
          <w:sz w:val="22"/>
          <w:szCs w:val="22"/>
          <w:lang w:val="en-US"/>
        </w:rPr>
      </w:pPr>
      <w:r w:rsidRPr="007A37E1">
        <w:rPr>
          <w:rFonts w:ascii="Arial" w:hAnsi="Arial" w:cs="Arial"/>
          <w:sz w:val="22"/>
          <w:szCs w:val="22"/>
          <w:lang w:val="en-US"/>
        </w:rPr>
        <w:t>2.</w:t>
      </w:r>
      <w:r w:rsidRPr="007A37E1">
        <w:rPr>
          <w:rFonts w:ascii="Arial" w:hAnsi="Arial" w:cs="Arial"/>
          <w:sz w:val="22"/>
          <w:szCs w:val="22"/>
          <w:lang w:val="en-US"/>
        </w:rPr>
        <w:tab/>
        <w:t xml:space="preserve">The Respondents </w:t>
      </w:r>
      <w:r w:rsidRPr="007A37E1">
        <w:rPr>
          <w:rFonts w:ascii="Arial" w:hAnsi="Arial" w:cs="Arial"/>
          <w:i/>
          <w:iCs/>
          <w:sz w:val="22"/>
          <w:szCs w:val="22"/>
          <w:lang w:val="en-US"/>
        </w:rPr>
        <w:t xml:space="preserve">will be attending Court at 09h45 on 26 May 2021 for a physical hearing </w:t>
      </w:r>
      <w:r w:rsidRPr="007A37E1">
        <w:rPr>
          <w:rFonts w:ascii="Arial" w:hAnsi="Arial" w:cs="Arial"/>
          <w:sz w:val="22"/>
          <w:szCs w:val="22"/>
          <w:lang w:val="en-US"/>
        </w:rPr>
        <w:t xml:space="preserve">in line with their rights in terms of Section 34 of the Constitution of the Republic of South Africa, </w:t>
      </w:r>
      <w:r w:rsidR="009831B2" w:rsidRPr="007A37E1">
        <w:rPr>
          <w:rFonts w:ascii="Arial" w:hAnsi="Arial" w:cs="Arial"/>
          <w:sz w:val="22"/>
          <w:szCs w:val="22"/>
          <w:lang w:val="en-US"/>
        </w:rPr>
        <w:t xml:space="preserve">1996 </w:t>
      </w:r>
      <w:r w:rsidRPr="007A37E1">
        <w:rPr>
          <w:rFonts w:ascii="Arial" w:hAnsi="Arial" w:cs="Arial"/>
          <w:sz w:val="22"/>
          <w:szCs w:val="22"/>
          <w:lang w:val="en-US"/>
        </w:rPr>
        <w:t>read with Section</w:t>
      </w:r>
      <w:r w:rsidR="00EA747B" w:rsidRPr="007A37E1">
        <w:rPr>
          <w:rFonts w:ascii="Arial" w:hAnsi="Arial" w:cs="Arial"/>
          <w:sz w:val="22"/>
          <w:szCs w:val="22"/>
          <w:lang w:val="en-US"/>
        </w:rPr>
        <w:t xml:space="preserve"> </w:t>
      </w:r>
      <w:r w:rsidRPr="007A37E1">
        <w:rPr>
          <w:rFonts w:ascii="Arial" w:hAnsi="Arial" w:cs="Arial"/>
          <w:sz w:val="22"/>
          <w:szCs w:val="22"/>
          <w:lang w:val="en-US"/>
        </w:rPr>
        <w:t xml:space="preserve">32 of the Superior Courts Act, 2013 (Act </w:t>
      </w:r>
      <w:r w:rsidR="009831B2" w:rsidRPr="007A37E1">
        <w:rPr>
          <w:rFonts w:ascii="Arial" w:hAnsi="Arial" w:cs="Arial"/>
          <w:sz w:val="22"/>
          <w:szCs w:val="22"/>
          <w:lang w:val="en-US"/>
        </w:rPr>
        <w:t xml:space="preserve">No. </w:t>
      </w:r>
      <w:r w:rsidRPr="007A37E1">
        <w:rPr>
          <w:rFonts w:ascii="Arial" w:hAnsi="Arial" w:cs="Arial"/>
          <w:sz w:val="22"/>
          <w:szCs w:val="22"/>
          <w:lang w:val="en-US"/>
        </w:rPr>
        <w:t>10 of 2013).’</w:t>
      </w:r>
      <w:r w:rsidRPr="007A37E1">
        <w:rPr>
          <w:rStyle w:val="FootnoteReference"/>
          <w:rFonts w:ascii="Arial" w:hAnsi="Arial" w:cs="Arial"/>
          <w:sz w:val="22"/>
          <w:szCs w:val="22"/>
          <w:lang w:val="en-US"/>
        </w:rPr>
        <w:footnoteReference w:id="10"/>
      </w:r>
      <w:r w:rsidRPr="007A37E1">
        <w:rPr>
          <w:rFonts w:ascii="Arial" w:hAnsi="Arial" w:cs="Arial"/>
          <w:sz w:val="22"/>
          <w:szCs w:val="22"/>
          <w:lang w:val="en-US"/>
        </w:rPr>
        <w:t xml:space="preserve"> (</w:t>
      </w:r>
      <w:r w:rsidR="00072EA8" w:rsidRPr="007A37E1">
        <w:rPr>
          <w:rFonts w:ascii="Arial" w:hAnsi="Arial" w:cs="Arial"/>
          <w:sz w:val="22"/>
          <w:szCs w:val="22"/>
          <w:lang w:val="en-US"/>
        </w:rPr>
        <w:t xml:space="preserve">Our </w:t>
      </w:r>
      <w:r w:rsidRPr="007A37E1">
        <w:rPr>
          <w:rFonts w:ascii="Arial" w:hAnsi="Arial" w:cs="Arial"/>
          <w:sz w:val="22"/>
          <w:szCs w:val="22"/>
          <w:lang w:val="en-US"/>
        </w:rPr>
        <w:t>emphasis</w:t>
      </w:r>
      <w:r w:rsidR="0080621A" w:rsidRPr="007A37E1">
        <w:rPr>
          <w:rFonts w:ascii="Arial" w:hAnsi="Arial" w:cs="Arial"/>
          <w:sz w:val="22"/>
          <w:szCs w:val="22"/>
          <w:lang w:val="en-US"/>
        </w:rPr>
        <w:t>.</w:t>
      </w:r>
      <w:r w:rsidRPr="007A37E1">
        <w:rPr>
          <w:rFonts w:ascii="Arial" w:hAnsi="Arial" w:cs="Arial"/>
          <w:sz w:val="22"/>
          <w:szCs w:val="22"/>
          <w:lang w:val="en-US"/>
        </w:rPr>
        <w:t>)</w:t>
      </w:r>
    </w:p>
    <w:p w14:paraId="66999930" w14:textId="77777777" w:rsidR="00362387" w:rsidRPr="007A37E1" w:rsidRDefault="00362387" w:rsidP="00C70CE0">
      <w:pPr>
        <w:tabs>
          <w:tab w:val="left" w:pos="567"/>
        </w:tabs>
        <w:spacing w:line="360" w:lineRule="auto"/>
        <w:ind w:left="567" w:hanging="567"/>
        <w:jc w:val="both"/>
        <w:rPr>
          <w:rFonts w:ascii="Arial" w:hAnsi="Arial" w:cs="Arial"/>
          <w:lang w:val="en-US"/>
        </w:rPr>
      </w:pPr>
    </w:p>
    <w:p w14:paraId="30A78C40" w14:textId="246B625A" w:rsidR="00C70CE0" w:rsidRPr="007A37E1" w:rsidRDefault="00C70CE0" w:rsidP="00CF4CDA">
      <w:pPr>
        <w:tabs>
          <w:tab w:val="left" w:pos="851"/>
        </w:tabs>
        <w:spacing w:line="360" w:lineRule="auto"/>
        <w:jc w:val="both"/>
        <w:rPr>
          <w:rFonts w:ascii="Arial" w:hAnsi="Arial" w:cs="Arial"/>
          <w:lang w:val="en-US"/>
        </w:rPr>
      </w:pPr>
      <w:r w:rsidRPr="007A37E1">
        <w:rPr>
          <w:rFonts w:ascii="Arial" w:hAnsi="Arial" w:cs="Arial"/>
          <w:lang w:val="en-US"/>
        </w:rPr>
        <w:t>[4</w:t>
      </w:r>
      <w:r w:rsidR="00904BAC" w:rsidRPr="007A37E1">
        <w:rPr>
          <w:rFonts w:ascii="Arial" w:hAnsi="Arial" w:cs="Arial"/>
          <w:lang w:val="en-US"/>
        </w:rPr>
        <w:t>8</w:t>
      </w:r>
      <w:r w:rsidRPr="007A37E1">
        <w:rPr>
          <w:rFonts w:ascii="Arial" w:hAnsi="Arial" w:cs="Arial"/>
          <w:lang w:val="en-US"/>
        </w:rPr>
        <w:t>]</w:t>
      </w:r>
      <w:r w:rsidRPr="007A37E1">
        <w:rPr>
          <w:rFonts w:ascii="Arial" w:hAnsi="Arial" w:cs="Arial"/>
          <w:lang w:val="en-US"/>
        </w:rPr>
        <w:tab/>
        <w:t>On 31 March 2021</w:t>
      </w:r>
      <w:r w:rsidR="000709C1" w:rsidRPr="007A37E1">
        <w:rPr>
          <w:rFonts w:ascii="Arial" w:hAnsi="Arial" w:cs="Arial"/>
          <w:lang w:val="en-US"/>
        </w:rPr>
        <w:t>,</w:t>
      </w:r>
      <w:r w:rsidRPr="007A37E1">
        <w:rPr>
          <w:rFonts w:ascii="Arial" w:hAnsi="Arial" w:cs="Arial"/>
          <w:lang w:val="en-US"/>
        </w:rPr>
        <w:t xml:space="preserve"> the respondents addressed an email to the Registrar’s office, apparently in relation to a communication from CASAC in respect of its stated preference for a virtual hearing, which</w:t>
      </w:r>
      <w:r w:rsidR="007C6BBE" w:rsidRPr="007A37E1">
        <w:rPr>
          <w:rFonts w:ascii="Arial" w:hAnsi="Arial" w:cs="Arial"/>
          <w:lang w:val="en-US"/>
        </w:rPr>
        <w:t>,</w:t>
      </w:r>
      <w:r w:rsidRPr="007A37E1">
        <w:rPr>
          <w:rFonts w:ascii="Arial" w:hAnsi="Arial" w:cs="Arial"/>
          <w:lang w:val="en-US"/>
        </w:rPr>
        <w:t xml:space="preserve"> from its perspective</w:t>
      </w:r>
      <w:r w:rsidR="007C6BBE" w:rsidRPr="007A37E1">
        <w:rPr>
          <w:rFonts w:ascii="Arial" w:hAnsi="Arial" w:cs="Arial"/>
          <w:lang w:val="en-US"/>
        </w:rPr>
        <w:t>,</w:t>
      </w:r>
      <w:r w:rsidRPr="007A37E1">
        <w:rPr>
          <w:rFonts w:ascii="Arial" w:hAnsi="Arial" w:cs="Arial"/>
          <w:lang w:val="en-US"/>
        </w:rPr>
        <w:t xml:space="preserve"> included a cost saving. The respondent</w:t>
      </w:r>
      <w:r w:rsidR="007C6BBE" w:rsidRPr="007A37E1">
        <w:rPr>
          <w:rFonts w:ascii="Arial" w:hAnsi="Arial" w:cs="Arial"/>
          <w:lang w:val="en-US"/>
        </w:rPr>
        <w:t>s</w:t>
      </w:r>
      <w:r w:rsidRPr="007A37E1">
        <w:rPr>
          <w:rFonts w:ascii="Arial" w:hAnsi="Arial" w:cs="Arial"/>
          <w:lang w:val="en-US"/>
        </w:rPr>
        <w:t xml:space="preserve"> reiterated </w:t>
      </w:r>
      <w:r w:rsidR="007C6BBE" w:rsidRPr="007A37E1">
        <w:rPr>
          <w:rFonts w:ascii="Arial" w:hAnsi="Arial" w:cs="Arial"/>
          <w:lang w:val="en-US"/>
        </w:rPr>
        <w:t>their</w:t>
      </w:r>
      <w:r w:rsidRPr="007A37E1">
        <w:rPr>
          <w:rFonts w:ascii="Arial" w:hAnsi="Arial" w:cs="Arial"/>
          <w:lang w:val="en-US"/>
        </w:rPr>
        <w:t xml:space="preserve"> uncompromising stance, namely that they would tolerate not</w:t>
      </w:r>
      <w:r w:rsidR="00097901" w:rsidRPr="007A37E1">
        <w:rPr>
          <w:rFonts w:ascii="Arial" w:hAnsi="Arial" w:cs="Arial"/>
          <w:lang w:val="en-US"/>
        </w:rPr>
        <w:t>h</w:t>
      </w:r>
      <w:r w:rsidRPr="007A37E1">
        <w:rPr>
          <w:rFonts w:ascii="Arial" w:hAnsi="Arial" w:cs="Arial"/>
          <w:lang w:val="en-US"/>
        </w:rPr>
        <w:t>ing other than an in-person hearing. As will also be seen</w:t>
      </w:r>
      <w:r w:rsidR="00536F49" w:rsidRPr="007A37E1">
        <w:rPr>
          <w:rFonts w:ascii="Arial" w:hAnsi="Arial" w:cs="Arial"/>
          <w:lang w:val="en-US"/>
        </w:rPr>
        <w:t>,</w:t>
      </w:r>
      <w:r w:rsidRPr="007A37E1">
        <w:rPr>
          <w:rFonts w:ascii="Arial" w:hAnsi="Arial" w:cs="Arial"/>
          <w:lang w:val="en-US"/>
        </w:rPr>
        <w:t xml:space="preserve"> the respondents assert</w:t>
      </w:r>
      <w:r w:rsidR="007C6BBE" w:rsidRPr="007A37E1">
        <w:rPr>
          <w:rFonts w:ascii="Arial" w:hAnsi="Arial" w:cs="Arial"/>
          <w:lang w:val="en-US"/>
        </w:rPr>
        <w:t>ed</w:t>
      </w:r>
      <w:r w:rsidRPr="007A37E1">
        <w:rPr>
          <w:rFonts w:ascii="Arial" w:hAnsi="Arial" w:cs="Arial"/>
          <w:lang w:val="en-US"/>
        </w:rPr>
        <w:t xml:space="preserve"> quite emphatically that in the event that they are fo</w:t>
      </w:r>
      <w:r w:rsidR="00536F49" w:rsidRPr="007A37E1">
        <w:rPr>
          <w:rFonts w:ascii="Arial" w:hAnsi="Arial" w:cs="Arial"/>
          <w:lang w:val="en-US"/>
        </w:rPr>
        <w:t>rced by a court directive to participate in</w:t>
      </w:r>
      <w:r w:rsidRPr="007A37E1">
        <w:rPr>
          <w:rFonts w:ascii="Arial" w:hAnsi="Arial" w:cs="Arial"/>
          <w:lang w:val="en-US"/>
        </w:rPr>
        <w:t xml:space="preserve"> </w:t>
      </w:r>
      <w:r w:rsidR="007C6BBE" w:rsidRPr="007A37E1">
        <w:rPr>
          <w:rFonts w:ascii="Arial" w:hAnsi="Arial" w:cs="Arial"/>
          <w:lang w:val="en-US"/>
        </w:rPr>
        <w:t xml:space="preserve">a </w:t>
      </w:r>
      <w:r w:rsidRPr="007A37E1">
        <w:rPr>
          <w:rFonts w:ascii="Arial" w:hAnsi="Arial" w:cs="Arial"/>
          <w:lang w:val="en-US"/>
        </w:rPr>
        <w:t>virtual hearing</w:t>
      </w:r>
      <w:r w:rsidR="000709C1" w:rsidRPr="007A37E1">
        <w:rPr>
          <w:rFonts w:ascii="Arial" w:hAnsi="Arial" w:cs="Arial"/>
          <w:lang w:val="en-US"/>
        </w:rPr>
        <w:t>,</w:t>
      </w:r>
      <w:r w:rsidRPr="007A37E1">
        <w:rPr>
          <w:rFonts w:ascii="Arial" w:hAnsi="Arial" w:cs="Arial"/>
          <w:lang w:val="en-US"/>
        </w:rPr>
        <w:t xml:space="preserve"> they ‘will respond by bringing an application to challenge the constitutionality and validity of virtual Court hearings in South Africa’. It is insinuated that if the court persisted with a virtual hearing it would effectively be prejudging the case against the respondents. </w:t>
      </w:r>
      <w:r w:rsidR="00536F49" w:rsidRPr="007A37E1">
        <w:rPr>
          <w:rFonts w:ascii="Arial" w:hAnsi="Arial" w:cs="Arial"/>
          <w:lang w:val="en-US"/>
        </w:rPr>
        <w:t>Since the letter accords with the tone and tenor of th</w:t>
      </w:r>
      <w:r w:rsidRPr="007A37E1">
        <w:rPr>
          <w:rFonts w:ascii="Arial" w:hAnsi="Arial" w:cs="Arial"/>
          <w:lang w:val="en-US"/>
        </w:rPr>
        <w:t xml:space="preserve">e founding affidavit in the </w:t>
      </w:r>
      <w:r w:rsidR="00536F49" w:rsidRPr="007A37E1">
        <w:rPr>
          <w:rFonts w:ascii="Arial" w:hAnsi="Arial" w:cs="Arial"/>
          <w:lang w:val="en-US"/>
        </w:rPr>
        <w:t>matter</w:t>
      </w:r>
      <w:r w:rsidRPr="007A37E1">
        <w:rPr>
          <w:rFonts w:ascii="Arial" w:hAnsi="Arial" w:cs="Arial"/>
          <w:lang w:val="en-US"/>
        </w:rPr>
        <w:t xml:space="preserve"> and </w:t>
      </w:r>
      <w:r w:rsidR="00ED2615" w:rsidRPr="007A37E1">
        <w:rPr>
          <w:rFonts w:ascii="Arial" w:hAnsi="Arial" w:cs="Arial"/>
          <w:lang w:val="en-US"/>
        </w:rPr>
        <w:t xml:space="preserve">is </w:t>
      </w:r>
      <w:r w:rsidRPr="007A37E1">
        <w:rPr>
          <w:rFonts w:ascii="Arial" w:hAnsi="Arial" w:cs="Arial"/>
          <w:lang w:val="en-US"/>
        </w:rPr>
        <w:t>not entirely intel</w:t>
      </w:r>
      <w:r w:rsidR="00536F49" w:rsidRPr="007A37E1">
        <w:rPr>
          <w:rFonts w:ascii="Arial" w:hAnsi="Arial" w:cs="Arial"/>
          <w:lang w:val="en-US"/>
        </w:rPr>
        <w:t>ligible, it is best that it be</w:t>
      </w:r>
      <w:r w:rsidRPr="007A37E1">
        <w:rPr>
          <w:rFonts w:ascii="Arial" w:hAnsi="Arial" w:cs="Arial"/>
          <w:lang w:val="en-US"/>
        </w:rPr>
        <w:t xml:space="preserve"> </w:t>
      </w:r>
      <w:r w:rsidR="009A1EA9" w:rsidRPr="007A37E1">
        <w:rPr>
          <w:rFonts w:ascii="Arial" w:hAnsi="Arial" w:cs="Arial"/>
          <w:lang w:val="en-US"/>
        </w:rPr>
        <w:t>re</w:t>
      </w:r>
      <w:r w:rsidRPr="007A37E1">
        <w:rPr>
          <w:rFonts w:ascii="Arial" w:hAnsi="Arial" w:cs="Arial"/>
          <w:lang w:val="en-US"/>
        </w:rPr>
        <w:t>produced in its entirety:</w:t>
      </w:r>
    </w:p>
    <w:p w14:paraId="26BC4466" w14:textId="1754AD1F"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‘1</w:t>
      </w:r>
      <w:r w:rsidRPr="007A37E1">
        <w:rPr>
          <w:rFonts w:ascii="Arial" w:hAnsi="Arial" w:cs="Arial"/>
          <w:sz w:val="22"/>
          <w:szCs w:val="22"/>
          <w:lang w:val="en-US"/>
        </w:rPr>
        <w:tab/>
        <w:t xml:space="preserve">Writer refers to the letter addressed to you by the attorneys of the admitted </w:t>
      </w:r>
      <w:r w:rsidRPr="007A37E1">
        <w:rPr>
          <w:rFonts w:ascii="Arial" w:hAnsi="Arial" w:cs="Arial"/>
          <w:i/>
          <w:sz w:val="22"/>
          <w:szCs w:val="22"/>
          <w:lang w:val="en-US"/>
        </w:rPr>
        <w:t>Amicus Curiae</w:t>
      </w:r>
      <w:r w:rsidRPr="007A37E1">
        <w:rPr>
          <w:rFonts w:ascii="Arial" w:hAnsi="Arial" w:cs="Arial"/>
          <w:sz w:val="22"/>
          <w:szCs w:val="22"/>
          <w:lang w:val="en-US"/>
        </w:rPr>
        <w:t xml:space="preserve">, </w:t>
      </w:r>
      <w:r w:rsidR="000E0127" w:rsidRPr="007A37E1">
        <w:rPr>
          <w:rFonts w:ascii="Arial" w:hAnsi="Arial" w:cs="Arial"/>
          <w:sz w:val="22"/>
          <w:szCs w:val="22"/>
          <w:lang w:val="en-US"/>
        </w:rPr>
        <w:t>C</w:t>
      </w:r>
      <w:r w:rsidRPr="007A37E1">
        <w:rPr>
          <w:rFonts w:ascii="Arial" w:hAnsi="Arial" w:cs="Arial"/>
          <w:sz w:val="22"/>
          <w:szCs w:val="22"/>
          <w:lang w:val="en-US"/>
        </w:rPr>
        <w:t>ouncil for the Advancement of the SA Constitution (CASAC), dated 30</w:t>
      </w:r>
      <w:r w:rsidRPr="007A37E1">
        <w:rPr>
          <w:rFonts w:ascii="Arial" w:hAnsi="Arial" w:cs="Arial"/>
          <w:sz w:val="22"/>
          <w:szCs w:val="22"/>
          <w:vertAlign w:val="superscript"/>
          <w:lang w:val="en-US"/>
        </w:rPr>
        <w:t>th</w:t>
      </w:r>
      <w:r w:rsidRPr="007A37E1">
        <w:rPr>
          <w:rFonts w:ascii="Arial" w:hAnsi="Arial" w:cs="Arial"/>
          <w:sz w:val="22"/>
          <w:szCs w:val="22"/>
          <w:lang w:val="en-US"/>
        </w:rPr>
        <w:t xml:space="preserve"> instant.</w:t>
      </w:r>
    </w:p>
    <w:p w14:paraId="1F98CC08"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2</w:t>
      </w:r>
      <w:r w:rsidRPr="007A37E1">
        <w:rPr>
          <w:rFonts w:ascii="Arial" w:hAnsi="Arial" w:cs="Arial"/>
          <w:sz w:val="22"/>
          <w:szCs w:val="22"/>
          <w:lang w:val="en-US"/>
        </w:rPr>
        <w:tab/>
        <w:t xml:space="preserve">The Respondents do not wish to litigate by letter, but as an actual party to the dispute itself writer wishes to clarify certain points raised in the letter under response. </w:t>
      </w:r>
    </w:p>
    <w:p w14:paraId="43D8139E"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lastRenderedPageBreak/>
        <w:t>3</w:t>
      </w:r>
      <w:r w:rsidRPr="007A37E1">
        <w:rPr>
          <w:rFonts w:ascii="Arial" w:hAnsi="Arial" w:cs="Arial"/>
          <w:sz w:val="22"/>
          <w:szCs w:val="22"/>
          <w:lang w:val="en-US"/>
        </w:rPr>
        <w:tab/>
        <w:t xml:space="preserve">The </w:t>
      </w:r>
      <w:r w:rsidRPr="007A37E1">
        <w:rPr>
          <w:rFonts w:ascii="Arial" w:hAnsi="Arial" w:cs="Arial"/>
          <w:i/>
          <w:sz w:val="22"/>
          <w:szCs w:val="22"/>
          <w:lang w:val="en-US"/>
        </w:rPr>
        <w:t>Amicus Curiae</w:t>
      </w:r>
      <w:r w:rsidRPr="007A37E1">
        <w:rPr>
          <w:rFonts w:ascii="Arial" w:hAnsi="Arial" w:cs="Arial"/>
          <w:sz w:val="22"/>
          <w:szCs w:val="22"/>
          <w:lang w:val="en-US"/>
        </w:rPr>
        <w:t>, respectfully, is not in any position to dictate which process might be most suited to be followed by the actual litigants in this matter.</w:t>
      </w:r>
    </w:p>
    <w:p w14:paraId="53755D87" w14:textId="26C1E6BF"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4</w:t>
      </w:r>
      <w:r w:rsidRPr="007A37E1">
        <w:rPr>
          <w:rFonts w:ascii="Arial" w:hAnsi="Arial" w:cs="Arial"/>
          <w:sz w:val="22"/>
          <w:szCs w:val="22"/>
          <w:lang w:val="en-US"/>
        </w:rPr>
        <w:tab/>
        <w:t xml:space="preserve">Like any </w:t>
      </w:r>
      <w:r w:rsidRPr="007A37E1">
        <w:rPr>
          <w:rFonts w:ascii="Arial" w:hAnsi="Arial" w:cs="Arial"/>
          <w:i/>
          <w:sz w:val="22"/>
          <w:szCs w:val="22"/>
          <w:lang w:val="en-US"/>
        </w:rPr>
        <w:t>amicus curiae</w:t>
      </w:r>
      <w:r w:rsidRPr="007A37E1">
        <w:rPr>
          <w:rFonts w:ascii="Arial" w:hAnsi="Arial" w:cs="Arial"/>
          <w:sz w:val="22"/>
          <w:szCs w:val="22"/>
          <w:lang w:val="en-US"/>
        </w:rPr>
        <w:t xml:space="preserve">, CASAC became part of these proceedings out of </w:t>
      </w:r>
      <w:r w:rsidR="00DA4402" w:rsidRPr="007A37E1">
        <w:rPr>
          <w:rFonts w:ascii="Arial" w:hAnsi="Arial" w:cs="Arial"/>
          <w:sz w:val="22"/>
          <w:szCs w:val="22"/>
          <w:lang w:val="en-US"/>
        </w:rPr>
        <w:t>[</w:t>
      </w:r>
      <w:r w:rsidRPr="007A37E1">
        <w:rPr>
          <w:rFonts w:ascii="Arial" w:hAnsi="Arial" w:cs="Arial"/>
          <w:sz w:val="22"/>
          <w:szCs w:val="22"/>
          <w:lang w:val="en-US"/>
        </w:rPr>
        <w:t>its</w:t>
      </w:r>
      <w:r w:rsidR="00DA4402" w:rsidRPr="007A37E1">
        <w:rPr>
          <w:rFonts w:ascii="Arial" w:hAnsi="Arial" w:cs="Arial"/>
          <w:sz w:val="22"/>
          <w:szCs w:val="22"/>
          <w:lang w:val="en-US"/>
        </w:rPr>
        <w:t>]</w:t>
      </w:r>
      <w:r w:rsidRPr="007A37E1">
        <w:rPr>
          <w:rFonts w:ascii="Arial" w:hAnsi="Arial" w:cs="Arial"/>
          <w:sz w:val="22"/>
          <w:szCs w:val="22"/>
          <w:lang w:val="en-US"/>
        </w:rPr>
        <w:t xml:space="preserve"> own free will. With quite a number of senior advocates on its advisory council the issue of costs and expenses relating to litigation simply cannot come as surprising as it is made out to be. Further, writer finds it preposterous for an organi</w:t>
      </w:r>
      <w:r w:rsidR="00A34D2F" w:rsidRPr="007A37E1">
        <w:rPr>
          <w:rFonts w:ascii="Arial" w:hAnsi="Arial" w:cs="Arial"/>
          <w:sz w:val="22"/>
          <w:szCs w:val="22"/>
          <w:lang w:val="en-US"/>
        </w:rPr>
        <w:t>s</w:t>
      </w:r>
      <w:r w:rsidRPr="007A37E1">
        <w:rPr>
          <w:rFonts w:ascii="Arial" w:hAnsi="Arial" w:cs="Arial"/>
          <w:sz w:val="22"/>
          <w:szCs w:val="22"/>
          <w:lang w:val="en-US"/>
        </w:rPr>
        <w:t>ation of CASAC’s stature to even insinuate financial hardship. According to CASA</w:t>
      </w:r>
      <w:r w:rsidR="000E0127" w:rsidRPr="007A37E1">
        <w:rPr>
          <w:rFonts w:ascii="Arial" w:hAnsi="Arial" w:cs="Arial"/>
          <w:sz w:val="22"/>
          <w:szCs w:val="22"/>
          <w:lang w:val="en-US"/>
        </w:rPr>
        <w:t>C</w:t>
      </w:r>
      <w:r w:rsidRPr="007A37E1">
        <w:rPr>
          <w:rFonts w:ascii="Arial" w:hAnsi="Arial" w:cs="Arial"/>
          <w:sz w:val="22"/>
          <w:szCs w:val="22"/>
          <w:lang w:val="en-US"/>
        </w:rPr>
        <w:t xml:space="preserve">’s published Statement of Comprehensive Income contained in </w:t>
      </w:r>
      <w:r w:rsidR="00DA4402" w:rsidRPr="007A37E1">
        <w:rPr>
          <w:rFonts w:ascii="Arial" w:hAnsi="Arial" w:cs="Arial"/>
          <w:sz w:val="22"/>
          <w:szCs w:val="22"/>
          <w:lang w:val="en-US"/>
        </w:rPr>
        <w:t>[</w:t>
      </w:r>
      <w:r w:rsidRPr="007A37E1">
        <w:rPr>
          <w:rFonts w:ascii="Arial" w:hAnsi="Arial" w:cs="Arial"/>
          <w:sz w:val="22"/>
          <w:szCs w:val="22"/>
          <w:lang w:val="en-US"/>
        </w:rPr>
        <w:t>its</w:t>
      </w:r>
      <w:r w:rsidR="00DA4402" w:rsidRPr="007A37E1">
        <w:rPr>
          <w:rFonts w:ascii="Arial" w:hAnsi="Arial" w:cs="Arial"/>
          <w:sz w:val="22"/>
          <w:szCs w:val="22"/>
          <w:lang w:val="en-US"/>
        </w:rPr>
        <w:t>]</w:t>
      </w:r>
      <w:r w:rsidRPr="007A37E1">
        <w:rPr>
          <w:rFonts w:ascii="Arial" w:hAnsi="Arial" w:cs="Arial"/>
          <w:sz w:val="22"/>
          <w:szCs w:val="22"/>
          <w:lang w:val="en-US"/>
        </w:rPr>
        <w:t xml:space="preserve"> 2018/2019 Annual Report, its operating expenses amount to in excess of R23 million. Under the circumstance, writer is quite certain that some additional fuel and travel expense from Cape Town to Bloemfontein should not be too problematic.</w:t>
      </w:r>
    </w:p>
    <w:p w14:paraId="5891E8AC" w14:textId="73CFFD15"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5</w:t>
      </w:r>
      <w:r w:rsidRPr="007A37E1">
        <w:rPr>
          <w:rFonts w:ascii="Arial" w:hAnsi="Arial" w:cs="Arial"/>
          <w:sz w:val="22"/>
          <w:szCs w:val="22"/>
          <w:lang w:val="en-US"/>
        </w:rPr>
        <w:tab/>
        <w:t>Further, the very COVID-19 measures reference</w:t>
      </w:r>
      <w:r w:rsidR="000E0127" w:rsidRPr="007A37E1">
        <w:rPr>
          <w:rFonts w:ascii="Arial" w:hAnsi="Arial" w:cs="Arial"/>
          <w:sz w:val="22"/>
          <w:szCs w:val="22"/>
          <w:lang w:val="en-US"/>
        </w:rPr>
        <w:t>d</w:t>
      </w:r>
      <w:r w:rsidRPr="007A37E1">
        <w:rPr>
          <w:rFonts w:ascii="Arial" w:hAnsi="Arial" w:cs="Arial"/>
          <w:sz w:val="22"/>
          <w:szCs w:val="22"/>
          <w:lang w:val="en-US"/>
        </w:rPr>
        <w:t xml:space="preserve"> are also the interventions by the Appellant which are under dispute in this matter; at this point, adjudication by the SCA is outstanding.</w:t>
      </w:r>
    </w:p>
    <w:p w14:paraId="7097E626"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6</w:t>
      </w:r>
      <w:r w:rsidRPr="007A37E1">
        <w:rPr>
          <w:rFonts w:ascii="Arial" w:hAnsi="Arial" w:cs="Arial"/>
          <w:sz w:val="22"/>
          <w:szCs w:val="22"/>
          <w:lang w:val="en-US"/>
        </w:rPr>
        <w:tab/>
        <w:t xml:space="preserve">The Respondents do not believe that there is any special circumstance present preventing a hearing on 26 May 2021 in open Court; as a Court should be. In this context, writer reminds the </w:t>
      </w:r>
      <w:r w:rsidRPr="007A37E1">
        <w:rPr>
          <w:rFonts w:ascii="Arial" w:hAnsi="Arial" w:cs="Arial"/>
          <w:i/>
          <w:sz w:val="22"/>
          <w:szCs w:val="22"/>
          <w:lang w:val="en-US"/>
        </w:rPr>
        <w:t>Amicus Curiae</w:t>
      </w:r>
      <w:r w:rsidRPr="007A37E1">
        <w:rPr>
          <w:rFonts w:ascii="Arial" w:hAnsi="Arial" w:cs="Arial"/>
          <w:sz w:val="22"/>
          <w:szCs w:val="22"/>
          <w:lang w:val="en-US"/>
        </w:rPr>
        <w:t xml:space="preserve"> that the Criminal Procedure Act, 1977 (Act No. 51 of 1977) had to be amended to specifically make provision for virtual hearings.</w:t>
      </w:r>
    </w:p>
    <w:p w14:paraId="0E652D94"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7</w:t>
      </w:r>
      <w:r w:rsidRPr="007A37E1">
        <w:rPr>
          <w:rFonts w:ascii="Arial" w:hAnsi="Arial" w:cs="Arial"/>
          <w:sz w:val="22"/>
          <w:szCs w:val="22"/>
          <w:lang w:val="en-US"/>
        </w:rPr>
        <w:tab/>
        <w:t>Regretfully the parties are not in agreement on this issue, thus the hearing should proceed in an open court, at the SCA’s Building, Bloemfontein, on 26 May 2021 at 09h45.</w:t>
      </w:r>
    </w:p>
    <w:p w14:paraId="5A923E49"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8</w:t>
      </w:r>
      <w:r w:rsidRPr="007A37E1">
        <w:rPr>
          <w:rFonts w:ascii="Arial" w:hAnsi="Arial" w:cs="Arial"/>
          <w:sz w:val="22"/>
          <w:szCs w:val="22"/>
          <w:lang w:val="en-US"/>
        </w:rPr>
        <w:tab/>
        <w:t>In the event that the Judge would direct that the Respondents must attend a virtual hearing against their constitutional rights, this Court would then find itself in the position to openly favour the arguments of the Appellant even before the commencement of the hearing.</w:t>
      </w:r>
    </w:p>
    <w:p w14:paraId="376C6736"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9</w:t>
      </w:r>
      <w:r w:rsidRPr="007A37E1">
        <w:rPr>
          <w:rFonts w:ascii="Arial" w:hAnsi="Arial" w:cs="Arial"/>
          <w:sz w:val="22"/>
          <w:szCs w:val="22"/>
          <w:lang w:val="en-US"/>
        </w:rPr>
        <w:tab/>
        <w:t>In this context, the Respondents are humbly submitting that the Court order in question in any event already came into operation and effect on 24 June 2020, resulting in the COVID-19 measures prescribed by the Appellant to be of no effect and to be discarded by this Court.</w:t>
      </w:r>
    </w:p>
    <w:p w14:paraId="54C063A6"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10</w:t>
      </w:r>
      <w:r w:rsidRPr="007A37E1">
        <w:rPr>
          <w:rFonts w:ascii="Arial" w:hAnsi="Arial" w:cs="Arial"/>
          <w:sz w:val="22"/>
          <w:szCs w:val="22"/>
          <w:lang w:val="en-US"/>
        </w:rPr>
        <w:tab/>
        <w:t>The Respondents have taken a non-negotiable position that in the event that they are forced by a directive of the Judge into a virtual hearing violating their constitutional right to have an open Court hearing, they will respond by bringing an application to challenge the constitutionality and validity of virtual Court hearings in South Africa.</w:t>
      </w:r>
    </w:p>
    <w:p w14:paraId="73BBB9C2" w14:textId="5755395E"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11</w:t>
      </w:r>
      <w:r w:rsidRPr="007A37E1">
        <w:rPr>
          <w:rFonts w:ascii="Arial" w:hAnsi="Arial" w:cs="Arial"/>
          <w:sz w:val="22"/>
          <w:szCs w:val="22"/>
          <w:lang w:val="en-US"/>
        </w:rPr>
        <w:tab/>
        <w:t>Resultantly, the Respondent</w:t>
      </w:r>
      <w:r w:rsidR="00BC2122" w:rsidRPr="007A37E1">
        <w:rPr>
          <w:rFonts w:ascii="Arial" w:hAnsi="Arial" w:cs="Arial"/>
          <w:sz w:val="22"/>
          <w:szCs w:val="22"/>
          <w:lang w:val="en-US"/>
        </w:rPr>
        <w:t>s</w:t>
      </w:r>
      <w:r w:rsidRPr="007A37E1">
        <w:rPr>
          <w:rFonts w:ascii="Arial" w:hAnsi="Arial" w:cs="Arial"/>
          <w:sz w:val="22"/>
          <w:szCs w:val="22"/>
          <w:lang w:val="en-US"/>
        </w:rPr>
        <w:t xml:space="preserve"> will appear in person before the open Court on 26 May 2021 as per the Notice of Set Down.</w:t>
      </w:r>
    </w:p>
    <w:p w14:paraId="03D23B3F"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lastRenderedPageBreak/>
        <w:t>12</w:t>
      </w:r>
      <w:r w:rsidRPr="007A37E1">
        <w:rPr>
          <w:rFonts w:ascii="Arial" w:hAnsi="Arial" w:cs="Arial"/>
          <w:sz w:val="22"/>
          <w:szCs w:val="22"/>
          <w:lang w:val="en-US"/>
        </w:rPr>
        <w:tab/>
        <w:t>If this standpoint by the Respondents, which is to ensure the protection of the authorities of our Constitution and Courts, are in any way regarded as contempt of this Court, the Respondents are prepared to accept the associated punishments.</w:t>
      </w:r>
    </w:p>
    <w:p w14:paraId="3337856D" w14:textId="77BDED13" w:rsidR="00C70CE0" w:rsidRPr="007A37E1" w:rsidRDefault="00C70CE0" w:rsidP="00C70CE0">
      <w:pPr>
        <w:tabs>
          <w:tab w:val="left" w:pos="567"/>
        </w:tabs>
        <w:spacing w:line="360" w:lineRule="auto"/>
        <w:ind w:left="567" w:hanging="567"/>
        <w:jc w:val="both"/>
        <w:rPr>
          <w:rFonts w:ascii="Arial" w:hAnsi="Arial" w:cs="Arial"/>
          <w:sz w:val="22"/>
          <w:szCs w:val="22"/>
          <w:lang w:val="en-US"/>
        </w:rPr>
      </w:pPr>
      <w:r w:rsidRPr="007A37E1">
        <w:rPr>
          <w:rFonts w:ascii="Arial" w:hAnsi="Arial" w:cs="Arial"/>
          <w:sz w:val="22"/>
          <w:szCs w:val="22"/>
          <w:lang w:val="en-US"/>
        </w:rPr>
        <w:t>13</w:t>
      </w:r>
      <w:r w:rsidRPr="007A37E1">
        <w:rPr>
          <w:rFonts w:ascii="Arial" w:hAnsi="Arial" w:cs="Arial"/>
          <w:sz w:val="22"/>
          <w:szCs w:val="22"/>
          <w:lang w:val="en-US"/>
        </w:rPr>
        <w:tab/>
        <w:t>Ou</w:t>
      </w:r>
      <w:r w:rsidR="001F429F" w:rsidRPr="007A37E1">
        <w:rPr>
          <w:rFonts w:ascii="Arial" w:hAnsi="Arial" w:cs="Arial"/>
          <w:sz w:val="22"/>
          <w:szCs w:val="22"/>
          <w:lang w:val="en-US"/>
        </w:rPr>
        <w:t>r</w:t>
      </w:r>
      <w:r w:rsidRPr="007A37E1">
        <w:rPr>
          <w:rFonts w:ascii="Arial" w:hAnsi="Arial" w:cs="Arial"/>
          <w:sz w:val="22"/>
          <w:szCs w:val="22"/>
          <w:lang w:val="en-US"/>
        </w:rPr>
        <w:t xml:space="preserve"> rights remain reserved </w:t>
      </w:r>
      <w:r w:rsidRPr="007A37E1">
        <w:rPr>
          <w:rFonts w:ascii="Arial" w:hAnsi="Arial" w:cs="Arial"/>
          <w:i/>
          <w:sz w:val="22"/>
          <w:szCs w:val="22"/>
          <w:lang w:val="en-US"/>
        </w:rPr>
        <w:t>in</w:t>
      </w:r>
      <w:r w:rsidRPr="007A37E1">
        <w:rPr>
          <w:rFonts w:ascii="Arial" w:hAnsi="Arial" w:cs="Arial"/>
          <w:sz w:val="22"/>
          <w:szCs w:val="22"/>
          <w:lang w:val="en-US"/>
        </w:rPr>
        <w:t xml:space="preserve"> </w:t>
      </w:r>
      <w:r w:rsidRPr="007A37E1">
        <w:rPr>
          <w:rFonts w:ascii="Arial" w:hAnsi="Arial" w:cs="Arial"/>
          <w:i/>
          <w:sz w:val="22"/>
          <w:szCs w:val="22"/>
          <w:lang w:val="en-US"/>
        </w:rPr>
        <w:t>toto</w:t>
      </w:r>
      <w:r w:rsidRPr="007A37E1">
        <w:rPr>
          <w:rFonts w:ascii="Arial" w:hAnsi="Arial" w:cs="Arial"/>
          <w:sz w:val="22"/>
          <w:szCs w:val="22"/>
          <w:lang w:val="en-US"/>
        </w:rPr>
        <w:t xml:space="preserve">.’ </w:t>
      </w:r>
    </w:p>
    <w:p w14:paraId="74068082" w14:textId="77777777" w:rsidR="00C70CE0" w:rsidRPr="007A37E1" w:rsidRDefault="00C70CE0" w:rsidP="00C70CE0">
      <w:pPr>
        <w:spacing w:line="360" w:lineRule="auto"/>
        <w:jc w:val="both"/>
        <w:rPr>
          <w:rFonts w:ascii="Arial" w:hAnsi="Arial" w:cs="Arial"/>
          <w:lang w:val="en-US"/>
        </w:rPr>
      </w:pPr>
    </w:p>
    <w:p w14:paraId="387CFA3B" w14:textId="66C95545" w:rsidR="00C70CE0" w:rsidRPr="007A37E1" w:rsidRDefault="00C70CE0" w:rsidP="00C70CE0">
      <w:pPr>
        <w:spacing w:line="360" w:lineRule="auto"/>
        <w:jc w:val="both"/>
        <w:rPr>
          <w:rFonts w:ascii="Arial" w:hAnsi="Arial" w:cs="Arial"/>
          <w:lang w:val="en-US"/>
        </w:rPr>
      </w:pPr>
      <w:r w:rsidRPr="007A37E1">
        <w:rPr>
          <w:rFonts w:ascii="Arial" w:hAnsi="Arial" w:cs="Arial"/>
          <w:lang w:val="en-US"/>
        </w:rPr>
        <w:t>[4</w:t>
      </w:r>
      <w:r w:rsidR="00904BAC" w:rsidRPr="007A37E1">
        <w:rPr>
          <w:rFonts w:ascii="Arial" w:hAnsi="Arial" w:cs="Arial"/>
          <w:lang w:val="en-US"/>
        </w:rPr>
        <w:t>9</w:t>
      </w:r>
      <w:r w:rsidRPr="007A37E1">
        <w:rPr>
          <w:rFonts w:ascii="Arial" w:hAnsi="Arial" w:cs="Arial"/>
          <w:lang w:val="en-US"/>
        </w:rPr>
        <w:t>]</w:t>
      </w:r>
      <w:r w:rsidRPr="007A37E1">
        <w:rPr>
          <w:rFonts w:ascii="Arial" w:hAnsi="Arial" w:cs="Arial"/>
          <w:lang w:val="en-US"/>
        </w:rPr>
        <w:tab/>
        <w:t xml:space="preserve">On 8 April </w:t>
      </w:r>
      <w:r w:rsidR="00021E5E" w:rsidRPr="007A37E1">
        <w:rPr>
          <w:rFonts w:ascii="Arial" w:hAnsi="Arial" w:cs="Arial"/>
          <w:lang w:val="en-US"/>
        </w:rPr>
        <w:t>2021</w:t>
      </w:r>
      <w:r w:rsidR="00F72D38" w:rsidRPr="007A37E1">
        <w:rPr>
          <w:rFonts w:ascii="Arial" w:hAnsi="Arial" w:cs="Arial"/>
          <w:lang w:val="en-US"/>
        </w:rPr>
        <w:t>,</w:t>
      </w:r>
      <w:r w:rsidR="00021E5E" w:rsidRPr="007A37E1">
        <w:rPr>
          <w:rFonts w:ascii="Arial" w:hAnsi="Arial" w:cs="Arial"/>
          <w:lang w:val="en-US"/>
        </w:rPr>
        <w:t xml:space="preserve"> </w:t>
      </w:r>
      <w:r w:rsidRPr="007A37E1">
        <w:rPr>
          <w:rFonts w:ascii="Arial" w:hAnsi="Arial" w:cs="Arial"/>
          <w:lang w:val="en-US"/>
        </w:rPr>
        <w:t xml:space="preserve">the Registrar was directed by </w:t>
      </w:r>
      <w:r w:rsidR="001B6431" w:rsidRPr="007A37E1">
        <w:rPr>
          <w:rFonts w:ascii="Arial" w:hAnsi="Arial" w:cs="Arial"/>
          <w:lang w:val="en-US"/>
        </w:rPr>
        <w:t xml:space="preserve">the judges assigned to hear this appeal </w:t>
      </w:r>
      <w:r w:rsidRPr="007A37E1">
        <w:rPr>
          <w:rFonts w:ascii="Arial" w:hAnsi="Arial" w:cs="Arial"/>
          <w:lang w:val="en-US"/>
        </w:rPr>
        <w:t>to address the following note to the parties:</w:t>
      </w:r>
    </w:p>
    <w:p w14:paraId="2D987EC7" w14:textId="77777777" w:rsidR="00C70CE0" w:rsidRPr="007A37E1" w:rsidRDefault="00C70CE0" w:rsidP="00A34D2F">
      <w:pPr>
        <w:spacing w:after="120" w:line="360" w:lineRule="auto"/>
        <w:jc w:val="both"/>
        <w:rPr>
          <w:rFonts w:ascii="Arial" w:hAnsi="Arial" w:cs="Arial"/>
          <w:sz w:val="22"/>
          <w:szCs w:val="22"/>
          <w:lang w:val="en-US"/>
        </w:rPr>
      </w:pPr>
      <w:r w:rsidRPr="007A37E1">
        <w:rPr>
          <w:rFonts w:ascii="Arial" w:hAnsi="Arial" w:cs="Arial"/>
          <w:sz w:val="22"/>
          <w:szCs w:val="22"/>
          <w:lang w:val="en-US"/>
        </w:rPr>
        <w:t>‘Since the second quarter of last year the Supreme Court of Appeal has successfully conducted its entire roll each term by way of remote hearings on Microsoft Teams. At the end of each session legal representatives of the parties acknowledged that they had a full and satisfactory hearing. Appeal hearings have the added advantage that there is a full record before the court and a hearing is preceded by heads of argument. Appellate courts in other comparable jurisdictions have successfully conducted web-based appeal hearings.</w:t>
      </w:r>
    </w:p>
    <w:p w14:paraId="4E446DDC" w14:textId="505038D6" w:rsidR="00C70CE0" w:rsidRPr="007A37E1" w:rsidRDefault="00C70CE0" w:rsidP="006940A0">
      <w:pPr>
        <w:spacing w:after="120" w:line="360" w:lineRule="auto"/>
        <w:jc w:val="both"/>
        <w:rPr>
          <w:rFonts w:ascii="Arial" w:hAnsi="Arial" w:cs="Arial"/>
          <w:sz w:val="22"/>
          <w:szCs w:val="22"/>
          <w:lang w:val="en-US"/>
        </w:rPr>
      </w:pPr>
      <w:r w:rsidRPr="007A37E1">
        <w:rPr>
          <w:rFonts w:ascii="Arial" w:hAnsi="Arial" w:cs="Arial"/>
          <w:sz w:val="22"/>
          <w:szCs w:val="22"/>
          <w:lang w:val="en-US"/>
        </w:rPr>
        <w:t>In many of the matters that have been successfully finali</w:t>
      </w:r>
      <w:r w:rsidR="00A34D2F" w:rsidRPr="007A37E1">
        <w:rPr>
          <w:rFonts w:ascii="Arial" w:hAnsi="Arial" w:cs="Arial"/>
          <w:sz w:val="22"/>
          <w:szCs w:val="22"/>
          <w:lang w:val="en-US"/>
        </w:rPr>
        <w:t>s</w:t>
      </w:r>
      <w:r w:rsidRPr="007A37E1">
        <w:rPr>
          <w:rFonts w:ascii="Arial" w:hAnsi="Arial" w:cs="Arial"/>
          <w:sz w:val="22"/>
          <w:szCs w:val="22"/>
          <w:lang w:val="en-US"/>
        </w:rPr>
        <w:t>ed by this court thus far, the records have been as substantial and the issues as complex (if not more so than this). The health and safety concerns that prompted the SCA to opt for virtual – in preference to in-person – hearings still obtain. It is still unclear when the SCA will be able to safely resume in-person hearings. It bears mentioning that the Supreme Court of Appeal has on a number of occasions been subjected to a sanit</w:t>
      </w:r>
      <w:r w:rsidR="00CC0CD3" w:rsidRPr="007A37E1">
        <w:rPr>
          <w:rFonts w:ascii="Arial" w:hAnsi="Arial" w:cs="Arial"/>
          <w:sz w:val="22"/>
          <w:szCs w:val="22"/>
          <w:lang w:val="en-US"/>
        </w:rPr>
        <w:t>is</w:t>
      </w:r>
      <w:r w:rsidRPr="007A37E1">
        <w:rPr>
          <w:rFonts w:ascii="Arial" w:hAnsi="Arial" w:cs="Arial"/>
          <w:sz w:val="22"/>
          <w:szCs w:val="22"/>
          <w:lang w:val="en-US"/>
        </w:rPr>
        <w:t>ation program which necessitated the court building having to be vacated temporarily after support staff tested positive.</w:t>
      </w:r>
    </w:p>
    <w:p w14:paraId="32377B65" w14:textId="7E71E89B" w:rsidR="00C70CE0" w:rsidRPr="007A37E1" w:rsidRDefault="00C70CE0" w:rsidP="00C70CE0">
      <w:pPr>
        <w:spacing w:line="360" w:lineRule="auto"/>
        <w:jc w:val="both"/>
        <w:rPr>
          <w:rFonts w:ascii="Arial" w:hAnsi="Arial" w:cs="Arial"/>
          <w:sz w:val="22"/>
          <w:szCs w:val="22"/>
          <w:lang w:val="en-US"/>
        </w:rPr>
      </w:pPr>
      <w:r w:rsidRPr="007A37E1">
        <w:rPr>
          <w:rFonts w:ascii="Arial" w:hAnsi="Arial" w:cs="Arial"/>
          <w:sz w:val="22"/>
          <w:szCs w:val="22"/>
          <w:lang w:val="en-US"/>
        </w:rPr>
        <w:t>In the circumstances, the appeal scheduled for Wednesday 26 May 2021 will, subject to what appears below, proceed by way of remote hearing on Microsoft Teams. If the respondents persist in their objection to a virtual hearing, it may, at the hearing of the matter, address full argument on the prejudice, if any, that it will suffer. To that end: (i) the respondent may file supplementary heads of argument by 20 April 2021, in which this aspect is addressed; and, (ii) the appellant and the amicus may, if so advised, file heads of argument in response by 3 May 2021. This notwithstanding, the parties must nonetheless be prepared, if called upon to do so, to address the substantive merits of the appeal on 26 May 2021.’</w:t>
      </w:r>
    </w:p>
    <w:p w14:paraId="1585AFCE" w14:textId="77777777" w:rsidR="00C70CE0" w:rsidRPr="007A37E1" w:rsidRDefault="00C70CE0" w:rsidP="00C70CE0">
      <w:pPr>
        <w:spacing w:line="360" w:lineRule="auto"/>
        <w:jc w:val="both"/>
        <w:rPr>
          <w:rFonts w:ascii="Arial" w:hAnsi="Arial" w:cs="Arial"/>
          <w:lang w:val="en-US"/>
        </w:rPr>
      </w:pPr>
    </w:p>
    <w:p w14:paraId="1B91366D" w14:textId="5F23227E" w:rsidR="00C70CE0" w:rsidRPr="007A37E1" w:rsidRDefault="00904BAC" w:rsidP="00CF4CDA">
      <w:pPr>
        <w:tabs>
          <w:tab w:val="left" w:pos="851"/>
        </w:tabs>
        <w:spacing w:line="360" w:lineRule="auto"/>
        <w:jc w:val="both"/>
        <w:rPr>
          <w:rFonts w:ascii="Arial" w:hAnsi="Arial" w:cs="Arial"/>
          <w:lang w:val="en-US"/>
        </w:rPr>
      </w:pPr>
      <w:r w:rsidRPr="007A37E1">
        <w:rPr>
          <w:rFonts w:ascii="Arial" w:hAnsi="Arial" w:cs="Arial"/>
          <w:lang w:val="en-US"/>
        </w:rPr>
        <w:t>[50</w:t>
      </w:r>
      <w:r w:rsidR="00C70CE0" w:rsidRPr="007A37E1">
        <w:rPr>
          <w:rFonts w:ascii="Arial" w:hAnsi="Arial" w:cs="Arial"/>
          <w:lang w:val="en-US"/>
        </w:rPr>
        <w:t>]</w:t>
      </w:r>
      <w:r w:rsidR="00C70CE0" w:rsidRPr="007A37E1">
        <w:rPr>
          <w:rFonts w:ascii="Arial" w:hAnsi="Arial" w:cs="Arial"/>
          <w:lang w:val="en-US"/>
        </w:rPr>
        <w:tab/>
        <w:t xml:space="preserve">On 10 April </w:t>
      </w:r>
      <w:r w:rsidR="00021E5E" w:rsidRPr="007A37E1">
        <w:rPr>
          <w:rFonts w:ascii="Arial" w:hAnsi="Arial" w:cs="Arial"/>
          <w:lang w:val="en-US"/>
        </w:rPr>
        <w:t>2021</w:t>
      </w:r>
      <w:r w:rsidR="00E369CB" w:rsidRPr="007A37E1">
        <w:rPr>
          <w:rFonts w:ascii="Arial" w:hAnsi="Arial" w:cs="Arial"/>
          <w:lang w:val="en-US"/>
        </w:rPr>
        <w:t>,</w:t>
      </w:r>
      <w:r w:rsidR="00021E5E" w:rsidRPr="007A37E1">
        <w:rPr>
          <w:rFonts w:ascii="Arial" w:hAnsi="Arial" w:cs="Arial"/>
          <w:lang w:val="en-US"/>
        </w:rPr>
        <w:t xml:space="preserve"> </w:t>
      </w:r>
      <w:r w:rsidR="00C70CE0" w:rsidRPr="007A37E1">
        <w:rPr>
          <w:rFonts w:ascii="Arial" w:hAnsi="Arial" w:cs="Arial"/>
          <w:lang w:val="en-US"/>
        </w:rPr>
        <w:t>the respondents wrote in response as follows:</w:t>
      </w:r>
    </w:p>
    <w:p w14:paraId="2CE1B0D1" w14:textId="77777777" w:rsidR="00C70CE0" w:rsidRPr="007A37E1" w:rsidRDefault="00C70CE0" w:rsidP="00A34D2F">
      <w:pPr>
        <w:tabs>
          <w:tab w:val="left" w:pos="567"/>
        </w:tabs>
        <w:spacing w:after="120" w:line="360" w:lineRule="auto"/>
        <w:jc w:val="both"/>
        <w:rPr>
          <w:rFonts w:ascii="Arial" w:hAnsi="Arial" w:cs="Arial"/>
          <w:sz w:val="22"/>
          <w:szCs w:val="22"/>
          <w:lang w:val="en-US"/>
        </w:rPr>
      </w:pPr>
      <w:r w:rsidRPr="007A37E1">
        <w:rPr>
          <w:rFonts w:ascii="Arial" w:hAnsi="Arial" w:cs="Arial"/>
          <w:sz w:val="22"/>
          <w:szCs w:val="22"/>
          <w:lang w:val="en-US"/>
        </w:rPr>
        <w:t>‘1.</w:t>
      </w:r>
      <w:r w:rsidRPr="007A37E1">
        <w:rPr>
          <w:rFonts w:ascii="Arial" w:hAnsi="Arial" w:cs="Arial"/>
          <w:sz w:val="22"/>
          <w:szCs w:val="22"/>
          <w:lang w:val="en-US"/>
        </w:rPr>
        <w:tab/>
        <w:t>Writer refers to your letter dated 8</w:t>
      </w:r>
      <w:r w:rsidRPr="007A37E1">
        <w:rPr>
          <w:rFonts w:ascii="Arial" w:hAnsi="Arial" w:cs="Arial"/>
          <w:sz w:val="22"/>
          <w:szCs w:val="22"/>
          <w:vertAlign w:val="superscript"/>
          <w:lang w:val="en-US"/>
        </w:rPr>
        <w:t>th</w:t>
      </w:r>
      <w:r w:rsidRPr="007A37E1">
        <w:rPr>
          <w:rFonts w:ascii="Arial" w:hAnsi="Arial" w:cs="Arial"/>
          <w:sz w:val="22"/>
          <w:szCs w:val="22"/>
          <w:lang w:val="en-US"/>
        </w:rPr>
        <w:t xml:space="preserve"> instant.</w:t>
      </w:r>
    </w:p>
    <w:p w14:paraId="694904C2"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lastRenderedPageBreak/>
        <w:t>2.</w:t>
      </w:r>
      <w:r w:rsidRPr="007A37E1">
        <w:rPr>
          <w:rFonts w:ascii="Arial" w:hAnsi="Arial" w:cs="Arial"/>
          <w:sz w:val="22"/>
          <w:szCs w:val="22"/>
          <w:lang w:val="en-US"/>
        </w:rPr>
        <w:tab/>
        <w:t>Where writer does not respond to any specific matter raised therein, it should not be construed as if the Respondents are in agreement with same and that such will be addressed at the relevant forum, if required.</w:t>
      </w:r>
    </w:p>
    <w:p w14:paraId="31488794"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3.</w:t>
      </w:r>
      <w:r w:rsidRPr="007A37E1">
        <w:rPr>
          <w:rFonts w:ascii="Arial" w:hAnsi="Arial" w:cs="Arial"/>
          <w:sz w:val="22"/>
          <w:szCs w:val="22"/>
          <w:lang w:val="en-US"/>
        </w:rPr>
        <w:tab/>
        <w:t>Kindly note that the very measures which had instigated the SCA and other Superior Courts to move to the controversial virtual “Court” hearing system are the actual subject which is under this appeal by the Appellant. The Respondents have already been successful in having same declared as unconstitutional and invalid. The fact that the Court order of 2 June 2020 (held in the open) came into operation on 24 June 2020 need not be confirmed by the SCA as the authority in support of this argument stems directly from the Constitutional Court. This is addressed in our Heads of Argument.</w:t>
      </w:r>
    </w:p>
    <w:p w14:paraId="46861155" w14:textId="45459436"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4.</w:t>
      </w:r>
      <w:r w:rsidRPr="007A37E1">
        <w:rPr>
          <w:rFonts w:ascii="Arial" w:hAnsi="Arial" w:cs="Arial"/>
          <w:sz w:val="22"/>
          <w:szCs w:val="22"/>
          <w:lang w:val="en-US"/>
        </w:rPr>
        <w:tab/>
        <w:t>As stated prior in the letter to the Registrar, Mr Paul Myburgh, dated 30</w:t>
      </w:r>
      <w:r w:rsidRPr="007A37E1">
        <w:rPr>
          <w:rFonts w:ascii="Arial" w:hAnsi="Arial" w:cs="Arial"/>
          <w:sz w:val="22"/>
          <w:szCs w:val="22"/>
          <w:vertAlign w:val="superscript"/>
          <w:lang w:val="en-US"/>
        </w:rPr>
        <w:t>th</w:t>
      </w:r>
      <w:r w:rsidRPr="007A37E1">
        <w:rPr>
          <w:rFonts w:ascii="Arial" w:hAnsi="Arial" w:cs="Arial"/>
          <w:sz w:val="22"/>
          <w:szCs w:val="22"/>
          <w:lang w:val="en-US"/>
        </w:rPr>
        <w:t xml:space="preserve"> last instant, the right of the Respondents to have an open Court hearing is not negotiable. It is an enshrined right in the Bill of Rights. Should the SCA </w:t>
      </w:r>
      <w:r w:rsidR="001E48CE" w:rsidRPr="007A37E1">
        <w:rPr>
          <w:rFonts w:ascii="Arial" w:hAnsi="Arial" w:cs="Arial"/>
          <w:sz w:val="22"/>
          <w:szCs w:val="22"/>
          <w:lang w:val="en-US"/>
        </w:rPr>
        <w:t>[</w:t>
      </w:r>
      <w:r w:rsidRPr="007A37E1">
        <w:rPr>
          <w:rFonts w:ascii="Arial" w:hAnsi="Arial" w:cs="Arial"/>
          <w:sz w:val="22"/>
          <w:szCs w:val="22"/>
          <w:lang w:val="en-US"/>
        </w:rPr>
        <w:t>try</w:t>
      </w:r>
      <w:r w:rsidR="001E48CE" w:rsidRPr="007A37E1">
        <w:rPr>
          <w:rFonts w:ascii="Arial" w:hAnsi="Arial" w:cs="Arial"/>
          <w:sz w:val="22"/>
          <w:szCs w:val="22"/>
          <w:lang w:val="en-US"/>
        </w:rPr>
        <w:t>]</w:t>
      </w:r>
      <w:r w:rsidRPr="007A37E1">
        <w:rPr>
          <w:rFonts w:ascii="Arial" w:hAnsi="Arial" w:cs="Arial"/>
          <w:sz w:val="22"/>
          <w:szCs w:val="22"/>
          <w:lang w:val="en-US"/>
        </w:rPr>
        <w:t xml:space="preserve"> to push the Respondents into any type of virtual hearing in this matter same shall be accepted as a confirmation that the SCA has become a mere extension of the Appellant’s argument and that, consequently, the SCA is no longer independent.</w:t>
      </w:r>
    </w:p>
    <w:p w14:paraId="2053B82E"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5.</w:t>
      </w:r>
      <w:r w:rsidRPr="007A37E1">
        <w:rPr>
          <w:rFonts w:ascii="Arial" w:hAnsi="Arial" w:cs="Arial"/>
          <w:sz w:val="22"/>
          <w:szCs w:val="22"/>
          <w:lang w:val="en-US"/>
        </w:rPr>
        <w:tab/>
        <w:t>As stated prior, the Respondents will attend the open court hearing in Bloemfontein on 26 May 2021 as per Notice of Set Down. In the alternative, and if instructed to do so by the Court, the Respondents will attend the hearing in this matter to be set down for hearing at a date after the Appellant has eventually uplifted the National State of Disaster. Kindly note that a postponement of the hearing will not alter the Respondents argument.</w:t>
      </w:r>
    </w:p>
    <w:p w14:paraId="46CD8F6F" w14:textId="77777777" w:rsidR="00C70CE0" w:rsidRPr="007A37E1" w:rsidRDefault="00C70CE0" w:rsidP="00C70CE0">
      <w:pPr>
        <w:tabs>
          <w:tab w:val="left" w:pos="567"/>
        </w:tabs>
        <w:spacing w:line="360" w:lineRule="auto"/>
        <w:jc w:val="both"/>
        <w:rPr>
          <w:rFonts w:ascii="Arial" w:hAnsi="Arial" w:cs="Arial"/>
          <w:lang w:val="en-US"/>
        </w:rPr>
      </w:pPr>
      <w:r w:rsidRPr="007A37E1">
        <w:rPr>
          <w:rFonts w:ascii="Arial" w:hAnsi="Arial" w:cs="Arial"/>
          <w:sz w:val="22"/>
          <w:szCs w:val="22"/>
          <w:lang w:val="en-US"/>
        </w:rPr>
        <w:t>6.</w:t>
      </w:r>
      <w:r w:rsidRPr="007A37E1">
        <w:rPr>
          <w:rFonts w:ascii="Arial" w:hAnsi="Arial" w:cs="Arial"/>
          <w:sz w:val="22"/>
          <w:szCs w:val="22"/>
          <w:lang w:val="en-US"/>
        </w:rPr>
        <w:tab/>
        <w:t xml:space="preserve">Our rights remain reserved </w:t>
      </w:r>
      <w:r w:rsidRPr="007A37E1">
        <w:rPr>
          <w:rFonts w:ascii="Arial" w:hAnsi="Arial" w:cs="Arial"/>
          <w:i/>
          <w:sz w:val="22"/>
          <w:szCs w:val="22"/>
          <w:lang w:val="en-US"/>
        </w:rPr>
        <w:t>in toto</w:t>
      </w:r>
      <w:r w:rsidRPr="007A37E1">
        <w:rPr>
          <w:rFonts w:ascii="Arial" w:hAnsi="Arial" w:cs="Arial"/>
          <w:sz w:val="22"/>
          <w:szCs w:val="22"/>
          <w:lang w:val="en-US"/>
        </w:rPr>
        <w:t xml:space="preserve">.’ </w:t>
      </w:r>
    </w:p>
    <w:p w14:paraId="57045D2E" w14:textId="3E3EF978" w:rsidR="00C70CE0" w:rsidRPr="007A37E1" w:rsidRDefault="00C70CE0" w:rsidP="00C70CE0">
      <w:pPr>
        <w:spacing w:line="360" w:lineRule="auto"/>
        <w:jc w:val="both"/>
        <w:rPr>
          <w:rFonts w:ascii="Arial" w:hAnsi="Arial" w:cs="Arial"/>
          <w:lang w:val="en-US"/>
        </w:rPr>
      </w:pPr>
      <w:r w:rsidRPr="007A37E1">
        <w:rPr>
          <w:rFonts w:ascii="Arial" w:hAnsi="Arial" w:cs="Arial"/>
          <w:lang w:val="en-US"/>
        </w:rPr>
        <w:t>As can be seen</w:t>
      </w:r>
      <w:r w:rsidR="007C6BBE" w:rsidRPr="007A37E1">
        <w:rPr>
          <w:rFonts w:ascii="Arial" w:hAnsi="Arial" w:cs="Arial"/>
          <w:lang w:val="en-US"/>
        </w:rPr>
        <w:t>,</w:t>
      </w:r>
      <w:r w:rsidRPr="007A37E1">
        <w:rPr>
          <w:rFonts w:ascii="Arial" w:hAnsi="Arial" w:cs="Arial"/>
          <w:lang w:val="en-US"/>
        </w:rPr>
        <w:t xml:space="preserve"> the</w:t>
      </w:r>
      <w:r w:rsidR="007C6BBE" w:rsidRPr="007A37E1">
        <w:rPr>
          <w:rFonts w:ascii="Arial" w:hAnsi="Arial" w:cs="Arial"/>
          <w:lang w:val="en-US"/>
        </w:rPr>
        <w:t xml:space="preserve"> respondents</w:t>
      </w:r>
      <w:r w:rsidRPr="007A37E1">
        <w:rPr>
          <w:rFonts w:ascii="Arial" w:hAnsi="Arial" w:cs="Arial"/>
          <w:lang w:val="en-US"/>
        </w:rPr>
        <w:t xml:space="preserve"> </w:t>
      </w:r>
      <w:r w:rsidR="007C6BBE" w:rsidRPr="007A37E1">
        <w:rPr>
          <w:rFonts w:ascii="Arial" w:hAnsi="Arial" w:cs="Arial"/>
          <w:lang w:val="en-US"/>
        </w:rPr>
        <w:t>adopted an</w:t>
      </w:r>
      <w:r w:rsidRPr="007A37E1">
        <w:rPr>
          <w:rFonts w:ascii="Arial" w:hAnsi="Arial" w:cs="Arial"/>
          <w:lang w:val="en-US"/>
        </w:rPr>
        <w:t xml:space="preserve"> uncompromising </w:t>
      </w:r>
      <w:r w:rsidR="007C6BBE" w:rsidRPr="007A37E1">
        <w:rPr>
          <w:rFonts w:ascii="Arial" w:hAnsi="Arial" w:cs="Arial"/>
          <w:lang w:val="en-US"/>
        </w:rPr>
        <w:t>position</w:t>
      </w:r>
      <w:r w:rsidRPr="007A37E1">
        <w:rPr>
          <w:rFonts w:ascii="Arial" w:hAnsi="Arial" w:cs="Arial"/>
          <w:lang w:val="en-US"/>
        </w:rPr>
        <w:t>. In this response the</w:t>
      </w:r>
      <w:r w:rsidR="007C6BBE" w:rsidRPr="007A37E1">
        <w:rPr>
          <w:rFonts w:ascii="Arial" w:hAnsi="Arial" w:cs="Arial"/>
          <w:lang w:val="en-US"/>
        </w:rPr>
        <w:t xml:space="preserve"> respondents make</w:t>
      </w:r>
      <w:r w:rsidRPr="007A37E1">
        <w:rPr>
          <w:rFonts w:ascii="Arial" w:hAnsi="Arial" w:cs="Arial"/>
          <w:lang w:val="en-US"/>
        </w:rPr>
        <w:t xml:space="preserve"> what can only be described as a scandalous accusation</w:t>
      </w:r>
      <w:r w:rsidR="007C6BBE" w:rsidRPr="007A37E1">
        <w:rPr>
          <w:rFonts w:ascii="Arial" w:hAnsi="Arial" w:cs="Arial"/>
          <w:lang w:val="en-US"/>
        </w:rPr>
        <w:t>:</w:t>
      </w:r>
      <w:r w:rsidRPr="007A37E1">
        <w:rPr>
          <w:rFonts w:ascii="Arial" w:hAnsi="Arial" w:cs="Arial"/>
          <w:lang w:val="en-US"/>
        </w:rPr>
        <w:t xml:space="preserve"> that in the event that </w:t>
      </w:r>
      <w:r w:rsidR="00B8573B" w:rsidRPr="007A37E1">
        <w:rPr>
          <w:rFonts w:ascii="Arial" w:hAnsi="Arial" w:cs="Arial"/>
          <w:lang w:val="en-US"/>
        </w:rPr>
        <w:t xml:space="preserve">the Court proceeds with </w:t>
      </w:r>
      <w:r w:rsidRPr="007A37E1">
        <w:rPr>
          <w:rFonts w:ascii="Arial" w:hAnsi="Arial" w:cs="Arial"/>
          <w:lang w:val="en-US"/>
        </w:rPr>
        <w:t>a virtual hearing</w:t>
      </w:r>
      <w:r w:rsidR="00B8573B" w:rsidRPr="007A37E1">
        <w:rPr>
          <w:rFonts w:ascii="Arial" w:hAnsi="Arial" w:cs="Arial"/>
          <w:lang w:val="en-US"/>
        </w:rPr>
        <w:t>,</w:t>
      </w:r>
      <w:r w:rsidRPr="007A37E1">
        <w:rPr>
          <w:rFonts w:ascii="Arial" w:hAnsi="Arial" w:cs="Arial"/>
          <w:lang w:val="en-US"/>
        </w:rPr>
        <w:t xml:space="preserve"> this Court will have become a mere ‘extension of the Appellant’s argument and that consequently the SCA is no longer independent’.</w:t>
      </w:r>
    </w:p>
    <w:p w14:paraId="5D778EF7" w14:textId="77777777" w:rsidR="00C70CE0" w:rsidRPr="007A37E1" w:rsidRDefault="00C70CE0" w:rsidP="00C70CE0">
      <w:pPr>
        <w:spacing w:line="360" w:lineRule="auto"/>
        <w:jc w:val="both"/>
        <w:rPr>
          <w:rFonts w:ascii="Arial" w:hAnsi="Arial" w:cs="Arial"/>
          <w:lang w:val="en-US"/>
        </w:rPr>
      </w:pPr>
    </w:p>
    <w:p w14:paraId="4EB49117" w14:textId="775BE213" w:rsidR="00C70CE0" w:rsidRPr="007A37E1" w:rsidRDefault="00C70CE0" w:rsidP="00C70CE0">
      <w:pPr>
        <w:spacing w:line="360" w:lineRule="auto"/>
        <w:jc w:val="both"/>
        <w:rPr>
          <w:rFonts w:ascii="Arial" w:hAnsi="Arial" w:cs="Arial"/>
          <w:lang w:val="en-US"/>
        </w:rPr>
      </w:pPr>
      <w:r w:rsidRPr="007A37E1">
        <w:rPr>
          <w:rFonts w:ascii="Arial" w:hAnsi="Arial" w:cs="Arial"/>
          <w:lang w:val="en-US"/>
        </w:rPr>
        <w:t>[</w:t>
      </w:r>
      <w:r w:rsidR="00FE1E22" w:rsidRPr="007A37E1">
        <w:rPr>
          <w:rFonts w:ascii="Arial" w:hAnsi="Arial" w:cs="Arial"/>
          <w:lang w:val="en-US"/>
        </w:rPr>
        <w:t>5</w:t>
      </w:r>
      <w:r w:rsidR="00904BAC" w:rsidRPr="007A37E1">
        <w:rPr>
          <w:rFonts w:ascii="Arial" w:hAnsi="Arial" w:cs="Arial"/>
          <w:lang w:val="en-US"/>
        </w:rPr>
        <w:t>1</w:t>
      </w:r>
      <w:r w:rsidRPr="007A37E1">
        <w:rPr>
          <w:rFonts w:ascii="Arial" w:hAnsi="Arial" w:cs="Arial"/>
          <w:lang w:val="en-US"/>
        </w:rPr>
        <w:t>]</w:t>
      </w:r>
      <w:r w:rsidRPr="007A37E1">
        <w:rPr>
          <w:rFonts w:ascii="Arial" w:hAnsi="Arial" w:cs="Arial"/>
          <w:lang w:val="en-US"/>
        </w:rPr>
        <w:tab/>
        <w:t>On 5 May 2021</w:t>
      </w:r>
      <w:r w:rsidR="009812F5" w:rsidRPr="007A37E1">
        <w:rPr>
          <w:rFonts w:ascii="Arial" w:hAnsi="Arial" w:cs="Arial"/>
          <w:lang w:val="en-US"/>
        </w:rPr>
        <w:t>,</w:t>
      </w:r>
      <w:r w:rsidRPr="007A37E1">
        <w:rPr>
          <w:rFonts w:ascii="Arial" w:hAnsi="Arial" w:cs="Arial"/>
          <w:lang w:val="en-US"/>
        </w:rPr>
        <w:t xml:space="preserve"> the Registrar</w:t>
      </w:r>
      <w:r w:rsidR="00ED2615" w:rsidRPr="007A37E1">
        <w:rPr>
          <w:rFonts w:ascii="Arial" w:hAnsi="Arial" w:cs="Arial"/>
          <w:lang w:val="en-US"/>
        </w:rPr>
        <w:t>,</w:t>
      </w:r>
      <w:r w:rsidRPr="007A37E1">
        <w:rPr>
          <w:rFonts w:ascii="Arial" w:hAnsi="Arial" w:cs="Arial"/>
          <w:lang w:val="en-US"/>
        </w:rPr>
        <w:t xml:space="preserve"> as instructed by</w:t>
      </w:r>
      <w:r w:rsidR="007867CC" w:rsidRPr="007A37E1">
        <w:rPr>
          <w:rFonts w:ascii="Arial" w:hAnsi="Arial" w:cs="Arial"/>
          <w:lang w:val="en-US"/>
        </w:rPr>
        <w:t xml:space="preserve"> the judges appointed to hear the appeal</w:t>
      </w:r>
      <w:r w:rsidRPr="007A37E1">
        <w:rPr>
          <w:rFonts w:ascii="Arial" w:hAnsi="Arial" w:cs="Arial"/>
          <w:lang w:val="en-US"/>
        </w:rPr>
        <w:t xml:space="preserve"> this </w:t>
      </w:r>
      <w:r w:rsidR="00021E5E" w:rsidRPr="007A37E1">
        <w:rPr>
          <w:rFonts w:ascii="Arial" w:hAnsi="Arial" w:cs="Arial"/>
          <w:lang w:val="en-US"/>
        </w:rPr>
        <w:t>C</w:t>
      </w:r>
      <w:r w:rsidRPr="007A37E1">
        <w:rPr>
          <w:rFonts w:ascii="Arial" w:hAnsi="Arial" w:cs="Arial"/>
          <w:lang w:val="en-US"/>
        </w:rPr>
        <w:t>ourt</w:t>
      </w:r>
      <w:r w:rsidR="00ED2615" w:rsidRPr="007A37E1">
        <w:rPr>
          <w:rFonts w:ascii="Arial" w:hAnsi="Arial" w:cs="Arial"/>
          <w:lang w:val="en-US"/>
        </w:rPr>
        <w:t>,</w:t>
      </w:r>
      <w:r w:rsidRPr="007A37E1">
        <w:rPr>
          <w:rFonts w:ascii="Arial" w:hAnsi="Arial" w:cs="Arial"/>
          <w:lang w:val="en-US"/>
        </w:rPr>
        <w:t xml:space="preserve"> sent the following note to the parties:</w:t>
      </w:r>
    </w:p>
    <w:p w14:paraId="002F06C3" w14:textId="0C9C14B5" w:rsidR="00C70CE0" w:rsidRPr="007A37E1" w:rsidRDefault="00C70CE0" w:rsidP="00A34D2F">
      <w:pPr>
        <w:spacing w:after="120" w:line="360" w:lineRule="auto"/>
        <w:jc w:val="both"/>
        <w:rPr>
          <w:rFonts w:ascii="Arial" w:hAnsi="Arial" w:cs="Arial"/>
          <w:sz w:val="22"/>
          <w:szCs w:val="22"/>
          <w:lang w:val="en-US"/>
        </w:rPr>
      </w:pPr>
      <w:r w:rsidRPr="007A37E1">
        <w:rPr>
          <w:rFonts w:ascii="Arial" w:hAnsi="Arial" w:cs="Arial"/>
          <w:sz w:val="22"/>
          <w:szCs w:val="22"/>
          <w:lang w:val="en-US"/>
        </w:rPr>
        <w:t>‘Th</w:t>
      </w:r>
      <w:r w:rsidR="00C6204C" w:rsidRPr="007A37E1">
        <w:rPr>
          <w:rFonts w:ascii="Arial" w:hAnsi="Arial" w:cs="Arial"/>
          <w:sz w:val="22"/>
          <w:szCs w:val="22"/>
          <w:lang w:val="en-US"/>
        </w:rPr>
        <w:t>is</w:t>
      </w:r>
      <w:r w:rsidRPr="007A37E1">
        <w:rPr>
          <w:rFonts w:ascii="Arial" w:hAnsi="Arial" w:cs="Arial"/>
          <w:sz w:val="22"/>
          <w:szCs w:val="22"/>
          <w:lang w:val="en-US"/>
        </w:rPr>
        <w:t xml:space="preserve"> Court’s previous directive, dated 8 April 2021, refers. The matter has been set down for hearing on 26 May 2021. As stated earlier, the appeal is scheduled to proceed on that date by </w:t>
      </w:r>
      <w:r w:rsidRPr="007A37E1">
        <w:rPr>
          <w:rFonts w:ascii="Arial" w:hAnsi="Arial" w:cs="Arial"/>
          <w:sz w:val="22"/>
          <w:szCs w:val="22"/>
          <w:lang w:val="en-US"/>
        </w:rPr>
        <w:lastRenderedPageBreak/>
        <w:t>way of a virtual hearing on a Microsoft Teams platform. A link will be provided to the parties and the amicus for participation in a virtual hearing. The grounds for objection to the appeal not being heard in person may be raised during the first part of the virtual hearing. That will include the question of whether there is any prejudice to the respondents and whether or to what extent any of their rights have been attenuated. As stated in the prior directive, heads of argument on this preliminary aspect may be filed in advance of the 26 May 2021.</w:t>
      </w:r>
    </w:p>
    <w:p w14:paraId="27230D6E" w14:textId="77777777" w:rsidR="00C70CE0" w:rsidRPr="007A37E1" w:rsidRDefault="00C70CE0" w:rsidP="00A34D2F">
      <w:pPr>
        <w:spacing w:after="120" w:line="360" w:lineRule="auto"/>
        <w:jc w:val="both"/>
        <w:rPr>
          <w:rFonts w:ascii="Arial" w:hAnsi="Arial" w:cs="Arial"/>
          <w:sz w:val="22"/>
          <w:szCs w:val="22"/>
          <w:lang w:val="en-US"/>
        </w:rPr>
      </w:pPr>
      <w:r w:rsidRPr="007A37E1">
        <w:rPr>
          <w:rFonts w:ascii="Arial" w:hAnsi="Arial" w:cs="Arial"/>
          <w:sz w:val="22"/>
          <w:szCs w:val="22"/>
          <w:lang w:val="en-US"/>
        </w:rPr>
        <w:t>The judges adjudicating the matter will, on the 26 May 2021 log in from locations remote from Bloemfontein.</w:t>
      </w:r>
    </w:p>
    <w:p w14:paraId="06C6FD59" w14:textId="77777777" w:rsidR="00C70CE0" w:rsidRPr="007A37E1" w:rsidRDefault="00C70CE0" w:rsidP="00A34D2F">
      <w:pPr>
        <w:spacing w:after="120" w:line="360" w:lineRule="auto"/>
        <w:jc w:val="both"/>
        <w:rPr>
          <w:rFonts w:ascii="Arial" w:hAnsi="Arial" w:cs="Arial"/>
          <w:sz w:val="22"/>
          <w:szCs w:val="22"/>
          <w:lang w:val="en-US"/>
        </w:rPr>
      </w:pPr>
      <w:r w:rsidRPr="007A37E1">
        <w:rPr>
          <w:rFonts w:ascii="Arial" w:hAnsi="Arial" w:cs="Arial"/>
          <w:sz w:val="22"/>
          <w:szCs w:val="22"/>
          <w:lang w:val="en-US"/>
        </w:rPr>
        <w:t>The media and members of the public may, as always, approach the Registrar to provide the link for access to the virtual hearing.</w:t>
      </w:r>
    </w:p>
    <w:p w14:paraId="1AF1ECAB" w14:textId="77777777" w:rsidR="00C70CE0" w:rsidRPr="007A37E1" w:rsidRDefault="00C70CE0" w:rsidP="00C70CE0">
      <w:pPr>
        <w:spacing w:line="360" w:lineRule="auto"/>
        <w:jc w:val="both"/>
        <w:rPr>
          <w:rFonts w:ascii="Arial" w:hAnsi="Arial" w:cs="Arial"/>
          <w:lang w:val="en-US"/>
        </w:rPr>
      </w:pPr>
      <w:r w:rsidRPr="007A37E1">
        <w:rPr>
          <w:rFonts w:ascii="Arial" w:hAnsi="Arial" w:cs="Arial"/>
          <w:sz w:val="22"/>
          <w:szCs w:val="22"/>
          <w:lang w:val="en-US"/>
        </w:rPr>
        <w:t xml:space="preserve">The registrar’s office requires the respondents’ last written communication, in response to the directive, which indicated that it was “sent electronically without a signature”, to be verified by way of a signed hard copy being sent to the court in Bloemfontein.’ </w:t>
      </w:r>
    </w:p>
    <w:p w14:paraId="4E110B7A" w14:textId="77777777" w:rsidR="00C70CE0" w:rsidRPr="007A37E1" w:rsidRDefault="00C70CE0" w:rsidP="00C70CE0">
      <w:pPr>
        <w:spacing w:line="360" w:lineRule="auto"/>
        <w:jc w:val="both"/>
        <w:rPr>
          <w:rFonts w:ascii="Arial" w:hAnsi="Arial" w:cs="Arial"/>
          <w:lang w:val="en-US"/>
        </w:rPr>
      </w:pPr>
    </w:p>
    <w:p w14:paraId="7EF2195D" w14:textId="04DBE635" w:rsidR="00C70CE0" w:rsidRPr="007A37E1" w:rsidRDefault="00C70CE0" w:rsidP="00C70CE0">
      <w:pPr>
        <w:spacing w:line="360" w:lineRule="auto"/>
        <w:jc w:val="both"/>
        <w:rPr>
          <w:rFonts w:ascii="Arial" w:hAnsi="Arial" w:cs="Arial"/>
          <w:lang w:val="en-US"/>
        </w:rPr>
      </w:pPr>
      <w:r w:rsidRPr="007A37E1">
        <w:rPr>
          <w:rFonts w:ascii="Arial" w:hAnsi="Arial" w:cs="Arial"/>
          <w:lang w:val="en-US"/>
        </w:rPr>
        <w:t>[</w:t>
      </w:r>
      <w:r w:rsidR="002858BC" w:rsidRPr="007A37E1">
        <w:rPr>
          <w:rFonts w:ascii="Arial" w:hAnsi="Arial" w:cs="Arial"/>
          <w:lang w:val="en-US"/>
        </w:rPr>
        <w:t>5</w:t>
      </w:r>
      <w:r w:rsidR="00904BAC" w:rsidRPr="007A37E1">
        <w:rPr>
          <w:rFonts w:ascii="Arial" w:hAnsi="Arial" w:cs="Arial"/>
          <w:lang w:val="en-US"/>
        </w:rPr>
        <w:t>2</w:t>
      </w:r>
      <w:r w:rsidRPr="007A37E1">
        <w:rPr>
          <w:rFonts w:ascii="Arial" w:hAnsi="Arial" w:cs="Arial"/>
          <w:lang w:val="en-US"/>
        </w:rPr>
        <w:t>]</w:t>
      </w:r>
      <w:r w:rsidRPr="007A37E1">
        <w:rPr>
          <w:rFonts w:ascii="Arial" w:hAnsi="Arial" w:cs="Arial"/>
          <w:lang w:val="en-US"/>
        </w:rPr>
        <w:tab/>
        <w:t xml:space="preserve">The appellant and CASAC were of the view, expressed in writing to the Registrar, that the </w:t>
      </w:r>
      <w:r w:rsidR="00021E5E" w:rsidRPr="007A37E1">
        <w:rPr>
          <w:rFonts w:ascii="Arial" w:hAnsi="Arial" w:cs="Arial"/>
          <w:lang w:val="en-US"/>
        </w:rPr>
        <w:t>r</w:t>
      </w:r>
      <w:r w:rsidRPr="007A37E1">
        <w:rPr>
          <w:rFonts w:ascii="Arial" w:hAnsi="Arial" w:cs="Arial"/>
          <w:lang w:val="en-US"/>
        </w:rPr>
        <w:t>espondents’ stan</w:t>
      </w:r>
      <w:r w:rsidR="00536F49" w:rsidRPr="007A37E1">
        <w:rPr>
          <w:rFonts w:ascii="Arial" w:hAnsi="Arial" w:cs="Arial"/>
          <w:lang w:val="en-US"/>
        </w:rPr>
        <w:t>ce on the appropriateness of a virtual hearing</w:t>
      </w:r>
      <w:r w:rsidRPr="007A37E1">
        <w:rPr>
          <w:rFonts w:ascii="Arial" w:hAnsi="Arial" w:cs="Arial"/>
          <w:lang w:val="en-US"/>
        </w:rPr>
        <w:t xml:space="preserve"> was without merit and expressed their regret at the remarks </w:t>
      </w:r>
      <w:r w:rsidR="009A1EA9" w:rsidRPr="007A37E1">
        <w:rPr>
          <w:rFonts w:ascii="Arial" w:hAnsi="Arial" w:cs="Arial"/>
          <w:lang w:val="en-US"/>
        </w:rPr>
        <w:t xml:space="preserve">made </w:t>
      </w:r>
      <w:r w:rsidRPr="007A37E1">
        <w:rPr>
          <w:rFonts w:ascii="Arial" w:hAnsi="Arial" w:cs="Arial"/>
          <w:lang w:val="en-US"/>
        </w:rPr>
        <w:t>concerning this Court. The communication on behalf of the Minister pointed to decisions of our courts confirming the legality of virtual hearings.</w:t>
      </w:r>
    </w:p>
    <w:p w14:paraId="607E6979" w14:textId="77777777" w:rsidR="00EB04CD" w:rsidRPr="007A37E1" w:rsidRDefault="00EB04CD" w:rsidP="00C70CE0">
      <w:pPr>
        <w:spacing w:line="360" w:lineRule="auto"/>
        <w:jc w:val="both"/>
        <w:rPr>
          <w:rFonts w:ascii="Arial" w:hAnsi="Arial" w:cs="Arial"/>
          <w:lang w:val="en-US"/>
        </w:rPr>
      </w:pPr>
    </w:p>
    <w:p w14:paraId="0267D697" w14:textId="6A620A66" w:rsidR="00C70CE0" w:rsidRPr="007A37E1" w:rsidRDefault="00C70CE0" w:rsidP="00C70CE0">
      <w:pPr>
        <w:spacing w:line="360" w:lineRule="auto"/>
        <w:jc w:val="both"/>
        <w:rPr>
          <w:rFonts w:ascii="Arial" w:hAnsi="Arial" w:cs="Arial"/>
          <w:lang w:val="en-US"/>
        </w:rPr>
      </w:pPr>
      <w:r w:rsidRPr="007A37E1">
        <w:rPr>
          <w:rFonts w:ascii="Arial" w:hAnsi="Arial" w:cs="Arial"/>
          <w:lang w:val="en-US"/>
        </w:rPr>
        <w:t>[</w:t>
      </w:r>
      <w:r w:rsidR="006307C9" w:rsidRPr="007A37E1">
        <w:rPr>
          <w:rFonts w:ascii="Arial" w:hAnsi="Arial" w:cs="Arial"/>
          <w:lang w:val="en-US"/>
        </w:rPr>
        <w:t>5</w:t>
      </w:r>
      <w:r w:rsidR="00904BAC" w:rsidRPr="007A37E1">
        <w:rPr>
          <w:rFonts w:ascii="Arial" w:hAnsi="Arial" w:cs="Arial"/>
          <w:lang w:val="en-US"/>
        </w:rPr>
        <w:t>3</w:t>
      </w:r>
      <w:r w:rsidRPr="007A37E1">
        <w:rPr>
          <w:rFonts w:ascii="Arial" w:hAnsi="Arial" w:cs="Arial"/>
          <w:lang w:val="en-US"/>
        </w:rPr>
        <w:t>]</w:t>
      </w:r>
      <w:r w:rsidRPr="007A37E1">
        <w:rPr>
          <w:rFonts w:ascii="Arial" w:hAnsi="Arial" w:cs="Arial"/>
          <w:lang w:val="en-US"/>
        </w:rPr>
        <w:tab/>
        <w:t>On 18 May 2021</w:t>
      </w:r>
      <w:r w:rsidR="00C82C26" w:rsidRPr="007A37E1">
        <w:rPr>
          <w:rFonts w:ascii="Arial" w:hAnsi="Arial" w:cs="Arial"/>
          <w:lang w:val="en-US"/>
        </w:rPr>
        <w:t>,</w:t>
      </w:r>
      <w:r w:rsidRPr="007A37E1">
        <w:rPr>
          <w:rFonts w:ascii="Arial" w:hAnsi="Arial" w:cs="Arial"/>
          <w:lang w:val="en-US"/>
        </w:rPr>
        <w:t xml:space="preserve"> the Respondents wrote to the Registrar as follows:</w:t>
      </w:r>
    </w:p>
    <w:p w14:paraId="64A0140D"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‘1.</w:t>
      </w:r>
      <w:r w:rsidRPr="007A37E1">
        <w:rPr>
          <w:rFonts w:ascii="Arial" w:hAnsi="Arial" w:cs="Arial"/>
          <w:sz w:val="22"/>
          <w:szCs w:val="22"/>
          <w:lang w:val="en-US"/>
        </w:rPr>
        <w:tab/>
        <w:t>Writer refers to your letter dated 5</w:t>
      </w:r>
      <w:r w:rsidRPr="007A37E1">
        <w:rPr>
          <w:rFonts w:ascii="Arial" w:hAnsi="Arial" w:cs="Arial"/>
          <w:sz w:val="22"/>
          <w:szCs w:val="22"/>
          <w:vertAlign w:val="superscript"/>
          <w:lang w:val="en-US"/>
        </w:rPr>
        <w:t>th</w:t>
      </w:r>
      <w:r w:rsidRPr="007A37E1">
        <w:rPr>
          <w:rFonts w:ascii="Arial" w:hAnsi="Arial" w:cs="Arial"/>
          <w:sz w:val="22"/>
          <w:szCs w:val="22"/>
          <w:lang w:val="en-US"/>
        </w:rPr>
        <w:t xml:space="preserve"> instant and apologises for the delayed response. Writer was in the field and had no access to a computer.</w:t>
      </w:r>
    </w:p>
    <w:p w14:paraId="6C2E3594"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2.</w:t>
      </w:r>
      <w:r w:rsidRPr="007A37E1">
        <w:rPr>
          <w:rFonts w:ascii="Arial" w:hAnsi="Arial" w:cs="Arial"/>
          <w:sz w:val="22"/>
          <w:szCs w:val="22"/>
          <w:lang w:val="en-US"/>
        </w:rPr>
        <w:tab/>
        <w:t>Where writer does not respond to any specific matter raised therein, it should not be construed as if the Respondents are in agreement with same and that such will be addressed at the relevant forum, if required.</w:t>
      </w:r>
    </w:p>
    <w:p w14:paraId="43CA4D1A"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3.</w:t>
      </w:r>
      <w:r w:rsidRPr="007A37E1">
        <w:rPr>
          <w:rFonts w:ascii="Arial" w:hAnsi="Arial" w:cs="Arial"/>
          <w:sz w:val="22"/>
          <w:szCs w:val="22"/>
          <w:lang w:val="en-US"/>
        </w:rPr>
        <w:tab/>
        <w:t>Writer notes that the Appellant misdirects the Court in respect of her claims in relation to the declaration of unconstitutionality and invalidity of the DMA Regulations.</w:t>
      </w:r>
    </w:p>
    <w:p w14:paraId="42FCAC4C" w14:textId="2559654A"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4.</w:t>
      </w:r>
      <w:r w:rsidRPr="007A37E1">
        <w:rPr>
          <w:rFonts w:ascii="Arial" w:hAnsi="Arial" w:cs="Arial"/>
          <w:sz w:val="22"/>
          <w:szCs w:val="22"/>
          <w:lang w:val="en-US"/>
        </w:rPr>
        <w:tab/>
        <w:t>The Appellant appears to have overlooked the fact that both Chapters 1 and 2 of the 29 April 2020 set of DMA Regulations</w:t>
      </w:r>
      <w:r w:rsidR="00E041A6" w:rsidRPr="007A37E1">
        <w:rPr>
          <w:rFonts w:ascii="Arial" w:hAnsi="Arial" w:cs="Arial"/>
          <w:sz w:val="22"/>
          <w:szCs w:val="22"/>
          <w:lang w:val="en-US"/>
        </w:rPr>
        <w:t>,</w:t>
      </w:r>
      <w:r w:rsidRPr="007A37E1">
        <w:rPr>
          <w:rFonts w:ascii="Arial" w:hAnsi="Arial" w:cs="Arial"/>
          <w:sz w:val="22"/>
          <w:szCs w:val="22"/>
          <w:lang w:val="en-US"/>
        </w:rPr>
        <w:t xml:space="preserve"> applicable during </w:t>
      </w:r>
      <w:r w:rsidRPr="007A37E1">
        <w:rPr>
          <w:rFonts w:ascii="Arial" w:hAnsi="Arial" w:cs="Arial"/>
          <w:sz w:val="22"/>
          <w:szCs w:val="22"/>
          <w:u w:val="single"/>
          <w:lang w:val="en-US"/>
        </w:rPr>
        <w:t>all</w:t>
      </w:r>
      <w:r w:rsidRPr="007A37E1">
        <w:rPr>
          <w:rFonts w:ascii="Arial" w:hAnsi="Arial" w:cs="Arial"/>
          <w:sz w:val="22"/>
          <w:szCs w:val="22"/>
          <w:lang w:val="en-US"/>
        </w:rPr>
        <w:t xml:space="preserve"> levels, were before the Court </w:t>
      </w:r>
      <w:r w:rsidRPr="007A37E1">
        <w:rPr>
          <w:rFonts w:ascii="Arial" w:hAnsi="Arial" w:cs="Arial"/>
          <w:i/>
          <w:sz w:val="22"/>
          <w:szCs w:val="22"/>
          <w:lang w:val="en-US"/>
        </w:rPr>
        <w:t>a quo</w:t>
      </w:r>
      <w:r w:rsidRPr="007A37E1">
        <w:rPr>
          <w:rFonts w:ascii="Arial" w:hAnsi="Arial" w:cs="Arial"/>
          <w:sz w:val="22"/>
          <w:szCs w:val="22"/>
          <w:lang w:val="en-US"/>
        </w:rPr>
        <w:t xml:space="preserve"> which specifically dealt with all the COVID-19 measures. Relying on the previously cited </w:t>
      </w:r>
      <w:r w:rsidRPr="007A37E1">
        <w:rPr>
          <w:rFonts w:ascii="Arial" w:hAnsi="Arial" w:cs="Arial"/>
          <w:i/>
          <w:sz w:val="22"/>
          <w:szCs w:val="22"/>
          <w:lang w:val="en-US"/>
        </w:rPr>
        <w:t xml:space="preserve">New Clicks </w:t>
      </w:r>
      <w:r w:rsidRPr="007A37E1">
        <w:rPr>
          <w:rFonts w:ascii="Arial" w:hAnsi="Arial" w:cs="Arial"/>
          <w:sz w:val="22"/>
          <w:szCs w:val="22"/>
          <w:lang w:val="en-US"/>
        </w:rPr>
        <w:t>Const</w:t>
      </w:r>
      <w:r w:rsidR="00970F55" w:rsidRPr="007A37E1">
        <w:rPr>
          <w:rFonts w:ascii="Arial" w:hAnsi="Arial" w:cs="Arial"/>
          <w:sz w:val="22"/>
          <w:szCs w:val="22"/>
          <w:lang w:val="en-US"/>
        </w:rPr>
        <w:t xml:space="preserve">itutional Court case where Adv. </w:t>
      </w:r>
      <w:r w:rsidRPr="007A37E1">
        <w:rPr>
          <w:rFonts w:ascii="Arial" w:hAnsi="Arial" w:cs="Arial"/>
          <w:sz w:val="22"/>
          <w:szCs w:val="22"/>
          <w:lang w:val="en-US"/>
        </w:rPr>
        <w:t xml:space="preserve">Trengove SC, here appearing for the </w:t>
      </w:r>
      <w:r w:rsidRPr="007A37E1">
        <w:rPr>
          <w:rFonts w:ascii="Arial" w:hAnsi="Arial" w:cs="Arial"/>
          <w:sz w:val="22"/>
          <w:szCs w:val="22"/>
          <w:lang w:val="en-US"/>
        </w:rPr>
        <w:lastRenderedPageBreak/>
        <w:t>Appellant,</w:t>
      </w:r>
      <w:r w:rsidR="00A34D2F" w:rsidRPr="007A37E1">
        <w:rPr>
          <w:rFonts w:ascii="Arial" w:hAnsi="Arial" w:cs="Arial"/>
          <w:sz w:val="22"/>
          <w:szCs w:val="22"/>
          <w:lang w:val="en-US"/>
        </w:rPr>
        <w:t xml:space="preserve"> </w:t>
      </w:r>
      <w:r w:rsidRPr="007A37E1">
        <w:rPr>
          <w:rFonts w:ascii="Arial" w:hAnsi="Arial" w:cs="Arial"/>
          <w:sz w:val="22"/>
          <w:szCs w:val="22"/>
          <w:lang w:val="en-US"/>
        </w:rPr>
        <w:t>led the argument and should thus be very well aware of the fact that the DMA Regulations have become null and void since 24 June 2020. Without the DMA regulations in place, however, which question is before this Court here, this Court has no basis to even consider so-called virtual “court” hearings.</w:t>
      </w:r>
    </w:p>
    <w:p w14:paraId="726AAEE1"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5.</w:t>
      </w:r>
      <w:r w:rsidRPr="007A37E1">
        <w:rPr>
          <w:rFonts w:ascii="Arial" w:hAnsi="Arial" w:cs="Arial"/>
          <w:sz w:val="22"/>
          <w:szCs w:val="22"/>
          <w:lang w:val="en-US"/>
        </w:rPr>
        <w:tab/>
        <w:t xml:space="preserve">If, nevertheless, the Appellant wished to rely on her argument that the 2 June 2020 Court order was suspended pending the outcome of the appeal, in contradiction to the </w:t>
      </w:r>
      <w:r w:rsidRPr="007A37E1">
        <w:rPr>
          <w:rFonts w:ascii="Arial" w:hAnsi="Arial" w:cs="Arial"/>
          <w:i/>
          <w:sz w:val="22"/>
          <w:szCs w:val="22"/>
          <w:lang w:val="en-US"/>
        </w:rPr>
        <w:t>New Clicks</w:t>
      </w:r>
      <w:r w:rsidRPr="007A37E1">
        <w:rPr>
          <w:rFonts w:ascii="Arial" w:hAnsi="Arial" w:cs="Arial"/>
          <w:sz w:val="22"/>
          <w:szCs w:val="22"/>
          <w:lang w:val="en-US"/>
        </w:rPr>
        <w:t xml:space="preserve"> judgment, she would have been obliged to approach the Court for a declaratory order in that respect. In absence of such order, the Respondents are well within their rights to rely on the full extent of the 2 June 2020 Court order.</w:t>
      </w:r>
    </w:p>
    <w:p w14:paraId="01C3F4B0" w14:textId="001D9532"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6.</w:t>
      </w:r>
      <w:r w:rsidRPr="007A37E1">
        <w:rPr>
          <w:rFonts w:ascii="Arial" w:hAnsi="Arial" w:cs="Arial"/>
          <w:sz w:val="22"/>
          <w:szCs w:val="22"/>
          <w:lang w:val="en-US"/>
        </w:rPr>
        <w:tab/>
        <w:t>The inference to be draw</w:t>
      </w:r>
      <w:r w:rsidR="004446B5" w:rsidRPr="007A37E1">
        <w:rPr>
          <w:rFonts w:ascii="Arial" w:hAnsi="Arial" w:cs="Arial"/>
          <w:sz w:val="22"/>
          <w:szCs w:val="22"/>
          <w:lang w:val="en-US"/>
        </w:rPr>
        <w:t>n</w:t>
      </w:r>
      <w:r w:rsidRPr="007A37E1">
        <w:rPr>
          <w:rFonts w:ascii="Arial" w:hAnsi="Arial" w:cs="Arial"/>
          <w:sz w:val="22"/>
          <w:szCs w:val="22"/>
          <w:lang w:val="en-US"/>
        </w:rPr>
        <w:t xml:space="preserve"> is that the Appellant has been, either way, enforcing unlawful regulations as of 24 June 2020.</w:t>
      </w:r>
    </w:p>
    <w:p w14:paraId="558EBCA8" w14:textId="254FA17A"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7.</w:t>
      </w:r>
      <w:r w:rsidRPr="007A37E1">
        <w:rPr>
          <w:rFonts w:ascii="Arial" w:hAnsi="Arial" w:cs="Arial"/>
          <w:sz w:val="22"/>
          <w:szCs w:val="22"/>
          <w:lang w:val="en-US"/>
        </w:rPr>
        <w:tab/>
        <w:t xml:space="preserve">Further, if this Court should continue trying to enforce a virtual “Court” hearing onto the Respondents, in the clear absence of any lawful measure in place which could justify such a special deviation, same would confirm that this Court has become a body, dependent on legislative and executive powers and decisions. This would not only be a grave violation of the Doctrine of Separation of Powers, it would further, by the same token, confirm that this </w:t>
      </w:r>
      <w:r w:rsidR="00D74C6B" w:rsidRPr="007A37E1">
        <w:rPr>
          <w:rFonts w:ascii="Arial" w:hAnsi="Arial" w:cs="Arial"/>
          <w:sz w:val="22"/>
          <w:szCs w:val="22"/>
          <w:lang w:val="en-US"/>
        </w:rPr>
        <w:t>C</w:t>
      </w:r>
      <w:r w:rsidRPr="007A37E1">
        <w:rPr>
          <w:rFonts w:ascii="Arial" w:hAnsi="Arial" w:cs="Arial"/>
          <w:sz w:val="22"/>
          <w:szCs w:val="22"/>
          <w:lang w:val="en-US"/>
        </w:rPr>
        <w:t>ourt lacks the jurisdiction to adjudicate this matter any further.</w:t>
      </w:r>
    </w:p>
    <w:p w14:paraId="5FE86621"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8.</w:t>
      </w:r>
      <w:r w:rsidRPr="007A37E1">
        <w:rPr>
          <w:rFonts w:ascii="Arial" w:hAnsi="Arial" w:cs="Arial"/>
          <w:sz w:val="22"/>
          <w:szCs w:val="22"/>
          <w:lang w:val="en-US"/>
        </w:rPr>
        <w:tab/>
        <w:t>In light of the above, the Respondents herewith request the Court to proceed hearing the appeal as set down for an open hearing in Court A on Wednesday, 26 May 2021.</w:t>
      </w:r>
    </w:p>
    <w:p w14:paraId="71A2DC72"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9.</w:t>
      </w:r>
      <w:r w:rsidRPr="007A37E1">
        <w:rPr>
          <w:rFonts w:ascii="Arial" w:hAnsi="Arial" w:cs="Arial"/>
          <w:sz w:val="22"/>
          <w:szCs w:val="22"/>
          <w:lang w:val="en-US"/>
        </w:rPr>
        <w:tab/>
        <w:t xml:space="preserve">Respectfully, please be reminded, Madam, that in letters addressed to SCA Madam Justice President Maya, dated 4 November 2020 and again 13 November 2020, the Respondents clearly outlined that, in their view, a need existed to urgently address the points </w:t>
      </w:r>
      <w:r w:rsidRPr="007A37E1">
        <w:rPr>
          <w:rFonts w:ascii="Arial" w:hAnsi="Arial" w:cs="Arial"/>
          <w:i/>
          <w:sz w:val="22"/>
          <w:szCs w:val="22"/>
          <w:lang w:val="en-US"/>
        </w:rPr>
        <w:t>in limine</w:t>
      </w:r>
      <w:r w:rsidRPr="007A37E1">
        <w:rPr>
          <w:rFonts w:ascii="Arial" w:hAnsi="Arial" w:cs="Arial"/>
          <w:sz w:val="22"/>
          <w:szCs w:val="22"/>
          <w:lang w:val="en-US"/>
        </w:rPr>
        <w:t xml:space="preserve"> which have at present become a burning issue. Both letters did not receive any response from Maya P. On the eve of the hearing, the parties are now forced to attend to matters which could have been adjudicated several months ago – if the Respondents had been respected enough to have received any form of response. For your convenience, these letters together with the letter by the State Attorney for the Appellant in connection thereto, are transmitted with this letter. (See Annexures “A” to “C”).</w:t>
      </w:r>
    </w:p>
    <w:p w14:paraId="0FF0072A"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10.</w:t>
      </w:r>
      <w:r w:rsidRPr="007A37E1">
        <w:rPr>
          <w:rFonts w:ascii="Arial" w:hAnsi="Arial" w:cs="Arial"/>
          <w:sz w:val="22"/>
          <w:szCs w:val="22"/>
          <w:lang w:val="en-US"/>
        </w:rPr>
        <w:tab/>
        <w:t xml:space="preserve">From your letter under response it further does not appear who directed the virtual “Court” hearing. It does, however, appear as if such a directive was given by you, as the Chief Registrar. If that was indeed the case the Respondents would like to respectfully further remind you, Madam, that Section 32 of the Superior Courts Act, specifically states that all </w:t>
      </w:r>
      <w:r w:rsidRPr="007A37E1">
        <w:rPr>
          <w:rFonts w:ascii="Arial" w:hAnsi="Arial" w:cs="Arial"/>
          <w:sz w:val="22"/>
          <w:szCs w:val="22"/>
          <w:lang w:val="en-US"/>
        </w:rPr>
        <w:lastRenderedPageBreak/>
        <w:t>hearings must take place in open court unless the Court (sitting with the appropriate presiding officers) and in special cases only, directs otherwise.</w:t>
      </w:r>
    </w:p>
    <w:p w14:paraId="064F9294" w14:textId="37FC280F" w:rsidR="00C70CE0" w:rsidRPr="007A37E1" w:rsidRDefault="00C70CE0" w:rsidP="00A34D2F">
      <w:pPr>
        <w:tabs>
          <w:tab w:val="left" w:pos="567"/>
        </w:tabs>
        <w:spacing w:after="120" w:line="360" w:lineRule="auto"/>
        <w:ind w:left="567" w:hanging="567"/>
        <w:jc w:val="both"/>
        <w:rPr>
          <w:rFonts w:ascii="Arial" w:hAnsi="Arial" w:cs="Arial"/>
          <w:i/>
          <w:sz w:val="22"/>
          <w:szCs w:val="22"/>
          <w:lang w:val="en-US"/>
        </w:rPr>
      </w:pPr>
      <w:r w:rsidRPr="007A37E1">
        <w:rPr>
          <w:rFonts w:ascii="Arial" w:hAnsi="Arial" w:cs="Arial"/>
          <w:sz w:val="22"/>
          <w:szCs w:val="22"/>
          <w:lang w:val="en-US"/>
        </w:rPr>
        <w:t>11.</w:t>
      </w:r>
      <w:r w:rsidRPr="007A37E1">
        <w:rPr>
          <w:rFonts w:ascii="Arial" w:hAnsi="Arial" w:cs="Arial"/>
          <w:sz w:val="22"/>
          <w:szCs w:val="22"/>
          <w:lang w:val="en-US"/>
        </w:rPr>
        <w:tab/>
        <w:t xml:space="preserve">The letter under reference also indicates that the judges are supposed to log in from </w:t>
      </w:r>
      <w:r w:rsidRPr="007A37E1">
        <w:rPr>
          <w:rFonts w:ascii="Arial" w:hAnsi="Arial" w:cs="Arial"/>
          <w:sz w:val="22"/>
          <w:szCs w:val="22"/>
          <w:u w:val="single"/>
          <w:lang w:val="en-US"/>
        </w:rPr>
        <w:t>remote</w:t>
      </w:r>
      <w:r w:rsidRPr="007A37E1">
        <w:rPr>
          <w:rFonts w:ascii="Arial" w:hAnsi="Arial" w:cs="Arial"/>
          <w:sz w:val="22"/>
          <w:szCs w:val="22"/>
          <w:lang w:val="en-US"/>
        </w:rPr>
        <w:t xml:space="preserve"> locations, in plural. The immediate question is what would be those various venues and locations of the Court and which of them is going to hear the matter? Will it still be regarded as the SCA seated at Bloemfontein or may it be a new cybernetic SCA practically seated at one or more simulated Courthouses in various simulated Bloemfonteins? In absence of either a venue or location, the Respondents contest that the “remote” judges have the required authority to, for example, hold anyone of the parties in contempt of court if such need arises. Unless, of course, such holding would be as virtual as the contempt itself and the convicted party would receive a virtual sentence, to be served in either some form of virtual confinement or be paid by virtual money. Which would, in actual fact, not even reach the level of trying to settle by, say, toy money, as same at least does physically exist. For your convenience and purely demonstrative purposes, the Respondents have attached a copy of a 100 Monopoly-Dollar note as Annexure “</w:t>
      </w:r>
      <w:r w:rsidRPr="007A37E1">
        <w:rPr>
          <w:rFonts w:ascii="Arial" w:hAnsi="Arial" w:cs="Arial"/>
          <w:b/>
          <w:sz w:val="22"/>
          <w:szCs w:val="22"/>
          <w:lang w:val="en-US"/>
        </w:rPr>
        <w:t>D</w:t>
      </w:r>
      <w:r w:rsidRPr="007A37E1">
        <w:rPr>
          <w:rFonts w:ascii="Arial" w:hAnsi="Arial" w:cs="Arial"/>
          <w:sz w:val="22"/>
          <w:szCs w:val="22"/>
          <w:lang w:val="en-US"/>
        </w:rPr>
        <w:t xml:space="preserve">”. In difference to a virtual fine, a virtual court or even a virtual judge, same can be actually looked at, can physically be touched and examined and can, for instance, be turned around as, in reality, it actually does exist; albeit without much real value. </w:t>
      </w:r>
      <w:r w:rsidRPr="007A37E1">
        <w:rPr>
          <w:rFonts w:ascii="Arial" w:hAnsi="Arial" w:cs="Arial"/>
          <w:i/>
          <w:sz w:val="22"/>
          <w:szCs w:val="22"/>
          <w:lang w:val="en-US"/>
        </w:rPr>
        <w:t>On a personal level, the Respondents invite you, Madam, to try to switch on a real virtual Court room. You are welcome to report the results to the Respondents, if you wish; in particular if the light went on in reality, on imaginary level or not at all.</w:t>
      </w:r>
    </w:p>
    <w:p w14:paraId="35B6F3B6"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12.</w:t>
      </w:r>
      <w:r w:rsidRPr="007A37E1">
        <w:rPr>
          <w:rFonts w:ascii="Arial" w:hAnsi="Arial" w:cs="Arial"/>
          <w:sz w:val="22"/>
          <w:szCs w:val="22"/>
          <w:lang w:val="en-US"/>
        </w:rPr>
        <w:tab/>
        <w:t>Virtual “court” hearings, in fact, have made a mockery of our judiciary while the Appellant knowingly had been enforcing invalid COVID-19 measures against our people, and even our Court, for the past 11 months.</w:t>
      </w:r>
    </w:p>
    <w:p w14:paraId="46B04C95" w14:textId="7CF3AC2D" w:rsidR="00C70CE0" w:rsidRPr="007A37E1" w:rsidRDefault="00C70CE0" w:rsidP="00A34D2F">
      <w:pPr>
        <w:tabs>
          <w:tab w:val="left" w:pos="567"/>
        </w:tabs>
        <w:spacing w:after="120" w:line="360" w:lineRule="auto"/>
        <w:ind w:left="567" w:hanging="567"/>
        <w:jc w:val="both"/>
        <w:rPr>
          <w:rFonts w:ascii="Arial" w:hAnsi="Arial" w:cs="Arial"/>
          <w:i/>
          <w:sz w:val="22"/>
          <w:szCs w:val="22"/>
          <w:lang w:val="en-US"/>
        </w:rPr>
      </w:pPr>
      <w:r w:rsidRPr="007A37E1">
        <w:rPr>
          <w:rFonts w:ascii="Arial" w:hAnsi="Arial" w:cs="Arial"/>
          <w:sz w:val="22"/>
          <w:szCs w:val="22"/>
          <w:lang w:val="en-US"/>
        </w:rPr>
        <w:t>13.</w:t>
      </w:r>
      <w:r w:rsidRPr="007A37E1">
        <w:rPr>
          <w:rFonts w:ascii="Arial" w:hAnsi="Arial" w:cs="Arial"/>
          <w:sz w:val="22"/>
          <w:szCs w:val="22"/>
          <w:lang w:val="en-US"/>
        </w:rPr>
        <w:tab/>
        <w:t xml:space="preserve">The Respondents are not aware of any existing law or regulation which would force them into accepting a virtual “Court” hearing, neither by the Appellant herself nor the Rules Board in terms of Section 30 of the Act. </w:t>
      </w:r>
      <w:r w:rsidRPr="007A37E1">
        <w:rPr>
          <w:rFonts w:ascii="Arial" w:hAnsi="Arial" w:cs="Arial"/>
          <w:i/>
          <w:sz w:val="22"/>
          <w:szCs w:val="22"/>
          <w:lang w:val="en-US"/>
        </w:rPr>
        <w:t>It appears as if virtual “Court” hearings have merely been made as a tool of authoritarian convenience, for reasons possibly known</w:t>
      </w:r>
      <w:r w:rsidR="001B6431" w:rsidRPr="007A37E1">
        <w:rPr>
          <w:rFonts w:ascii="Arial" w:hAnsi="Arial" w:cs="Arial"/>
          <w:i/>
          <w:sz w:val="22"/>
          <w:szCs w:val="22"/>
          <w:lang w:val="en-US"/>
        </w:rPr>
        <w:t xml:space="preserve"> </w:t>
      </w:r>
      <w:r w:rsidRPr="007A37E1">
        <w:rPr>
          <w:rFonts w:ascii="Arial" w:hAnsi="Arial" w:cs="Arial"/>
          <w:i/>
          <w:sz w:val="22"/>
          <w:szCs w:val="22"/>
          <w:lang w:val="en-US"/>
        </w:rPr>
        <w:t>to the legal fraternity as, in the view of the Respondents, virtual “Courts” emphasize a monopoly by some – privileged – over our Courts, at the cost of the unprivileged masses of our people.</w:t>
      </w:r>
    </w:p>
    <w:p w14:paraId="7476C432"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14.</w:t>
      </w:r>
      <w:r w:rsidRPr="007A37E1">
        <w:rPr>
          <w:rFonts w:ascii="Arial" w:hAnsi="Arial" w:cs="Arial"/>
          <w:sz w:val="22"/>
          <w:szCs w:val="22"/>
          <w:lang w:val="en-US"/>
        </w:rPr>
        <w:tab/>
        <w:t xml:space="preserve">The decision to have a virtual “Court” hearing under these very unique circumstances applicable in this matter, is not just a simple procedural dispute which could perhaps be addressed in an informal way. If the Court and other parties are adamant to proceed </w:t>
      </w:r>
      <w:r w:rsidRPr="007A37E1">
        <w:rPr>
          <w:rFonts w:ascii="Arial" w:hAnsi="Arial" w:cs="Arial"/>
          <w:sz w:val="22"/>
          <w:szCs w:val="22"/>
          <w:lang w:val="en-US"/>
        </w:rPr>
        <w:lastRenderedPageBreak/>
        <w:t xml:space="preserve">virtually, in deviating from the prescribed laws and against the consent of the Respondents, such would require a proper application supported by affidavits to be lodged by the Appellant and </w:t>
      </w:r>
      <w:r w:rsidRPr="007A37E1">
        <w:rPr>
          <w:rFonts w:ascii="Arial" w:hAnsi="Arial" w:cs="Arial"/>
          <w:i/>
          <w:sz w:val="22"/>
          <w:szCs w:val="22"/>
          <w:lang w:val="en-US"/>
        </w:rPr>
        <w:t>Amicus Curiae</w:t>
      </w:r>
      <w:r w:rsidRPr="007A37E1">
        <w:rPr>
          <w:rFonts w:ascii="Arial" w:hAnsi="Arial" w:cs="Arial"/>
          <w:sz w:val="22"/>
          <w:szCs w:val="22"/>
          <w:lang w:val="en-US"/>
        </w:rPr>
        <w:t>. The Respondents are in support of the neutral position – which is an open court hearing, as prescribed. This Court is obliged to accept this norm in absence of the other parties formally lodging such an application in terms of Rule 12 read with Rule 11(1)(b) of the Rules.</w:t>
      </w:r>
    </w:p>
    <w:p w14:paraId="0B51AABA" w14:textId="4F8DEFAF"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15.</w:t>
      </w:r>
      <w:r w:rsidRPr="007A37E1">
        <w:rPr>
          <w:rFonts w:ascii="Arial" w:hAnsi="Arial" w:cs="Arial"/>
          <w:sz w:val="22"/>
          <w:szCs w:val="22"/>
          <w:lang w:val="en-US"/>
        </w:rPr>
        <w:tab/>
        <w:t>The A</w:t>
      </w:r>
      <w:r w:rsidR="00536F49" w:rsidRPr="007A37E1">
        <w:rPr>
          <w:rFonts w:ascii="Arial" w:hAnsi="Arial" w:cs="Arial"/>
          <w:sz w:val="22"/>
          <w:szCs w:val="22"/>
          <w:lang w:val="en-US"/>
        </w:rPr>
        <w:t>p</w:t>
      </w:r>
      <w:r w:rsidRPr="007A37E1">
        <w:rPr>
          <w:rFonts w:ascii="Arial" w:hAnsi="Arial" w:cs="Arial"/>
          <w:sz w:val="22"/>
          <w:szCs w:val="22"/>
          <w:lang w:val="en-US"/>
        </w:rPr>
        <w:t>pellant has made extensive reference to the High Court cases where those judges concerned ruled in support of holding virtual hearings. However, in none of those, the Courts considered that the order in case number 21542/2020 had come into operation on 24 June 2020, making all those rigid measures obsolete.</w:t>
      </w:r>
    </w:p>
    <w:p w14:paraId="570F5F16" w14:textId="77777777" w:rsidR="00C70CE0" w:rsidRPr="007A37E1" w:rsidRDefault="00C70CE0" w:rsidP="00A34D2F">
      <w:pPr>
        <w:tabs>
          <w:tab w:val="left" w:pos="567"/>
        </w:tabs>
        <w:spacing w:after="120" w:line="360" w:lineRule="auto"/>
        <w:ind w:left="567" w:hanging="567"/>
        <w:jc w:val="both"/>
        <w:rPr>
          <w:rFonts w:ascii="Arial" w:hAnsi="Arial" w:cs="Arial"/>
          <w:b/>
          <w:sz w:val="22"/>
          <w:szCs w:val="22"/>
          <w:lang w:val="en-US"/>
        </w:rPr>
      </w:pPr>
      <w:r w:rsidRPr="007A37E1">
        <w:rPr>
          <w:rFonts w:ascii="Arial" w:hAnsi="Arial" w:cs="Arial"/>
          <w:b/>
          <w:sz w:val="22"/>
          <w:szCs w:val="22"/>
          <w:lang w:val="en-US"/>
        </w:rPr>
        <w:t>16.</w:t>
      </w:r>
      <w:r w:rsidRPr="007A37E1">
        <w:rPr>
          <w:rFonts w:ascii="Arial" w:hAnsi="Arial" w:cs="Arial"/>
          <w:b/>
          <w:sz w:val="22"/>
          <w:szCs w:val="22"/>
          <w:lang w:val="en-US"/>
        </w:rPr>
        <w:tab/>
        <w:t>In the event that the directive was made by you Madam, in terms of Rule 4(4) of the SCA Rules the Respondents kindly request you to urgently refer your decision to a judge as prescribed.</w:t>
      </w:r>
    </w:p>
    <w:p w14:paraId="03BFADB5" w14:textId="77777777" w:rsidR="00C70CE0" w:rsidRPr="007A37E1" w:rsidRDefault="00C70CE0" w:rsidP="00A34D2F">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b/>
          <w:sz w:val="22"/>
          <w:szCs w:val="22"/>
          <w:lang w:val="en-US"/>
        </w:rPr>
        <w:t>17.</w:t>
      </w:r>
      <w:r w:rsidRPr="007A37E1">
        <w:rPr>
          <w:rFonts w:ascii="Arial" w:hAnsi="Arial" w:cs="Arial"/>
          <w:b/>
          <w:sz w:val="22"/>
          <w:szCs w:val="22"/>
          <w:lang w:val="en-US"/>
        </w:rPr>
        <w:tab/>
        <w:t>If such claimed directive by the SCA was given by one or more SCA judges, the Respondents would further kindly require the names of those judges and when, where and how such directive was made as a matter of urgency</w:t>
      </w:r>
      <w:r w:rsidRPr="007A37E1">
        <w:rPr>
          <w:rFonts w:ascii="Arial" w:hAnsi="Arial" w:cs="Arial"/>
          <w:sz w:val="22"/>
          <w:szCs w:val="22"/>
          <w:lang w:val="en-US"/>
        </w:rPr>
        <w:t>.</w:t>
      </w:r>
    </w:p>
    <w:p w14:paraId="6B779CA4" w14:textId="77777777" w:rsidR="00C70CE0" w:rsidRPr="007A37E1" w:rsidRDefault="00C70CE0" w:rsidP="00A34D2F">
      <w:pPr>
        <w:tabs>
          <w:tab w:val="left" w:pos="567"/>
        </w:tabs>
        <w:spacing w:after="120" w:line="360" w:lineRule="auto"/>
        <w:ind w:left="567" w:hanging="567"/>
        <w:jc w:val="both"/>
        <w:rPr>
          <w:rFonts w:ascii="Arial" w:hAnsi="Arial" w:cs="Arial"/>
          <w:i/>
          <w:sz w:val="22"/>
          <w:szCs w:val="22"/>
          <w:lang w:val="en-US"/>
        </w:rPr>
      </w:pPr>
      <w:r w:rsidRPr="007A37E1">
        <w:rPr>
          <w:rFonts w:ascii="Arial" w:hAnsi="Arial" w:cs="Arial"/>
          <w:sz w:val="22"/>
          <w:szCs w:val="22"/>
          <w:lang w:val="en-US"/>
        </w:rPr>
        <w:t>18.</w:t>
      </w:r>
      <w:r w:rsidRPr="007A37E1">
        <w:rPr>
          <w:rFonts w:ascii="Arial" w:hAnsi="Arial" w:cs="Arial"/>
          <w:sz w:val="22"/>
          <w:szCs w:val="22"/>
          <w:lang w:val="en-US"/>
        </w:rPr>
        <w:tab/>
      </w:r>
      <w:r w:rsidRPr="007A37E1">
        <w:rPr>
          <w:rFonts w:ascii="Arial" w:hAnsi="Arial" w:cs="Arial"/>
          <w:i/>
          <w:sz w:val="22"/>
          <w:szCs w:val="22"/>
          <w:lang w:val="en-US"/>
        </w:rPr>
        <w:t>The Respondents will remain with their commitment and right to appeal in an open hearing in Court A on Wednesday, 26 May 2021 without having to comply with any of the Chapter 2 declared unconstitutional and invalid measures.</w:t>
      </w:r>
    </w:p>
    <w:p w14:paraId="66C14001" w14:textId="64F5B8CA" w:rsidR="00C70CE0" w:rsidRPr="007A37E1" w:rsidRDefault="00C70CE0" w:rsidP="005339CF">
      <w:pPr>
        <w:tabs>
          <w:tab w:val="left" w:pos="567"/>
        </w:tabs>
        <w:spacing w:line="360" w:lineRule="auto"/>
        <w:ind w:left="567" w:hanging="567"/>
        <w:jc w:val="both"/>
        <w:rPr>
          <w:rFonts w:ascii="Arial" w:hAnsi="Arial" w:cs="Arial"/>
          <w:lang w:val="en-US"/>
        </w:rPr>
      </w:pPr>
      <w:r w:rsidRPr="007A37E1">
        <w:rPr>
          <w:rFonts w:ascii="Arial" w:hAnsi="Arial" w:cs="Arial"/>
          <w:sz w:val="22"/>
          <w:szCs w:val="22"/>
          <w:lang w:val="en-US"/>
        </w:rPr>
        <w:t>19.</w:t>
      </w:r>
      <w:r w:rsidRPr="007A37E1">
        <w:rPr>
          <w:rFonts w:ascii="Arial" w:hAnsi="Arial" w:cs="Arial"/>
          <w:sz w:val="22"/>
          <w:szCs w:val="22"/>
          <w:lang w:val="en-US"/>
        </w:rPr>
        <w:tab/>
        <w:t xml:space="preserve">Our rights remain reserved </w:t>
      </w:r>
      <w:r w:rsidRPr="007A37E1">
        <w:rPr>
          <w:rFonts w:ascii="Arial" w:hAnsi="Arial" w:cs="Arial"/>
          <w:i/>
          <w:sz w:val="22"/>
          <w:szCs w:val="22"/>
          <w:lang w:val="en-US"/>
        </w:rPr>
        <w:t>in toto</w:t>
      </w:r>
      <w:r w:rsidRPr="007A37E1">
        <w:rPr>
          <w:rFonts w:ascii="Arial" w:hAnsi="Arial" w:cs="Arial"/>
          <w:sz w:val="22"/>
          <w:szCs w:val="22"/>
          <w:lang w:val="en-US"/>
        </w:rPr>
        <w:t>.</w:t>
      </w:r>
      <w:r w:rsidR="00CF4DA4" w:rsidRPr="007A37E1">
        <w:rPr>
          <w:rFonts w:ascii="Arial" w:hAnsi="Arial" w:cs="Arial"/>
          <w:sz w:val="22"/>
          <w:szCs w:val="22"/>
          <w:lang w:val="en-US"/>
        </w:rPr>
        <w:t xml:space="preserve"> (</w:t>
      </w:r>
      <w:r w:rsidR="00A9447F" w:rsidRPr="007A37E1">
        <w:rPr>
          <w:rFonts w:ascii="Arial" w:hAnsi="Arial" w:cs="Arial"/>
          <w:sz w:val="22"/>
          <w:szCs w:val="22"/>
          <w:lang w:val="en-US"/>
        </w:rPr>
        <w:t xml:space="preserve">Italicised for </w:t>
      </w:r>
      <w:r w:rsidR="00CF4DA4" w:rsidRPr="007A37E1">
        <w:rPr>
          <w:rFonts w:ascii="Arial" w:hAnsi="Arial" w:cs="Arial"/>
          <w:sz w:val="22"/>
          <w:szCs w:val="22"/>
          <w:lang w:val="en-US"/>
        </w:rPr>
        <w:t>emphasis.</w:t>
      </w:r>
      <w:r w:rsidR="007867CC" w:rsidRPr="007A37E1">
        <w:rPr>
          <w:rFonts w:ascii="Arial" w:hAnsi="Arial" w:cs="Arial"/>
          <w:sz w:val="22"/>
          <w:szCs w:val="22"/>
          <w:lang w:val="en-US"/>
        </w:rPr>
        <w:t xml:space="preserve"> </w:t>
      </w:r>
      <w:r w:rsidR="00905726" w:rsidRPr="007A37E1">
        <w:rPr>
          <w:rFonts w:ascii="Arial" w:hAnsi="Arial" w:cs="Arial"/>
          <w:sz w:val="22"/>
          <w:szCs w:val="22"/>
          <w:lang w:val="en-US"/>
        </w:rPr>
        <w:t>The parts in bold were in</w:t>
      </w:r>
      <w:r w:rsidR="000909AA" w:rsidRPr="007A37E1">
        <w:rPr>
          <w:rFonts w:ascii="Arial" w:hAnsi="Arial" w:cs="Arial"/>
          <w:sz w:val="22"/>
          <w:szCs w:val="22"/>
          <w:lang w:val="en-US"/>
        </w:rPr>
        <w:t xml:space="preserve"> that form in</w:t>
      </w:r>
      <w:r w:rsidR="00905726" w:rsidRPr="007A37E1">
        <w:rPr>
          <w:rFonts w:ascii="Arial" w:hAnsi="Arial" w:cs="Arial"/>
          <w:sz w:val="22"/>
          <w:szCs w:val="22"/>
          <w:lang w:val="en-US"/>
        </w:rPr>
        <w:t xml:space="preserve"> the or</w:t>
      </w:r>
      <w:r w:rsidR="000909AA" w:rsidRPr="007A37E1">
        <w:rPr>
          <w:rFonts w:ascii="Arial" w:hAnsi="Arial" w:cs="Arial"/>
          <w:sz w:val="22"/>
          <w:szCs w:val="22"/>
          <w:lang w:val="en-US"/>
        </w:rPr>
        <w:t>iginal.)</w:t>
      </w:r>
    </w:p>
    <w:p w14:paraId="1EC14D18" w14:textId="43895CF8" w:rsidR="00C70CE0" w:rsidRPr="007A37E1" w:rsidRDefault="00C70CE0" w:rsidP="00C70CE0">
      <w:pPr>
        <w:spacing w:line="360" w:lineRule="auto"/>
        <w:jc w:val="both"/>
        <w:rPr>
          <w:rFonts w:ascii="Arial" w:hAnsi="Arial" w:cs="Arial"/>
          <w:lang w:val="en-US"/>
        </w:rPr>
      </w:pPr>
      <w:r w:rsidRPr="007A37E1">
        <w:rPr>
          <w:rFonts w:ascii="Arial" w:hAnsi="Arial" w:cs="Arial"/>
          <w:lang w:val="en-US"/>
        </w:rPr>
        <w:t>This communication from the Respondents is quite extraordinary,</w:t>
      </w:r>
      <w:r w:rsidR="00B8573B" w:rsidRPr="007A37E1">
        <w:rPr>
          <w:rFonts w:ascii="Arial" w:hAnsi="Arial" w:cs="Arial"/>
          <w:lang w:val="en-US"/>
        </w:rPr>
        <w:t xml:space="preserve"> most </w:t>
      </w:r>
      <w:r w:rsidRPr="007A37E1">
        <w:rPr>
          <w:rFonts w:ascii="Arial" w:hAnsi="Arial" w:cs="Arial"/>
          <w:lang w:val="en-US"/>
        </w:rPr>
        <w:t xml:space="preserve">especially </w:t>
      </w:r>
      <w:r w:rsidR="00D60127">
        <w:rPr>
          <w:rFonts w:ascii="Arial" w:hAnsi="Arial" w:cs="Arial"/>
          <w:lang w:val="en-US"/>
        </w:rPr>
        <w:t xml:space="preserve">        </w:t>
      </w:r>
      <w:r w:rsidRPr="007A37E1">
        <w:rPr>
          <w:rFonts w:ascii="Arial" w:hAnsi="Arial" w:cs="Arial"/>
          <w:lang w:val="en-US"/>
        </w:rPr>
        <w:t>para 11 and the attachment of a copy of ‘</w:t>
      </w:r>
      <w:r w:rsidR="00FF5802" w:rsidRPr="007A37E1">
        <w:rPr>
          <w:rFonts w:ascii="Arial" w:hAnsi="Arial" w:cs="Arial"/>
          <w:lang w:val="en-US"/>
        </w:rPr>
        <w:t>M</w:t>
      </w:r>
      <w:r w:rsidRPr="007A37E1">
        <w:rPr>
          <w:rFonts w:ascii="Arial" w:hAnsi="Arial" w:cs="Arial"/>
          <w:lang w:val="en-US"/>
        </w:rPr>
        <w:t xml:space="preserve">onopoly money’. It is crass, insulting to the Registrar, disrespectful towards the </w:t>
      </w:r>
      <w:r w:rsidR="008555EF" w:rsidRPr="007A37E1">
        <w:rPr>
          <w:rFonts w:ascii="Arial" w:hAnsi="Arial" w:cs="Arial"/>
          <w:lang w:val="en-US"/>
        </w:rPr>
        <w:t>C</w:t>
      </w:r>
      <w:r w:rsidR="00A34D2F" w:rsidRPr="007A37E1">
        <w:rPr>
          <w:rFonts w:ascii="Arial" w:hAnsi="Arial" w:cs="Arial"/>
          <w:lang w:val="en-US"/>
        </w:rPr>
        <w:t xml:space="preserve">ourt and inexcusable. </w:t>
      </w:r>
      <w:r w:rsidRPr="007A37E1">
        <w:rPr>
          <w:rFonts w:ascii="Arial" w:hAnsi="Arial" w:cs="Arial"/>
          <w:lang w:val="en-US"/>
        </w:rPr>
        <w:t>The issue of the enduring validity of the order of the high court will be dealt with in due course.</w:t>
      </w:r>
      <w:r w:rsidR="00ED2615" w:rsidRPr="007A37E1">
        <w:rPr>
          <w:rFonts w:ascii="Arial" w:hAnsi="Arial" w:cs="Arial"/>
          <w:lang w:val="en-US"/>
        </w:rPr>
        <w:t xml:space="preserve"> For now, it needs </w:t>
      </w:r>
      <w:r w:rsidR="00FF5802" w:rsidRPr="007A37E1">
        <w:rPr>
          <w:rFonts w:ascii="Arial" w:hAnsi="Arial" w:cs="Arial"/>
          <w:lang w:val="en-US"/>
        </w:rPr>
        <w:t xml:space="preserve">to </w:t>
      </w:r>
      <w:r w:rsidR="00ED2615" w:rsidRPr="007A37E1">
        <w:rPr>
          <w:rFonts w:ascii="Arial" w:hAnsi="Arial" w:cs="Arial"/>
          <w:lang w:val="en-US"/>
        </w:rPr>
        <w:t>be stated, as shall presently become clea</w:t>
      </w:r>
      <w:r w:rsidR="007E3468" w:rsidRPr="007A37E1">
        <w:rPr>
          <w:rFonts w:ascii="Arial" w:hAnsi="Arial" w:cs="Arial"/>
          <w:lang w:val="en-US"/>
        </w:rPr>
        <w:t>r</w:t>
      </w:r>
      <w:r w:rsidR="00ED2615" w:rsidRPr="007A37E1">
        <w:rPr>
          <w:rFonts w:ascii="Arial" w:hAnsi="Arial" w:cs="Arial"/>
          <w:lang w:val="en-US"/>
        </w:rPr>
        <w:t xml:space="preserve">, that the issue of the declaration of </w:t>
      </w:r>
      <w:r w:rsidR="007E3468" w:rsidRPr="007A37E1">
        <w:rPr>
          <w:rFonts w:ascii="Arial" w:hAnsi="Arial" w:cs="Arial"/>
          <w:lang w:val="en-US"/>
        </w:rPr>
        <w:t xml:space="preserve">a </w:t>
      </w:r>
      <w:r w:rsidR="00ED2615" w:rsidRPr="007A37E1">
        <w:rPr>
          <w:rFonts w:ascii="Arial" w:hAnsi="Arial" w:cs="Arial"/>
          <w:lang w:val="en-US"/>
        </w:rPr>
        <w:t xml:space="preserve">national state of disaster was not before us on appeal. There could thus be no question of us having prejudged </w:t>
      </w:r>
      <w:r w:rsidR="00A601B4" w:rsidRPr="007A37E1">
        <w:rPr>
          <w:rFonts w:ascii="Arial" w:hAnsi="Arial" w:cs="Arial"/>
          <w:lang w:val="en-US"/>
        </w:rPr>
        <w:t>that issue.</w:t>
      </w:r>
      <w:r w:rsidR="008555EF" w:rsidRPr="007A37E1">
        <w:rPr>
          <w:rFonts w:ascii="Arial" w:hAnsi="Arial" w:cs="Arial"/>
          <w:lang w:val="en-US"/>
        </w:rPr>
        <w:t xml:space="preserve"> </w:t>
      </w:r>
      <w:r w:rsidR="002A7F50" w:rsidRPr="007A37E1">
        <w:rPr>
          <w:rFonts w:ascii="Arial" w:hAnsi="Arial" w:cs="Arial"/>
          <w:lang w:val="en-US"/>
        </w:rPr>
        <w:t xml:space="preserve">Although premised on the existence of the national state of disaster, </w:t>
      </w:r>
      <w:r w:rsidR="008555EF" w:rsidRPr="007A37E1">
        <w:rPr>
          <w:rFonts w:ascii="Arial" w:hAnsi="Arial" w:cs="Arial"/>
          <w:lang w:val="en-US"/>
        </w:rPr>
        <w:t xml:space="preserve">the directives issued by the OCJ and the President of this Court, to which </w:t>
      </w:r>
      <w:r w:rsidR="002A7F50" w:rsidRPr="007A37E1">
        <w:rPr>
          <w:rFonts w:ascii="Arial" w:hAnsi="Arial" w:cs="Arial"/>
          <w:lang w:val="en-US"/>
        </w:rPr>
        <w:t>reference has been made</w:t>
      </w:r>
      <w:r w:rsidR="003A1607" w:rsidRPr="007A37E1">
        <w:rPr>
          <w:rFonts w:ascii="Arial" w:hAnsi="Arial" w:cs="Arial"/>
          <w:lang w:val="en-US"/>
        </w:rPr>
        <w:t>,</w:t>
      </w:r>
      <w:r w:rsidR="002A7F50" w:rsidRPr="007A37E1">
        <w:rPr>
          <w:rFonts w:ascii="Arial" w:hAnsi="Arial" w:cs="Arial"/>
          <w:lang w:val="en-US"/>
        </w:rPr>
        <w:t xml:space="preserve"> were</w:t>
      </w:r>
      <w:r w:rsidR="00025E09" w:rsidRPr="007A37E1">
        <w:rPr>
          <w:rFonts w:ascii="Arial" w:hAnsi="Arial" w:cs="Arial"/>
          <w:lang w:val="en-US"/>
        </w:rPr>
        <w:t xml:space="preserve"> founded on the powers vested in the judicial authority by virtue of ss 165 and 173 of the Constitution</w:t>
      </w:r>
      <w:r w:rsidR="002A7F50" w:rsidRPr="007A37E1">
        <w:rPr>
          <w:rFonts w:ascii="Arial" w:hAnsi="Arial" w:cs="Arial"/>
          <w:lang w:val="en-US"/>
        </w:rPr>
        <w:t xml:space="preserve"> and ss 8(3) and 8(4) of the SC </w:t>
      </w:r>
      <w:r w:rsidR="004C24F8" w:rsidRPr="007A37E1">
        <w:rPr>
          <w:rFonts w:ascii="Arial" w:hAnsi="Arial" w:cs="Arial"/>
          <w:lang w:val="en-US"/>
        </w:rPr>
        <w:t>A</w:t>
      </w:r>
      <w:r w:rsidR="002A7F50" w:rsidRPr="007A37E1">
        <w:rPr>
          <w:rFonts w:ascii="Arial" w:hAnsi="Arial" w:cs="Arial"/>
          <w:lang w:val="en-US"/>
        </w:rPr>
        <w:t>ct</w:t>
      </w:r>
      <w:r w:rsidR="00025E09" w:rsidRPr="007A37E1">
        <w:rPr>
          <w:rFonts w:ascii="Arial" w:hAnsi="Arial" w:cs="Arial"/>
          <w:lang w:val="en-US"/>
        </w:rPr>
        <w:t>.</w:t>
      </w:r>
    </w:p>
    <w:p w14:paraId="78B74651" w14:textId="5709B2FF" w:rsidR="00C70CE0" w:rsidRPr="007A37E1" w:rsidRDefault="00C70CE0" w:rsidP="00C70CE0">
      <w:pPr>
        <w:spacing w:line="360" w:lineRule="auto"/>
        <w:jc w:val="both"/>
        <w:rPr>
          <w:rFonts w:ascii="Arial" w:hAnsi="Arial" w:cs="Arial"/>
          <w:lang w:val="en-US"/>
        </w:rPr>
      </w:pPr>
    </w:p>
    <w:p w14:paraId="66D0F986" w14:textId="352451B3" w:rsidR="002A7F50" w:rsidRPr="007A37E1" w:rsidRDefault="00070A5D" w:rsidP="00C70CE0">
      <w:pPr>
        <w:spacing w:line="360" w:lineRule="auto"/>
        <w:jc w:val="both"/>
        <w:rPr>
          <w:rFonts w:ascii="Arial" w:hAnsi="Arial" w:cs="Arial"/>
          <w:lang w:val="en-US"/>
        </w:rPr>
      </w:pPr>
      <w:r w:rsidRPr="007A37E1">
        <w:rPr>
          <w:rFonts w:ascii="Arial" w:hAnsi="Arial" w:cs="Arial"/>
          <w:lang w:val="en-US"/>
        </w:rPr>
        <w:lastRenderedPageBreak/>
        <w:t>[5</w:t>
      </w:r>
      <w:r w:rsidR="00904BAC" w:rsidRPr="007A37E1">
        <w:rPr>
          <w:rFonts w:ascii="Arial" w:hAnsi="Arial" w:cs="Arial"/>
          <w:lang w:val="en-US"/>
        </w:rPr>
        <w:t>4</w:t>
      </w:r>
      <w:r w:rsidRPr="007A37E1">
        <w:rPr>
          <w:rFonts w:ascii="Arial" w:hAnsi="Arial" w:cs="Arial"/>
          <w:lang w:val="en-US"/>
        </w:rPr>
        <w:t>]</w:t>
      </w:r>
      <w:r w:rsidRPr="007A37E1">
        <w:rPr>
          <w:rFonts w:ascii="Arial" w:hAnsi="Arial" w:cs="Arial"/>
          <w:lang w:val="en-US"/>
        </w:rPr>
        <w:tab/>
        <w:t>The reference in para 6 of the letter from Mr de Beer and the LFN, set out in the preceding paragraph, refers to correspondence sent by them to the Registrar for the attention of President Maya. The correspondence was sent electronically. Hard copies were not subsequently filed by them</w:t>
      </w:r>
      <w:r w:rsidR="00AF5453" w:rsidRPr="007A37E1">
        <w:rPr>
          <w:rFonts w:ascii="Arial" w:hAnsi="Arial" w:cs="Arial"/>
          <w:lang w:val="en-US"/>
        </w:rPr>
        <w:t>,</w:t>
      </w:r>
      <w:r w:rsidR="002A7F50" w:rsidRPr="007A37E1">
        <w:rPr>
          <w:rStyle w:val="FootnoteReference"/>
          <w:rFonts w:ascii="Arial" w:hAnsi="Arial" w:cs="Arial"/>
          <w:lang w:val="en-US"/>
        </w:rPr>
        <w:footnoteReference w:id="11"/>
      </w:r>
      <w:r w:rsidRPr="007A37E1">
        <w:rPr>
          <w:rFonts w:ascii="Arial" w:hAnsi="Arial" w:cs="Arial"/>
          <w:lang w:val="en-US"/>
        </w:rPr>
        <w:t xml:space="preserve"> and the Registrar’s office, in accordance with Rule 4(1)</w:t>
      </w:r>
      <w:r w:rsidRPr="007A37E1">
        <w:rPr>
          <w:rFonts w:ascii="Arial" w:hAnsi="Arial" w:cs="Arial"/>
          <w:i/>
          <w:lang w:val="en-US"/>
        </w:rPr>
        <w:t>(b)</w:t>
      </w:r>
      <w:r w:rsidRPr="007A37E1">
        <w:rPr>
          <w:rFonts w:ascii="Arial" w:hAnsi="Arial" w:cs="Arial"/>
          <w:lang w:val="en-US"/>
        </w:rPr>
        <w:t xml:space="preserve"> of the Rules of this </w:t>
      </w:r>
      <w:r w:rsidR="00EB04CD" w:rsidRPr="007A37E1">
        <w:rPr>
          <w:rFonts w:ascii="Arial" w:hAnsi="Arial" w:cs="Arial"/>
          <w:lang w:val="en-US"/>
        </w:rPr>
        <w:t>C</w:t>
      </w:r>
      <w:r w:rsidRPr="007A37E1">
        <w:rPr>
          <w:rFonts w:ascii="Arial" w:hAnsi="Arial" w:cs="Arial"/>
          <w:lang w:val="en-US"/>
        </w:rPr>
        <w:t>ourt</w:t>
      </w:r>
      <w:r w:rsidR="00AF5453" w:rsidRPr="007A37E1">
        <w:rPr>
          <w:rFonts w:ascii="Arial" w:hAnsi="Arial" w:cs="Arial"/>
          <w:lang w:val="en-US"/>
        </w:rPr>
        <w:t>,</w:t>
      </w:r>
      <w:r w:rsidR="003113B9" w:rsidRPr="007A37E1">
        <w:rPr>
          <w:rStyle w:val="FootnoteReference"/>
          <w:rFonts w:ascii="Arial" w:hAnsi="Arial" w:cs="Arial"/>
          <w:lang w:val="en-US"/>
        </w:rPr>
        <w:footnoteReference w:id="12"/>
      </w:r>
      <w:r w:rsidRPr="007A37E1">
        <w:rPr>
          <w:rFonts w:ascii="Arial" w:hAnsi="Arial" w:cs="Arial"/>
          <w:lang w:val="en-US"/>
        </w:rPr>
        <w:t xml:space="preserve"> and in term</w:t>
      </w:r>
      <w:r w:rsidR="00AF5453" w:rsidRPr="007A37E1">
        <w:rPr>
          <w:rFonts w:ascii="Arial" w:hAnsi="Arial" w:cs="Arial"/>
          <w:lang w:val="en-US"/>
        </w:rPr>
        <w:t>s</w:t>
      </w:r>
      <w:r w:rsidRPr="007A37E1">
        <w:rPr>
          <w:rFonts w:ascii="Arial" w:hAnsi="Arial" w:cs="Arial"/>
          <w:lang w:val="en-US"/>
        </w:rPr>
        <w:t xml:space="preserve"> of the Court’s standard practice, did not therefore place the correspondence before her. Shortly after the present appeal was heard, and the abovementioned correspondence was made public</w:t>
      </w:r>
      <w:r w:rsidR="00A15C03" w:rsidRPr="007A37E1">
        <w:rPr>
          <w:rFonts w:ascii="Arial" w:hAnsi="Arial" w:cs="Arial"/>
          <w:lang w:val="en-US"/>
        </w:rPr>
        <w:t>,</w:t>
      </w:r>
      <w:r w:rsidRPr="007A37E1">
        <w:rPr>
          <w:rFonts w:ascii="Arial" w:hAnsi="Arial" w:cs="Arial"/>
          <w:lang w:val="en-US"/>
        </w:rPr>
        <w:t xml:space="preserve"> President Maya made enquiries of the Registrar, who provided the reason for not placing the correspondence before her. That notwithstanding, the Deputy Registrar, without there being a need for it, wrote to Mr de Beer and the LF</w:t>
      </w:r>
      <w:r w:rsidR="003A1607" w:rsidRPr="007A37E1">
        <w:rPr>
          <w:rFonts w:ascii="Arial" w:hAnsi="Arial" w:cs="Arial"/>
          <w:lang w:val="en-US"/>
        </w:rPr>
        <w:t>N</w:t>
      </w:r>
      <w:r w:rsidRPr="007A37E1">
        <w:rPr>
          <w:rFonts w:ascii="Arial" w:hAnsi="Arial" w:cs="Arial"/>
          <w:lang w:val="en-US"/>
        </w:rPr>
        <w:t xml:space="preserve"> on 2 June 2021, tendering an apology for not following</w:t>
      </w:r>
      <w:r w:rsidR="000C5BFF" w:rsidRPr="007A37E1">
        <w:rPr>
          <w:rFonts w:ascii="Arial" w:hAnsi="Arial" w:cs="Arial"/>
          <w:lang w:val="en-US"/>
        </w:rPr>
        <w:t>-</w:t>
      </w:r>
      <w:r w:rsidRPr="007A37E1">
        <w:rPr>
          <w:rFonts w:ascii="Arial" w:hAnsi="Arial" w:cs="Arial"/>
          <w:lang w:val="en-US"/>
        </w:rPr>
        <w:t>up on the need for a hard copy to be filed. This elicited an uncouth, scandalous and totally unacceptable written response from Mr de Beer and the LFN, which we will deal with towards the end of this judgment.</w:t>
      </w:r>
    </w:p>
    <w:p w14:paraId="7C3DFF90" w14:textId="4D5F02DD" w:rsidR="00C70CE0" w:rsidRPr="007A37E1" w:rsidRDefault="00C70CE0" w:rsidP="00C70CE0">
      <w:pPr>
        <w:spacing w:line="360" w:lineRule="auto"/>
        <w:jc w:val="both"/>
        <w:rPr>
          <w:rFonts w:ascii="Arial" w:hAnsi="Arial" w:cs="Arial"/>
          <w:lang w:val="en-US"/>
        </w:rPr>
      </w:pPr>
    </w:p>
    <w:p w14:paraId="7182387C" w14:textId="036E9A92" w:rsidR="00C70CE0" w:rsidRPr="007A37E1" w:rsidRDefault="00C70CE0" w:rsidP="00CF4CDA">
      <w:pPr>
        <w:tabs>
          <w:tab w:val="left" w:pos="851"/>
        </w:tabs>
        <w:spacing w:line="360" w:lineRule="auto"/>
        <w:jc w:val="both"/>
        <w:rPr>
          <w:rFonts w:ascii="Arial" w:hAnsi="Arial" w:cs="Arial"/>
          <w:lang w:val="en-US"/>
        </w:rPr>
      </w:pPr>
      <w:r w:rsidRPr="007A37E1">
        <w:rPr>
          <w:rFonts w:ascii="Arial" w:hAnsi="Arial" w:cs="Arial"/>
          <w:lang w:val="en-US"/>
        </w:rPr>
        <w:t>[</w:t>
      </w:r>
      <w:r w:rsidR="006307C9" w:rsidRPr="007A37E1">
        <w:rPr>
          <w:rFonts w:ascii="Arial" w:hAnsi="Arial" w:cs="Arial"/>
          <w:lang w:val="en-US"/>
        </w:rPr>
        <w:t>5</w:t>
      </w:r>
      <w:r w:rsidR="00904BAC" w:rsidRPr="007A37E1">
        <w:rPr>
          <w:rFonts w:ascii="Arial" w:hAnsi="Arial" w:cs="Arial"/>
          <w:lang w:val="en-US"/>
        </w:rPr>
        <w:t>5</w:t>
      </w:r>
      <w:r w:rsidRPr="007A37E1">
        <w:rPr>
          <w:rFonts w:ascii="Arial" w:hAnsi="Arial" w:cs="Arial"/>
          <w:lang w:val="en-US"/>
        </w:rPr>
        <w:t>]</w:t>
      </w:r>
      <w:r w:rsidRPr="007A37E1">
        <w:rPr>
          <w:rFonts w:ascii="Arial" w:hAnsi="Arial" w:cs="Arial"/>
          <w:lang w:val="en-US"/>
        </w:rPr>
        <w:tab/>
        <w:t>On the day before the scheduled hearing of the appeal</w:t>
      </w:r>
      <w:r w:rsidR="005B7894" w:rsidRPr="007A37E1">
        <w:rPr>
          <w:rFonts w:ascii="Arial" w:hAnsi="Arial" w:cs="Arial"/>
          <w:lang w:val="en-US"/>
        </w:rPr>
        <w:t>,</w:t>
      </w:r>
      <w:r w:rsidRPr="007A37E1">
        <w:rPr>
          <w:rFonts w:ascii="Arial" w:hAnsi="Arial" w:cs="Arial"/>
          <w:lang w:val="en-US"/>
        </w:rPr>
        <w:t xml:space="preserve"> the respondents caused to be filed </w:t>
      </w:r>
      <w:r w:rsidR="009A1EA9" w:rsidRPr="007A37E1">
        <w:rPr>
          <w:rFonts w:ascii="Arial" w:hAnsi="Arial" w:cs="Arial"/>
          <w:lang w:val="en-US"/>
        </w:rPr>
        <w:t xml:space="preserve">with the Registrar </w:t>
      </w:r>
      <w:r w:rsidRPr="007A37E1">
        <w:rPr>
          <w:rFonts w:ascii="Arial" w:hAnsi="Arial" w:cs="Arial"/>
          <w:lang w:val="en-US"/>
        </w:rPr>
        <w:t>an application for the recusal of all the judges as</w:t>
      </w:r>
      <w:r w:rsidR="0080621A" w:rsidRPr="007A37E1">
        <w:rPr>
          <w:rFonts w:ascii="Arial" w:hAnsi="Arial" w:cs="Arial"/>
          <w:lang w:val="en-US"/>
        </w:rPr>
        <w:t xml:space="preserve">signed to hear the appeal. Paragraph </w:t>
      </w:r>
      <w:r w:rsidRPr="007A37E1">
        <w:rPr>
          <w:rFonts w:ascii="Arial" w:hAnsi="Arial" w:cs="Arial"/>
          <w:lang w:val="en-US"/>
        </w:rPr>
        <w:t>3.2 of the founding affidavit bears repeating:</w:t>
      </w:r>
    </w:p>
    <w:p w14:paraId="2BBDF2F2" w14:textId="75A7B33F" w:rsidR="00C70CE0" w:rsidRPr="007A37E1" w:rsidRDefault="00C70CE0" w:rsidP="00C70CE0">
      <w:pPr>
        <w:spacing w:line="360" w:lineRule="auto"/>
        <w:jc w:val="both"/>
        <w:rPr>
          <w:rFonts w:ascii="Arial" w:hAnsi="Arial" w:cs="Arial"/>
          <w:sz w:val="22"/>
          <w:szCs w:val="22"/>
          <w:lang w:val="en-US"/>
        </w:rPr>
      </w:pPr>
      <w:r w:rsidRPr="007A37E1">
        <w:rPr>
          <w:rFonts w:ascii="Arial" w:hAnsi="Arial" w:cs="Arial"/>
          <w:sz w:val="22"/>
          <w:szCs w:val="22"/>
          <w:lang w:val="en-US"/>
        </w:rPr>
        <w:t xml:space="preserve">‘What this application is not about, is a challenge in relation to the holding of virtual hearings by this Court and therefore it is not the case of the Applicants that the decision by the allocated judges were wrong, but rather that the issuing of the Directive by them shows signs of bias. The </w:t>
      </w:r>
      <w:r w:rsidR="007632E2" w:rsidRPr="007A37E1">
        <w:rPr>
          <w:rFonts w:ascii="Arial" w:hAnsi="Arial" w:cs="Arial"/>
          <w:sz w:val="22"/>
          <w:szCs w:val="22"/>
          <w:lang w:val="en-US"/>
        </w:rPr>
        <w:t>A</w:t>
      </w:r>
      <w:r w:rsidRPr="007A37E1">
        <w:rPr>
          <w:rFonts w:ascii="Arial" w:hAnsi="Arial" w:cs="Arial"/>
          <w:sz w:val="22"/>
          <w:szCs w:val="22"/>
          <w:lang w:val="en-US"/>
        </w:rPr>
        <w:t>pplicants, thus, fear that they will not receive a fair adjudication of the appeal.’</w:t>
      </w:r>
    </w:p>
    <w:p w14:paraId="311DF82B" w14:textId="77777777" w:rsidR="00C70CE0" w:rsidRPr="007A37E1" w:rsidRDefault="00C70CE0" w:rsidP="00C70CE0">
      <w:pPr>
        <w:spacing w:line="360" w:lineRule="auto"/>
        <w:jc w:val="both"/>
        <w:rPr>
          <w:rFonts w:ascii="Arial" w:hAnsi="Arial" w:cs="Arial"/>
          <w:lang w:val="en-US"/>
        </w:rPr>
      </w:pPr>
      <w:r w:rsidRPr="007A37E1">
        <w:rPr>
          <w:rFonts w:ascii="Arial" w:hAnsi="Arial" w:cs="Arial"/>
          <w:lang w:val="en-US"/>
        </w:rPr>
        <w:t>Making sense of that, in light of the repeated strenuous objection to a virtual hearing and as will be described later, the refusal to participate in a virtual hearing, is an impossible task.</w:t>
      </w:r>
    </w:p>
    <w:p w14:paraId="063E7648" w14:textId="77777777" w:rsidR="00C76E5C" w:rsidRPr="007A37E1" w:rsidRDefault="00C76E5C" w:rsidP="00C70CE0">
      <w:pPr>
        <w:spacing w:line="360" w:lineRule="auto"/>
        <w:jc w:val="both"/>
        <w:rPr>
          <w:rFonts w:ascii="Arial" w:hAnsi="Arial" w:cs="Arial"/>
          <w:lang w:val="en-US"/>
        </w:rPr>
      </w:pPr>
    </w:p>
    <w:p w14:paraId="06EB1728" w14:textId="3D947F82" w:rsidR="00C70CE0" w:rsidRPr="007A37E1" w:rsidRDefault="00C70CE0" w:rsidP="00C70CE0">
      <w:pPr>
        <w:spacing w:line="360" w:lineRule="auto"/>
        <w:jc w:val="both"/>
        <w:rPr>
          <w:rFonts w:ascii="Arial" w:hAnsi="Arial" w:cs="Arial"/>
          <w:lang w:val="en-US"/>
        </w:rPr>
      </w:pPr>
      <w:r w:rsidRPr="007A37E1">
        <w:rPr>
          <w:rFonts w:ascii="Arial" w:hAnsi="Arial" w:cs="Arial"/>
          <w:lang w:val="en-US"/>
        </w:rPr>
        <w:t>[</w:t>
      </w:r>
      <w:r w:rsidR="006307C9" w:rsidRPr="007A37E1">
        <w:rPr>
          <w:rFonts w:ascii="Arial" w:hAnsi="Arial" w:cs="Arial"/>
          <w:lang w:val="en-US"/>
        </w:rPr>
        <w:t>5</w:t>
      </w:r>
      <w:r w:rsidR="00904BAC" w:rsidRPr="007A37E1">
        <w:rPr>
          <w:rFonts w:ascii="Arial" w:hAnsi="Arial" w:cs="Arial"/>
          <w:lang w:val="en-US"/>
        </w:rPr>
        <w:t>6</w:t>
      </w:r>
      <w:r w:rsidRPr="007A37E1">
        <w:rPr>
          <w:rFonts w:ascii="Arial" w:hAnsi="Arial" w:cs="Arial"/>
          <w:lang w:val="en-US"/>
        </w:rPr>
        <w:t>]</w:t>
      </w:r>
      <w:r w:rsidRPr="007A37E1">
        <w:rPr>
          <w:rFonts w:ascii="Arial" w:hAnsi="Arial" w:cs="Arial"/>
          <w:lang w:val="en-US"/>
        </w:rPr>
        <w:tab/>
        <w:t xml:space="preserve">The founding affidavit in support of the application for recusal then proceeded to set out the </w:t>
      </w:r>
      <w:r w:rsidR="009A1EA9" w:rsidRPr="007A37E1">
        <w:rPr>
          <w:rFonts w:ascii="Arial" w:hAnsi="Arial" w:cs="Arial"/>
          <w:lang w:val="en-US"/>
        </w:rPr>
        <w:t>exchange</w:t>
      </w:r>
      <w:r w:rsidR="009E5039" w:rsidRPr="007A37E1">
        <w:rPr>
          <w:rFonts w:ascii="Arial" w:hAnsi="Arial" w:cs="Arial"/>
          <w:lang w:val="en-US"/>
        </w:rPr>
        <w:t>s</w:t>
      </w:r>
      <w:r w:rsidR="009A1EA9" w:rsidRPr="007A37E1">
        <w:rPr>
          <w:rFonts w:ascii="Arial" w:hAnsi="Arial" w:cs="Arial"/>
          <w:lang w:val="en-US"/>
        </w:rPr>
        <w:t xml:space="preserve"> </w:t>
      </w:r>
      <w:r w:rsidRPr="007A37E1">
        <w:rPr>
          <w:rFonts w:ascii="Arial" w:hAnsi="Arial" w:cs="Arial"/>
          <w:lang w:val="en-US"/>
        </w:rPr>
        <w:t>with the Registrar’s office outlin</w:t>
      </w:r>
      <w:r w:rsidR="005B7894" w:rsidRPr="007A37E1">
        <w:rPr>
          <w:rFonts w:ascii="Arial" w:hAnsi="Arial" w:cs="Arial"/>
          <w:lang w:val="en-US"/>
        </w:rPr>
        <w:t>ed above. It</w:t>
      </w:r>
      <w:r w:rsidRPr="007A37E1">
        <w:rPr>
          <w:rFonts w:ascii="Arial" w:hAnsi="Arial" w:cs="Arial"/>
          <w:lang w:val="en-US"/>
        </w:rPr>
        <w:t xml:space="preserve"> repeated what had </w:t>
      </w:r>
      <w:r w:rsidRPr="007A37E1">
        <w:rPr>
          <w:rFonts w:ascii="Arial" w:hAnsi="Arial" w:cs="Arial"/>
          <w:lang w:val="en-US"/>
        </w:rPr>
        <w:lastRenderedPageBreak/>
        <w:t xml:space="preserve">already been indicated in prior communications by the respondents that this appeal was unique, in that COVID-19 measures were at the heart of it, and because the </w:t>
      </w:r>
      <w:r w:rsidR="004C24F8" w:rsidRPr="007A37E1">
        <w:rPr>
          <w:rFonts w:ascii="Arial" w:hAnsi="Arial" w:cs="Arial"/>
          <w:lang w:val="en-US"/>
        </w:rPr>
        <w:t>C</w:t>
      </w:r>
      <w:r w:rsidRPr="007A37E1">
        <w:rPr>
          <w:rFonts w:ascii="Arial" w:hAnsi="Arial" w:cs="Arial"/>
          <w:lang w:val="en-US"/>
        </w:rPr>
        <w:t xml:space="preserve">ourt had issued the directives in question and insisted on hearing the </w:t>
      </w:r>
      <w:r w:rsidR="005B7894" w:rsidRPr="007A37E1">
        <w:rPr>
          <w:rFonts w:ascii="Arial" w:hAnsi="Arial" w:cs="Arial"/>
          <w:lang w:val="en-US"/>
        </w:rPr>
        <w:t xml:space="preserve">argument on whether the </w:t>
      </w:r>
      <w:r w:rsidRPr="007A37E1">
        <w:rPr>
          <w:rFonts w:ascii="Arial" w:hAnsi="Arial" w:cs="Arial"/>
          <w:lang w:val="en-US"/>
        </w:rPr>
        <w:t>hearing should proceed virtually, the respondents were compelled to bring the application for our recusal.</w:t>
      </w:r>
    </w:p>
    <w:p w14:paraId="0E686234" w14:textId="77777777" w:rsidR="004C24F8" w:rsidRPr="007A37E1" w:rsidRDefault="004C24F8" w:rsidP="00C70CE0">
      <w:pPr>
        <w:spacing w:line="360" w:lineRule="auto"/>
        <w:jc w:val="both"/>
        <w:rPr>
          <w:rFonts w:ascii="Arial" w:hAnsi="Arial" w:cs="Arial"/>
          <w:lang w:val="en-US"/>
        </w:rPr>
      </w:pPr>
    </w:p>
    <w:p w14:paraId="5CE84D83" w14:textId="04EC6F61" w:rsidR="00C70CE0" w:rsidRPr="007A37E1" w:rsidRDefault="00C70CE0" w:rsidP="00C70CE0">
      <w:pPr>
        <w:spacing w:line="360" w:lineRule="auto"/>
        <w:jc w:val="both"/>
        <w:rPr>
          <w:rFonts w:ascii="Arial" w:hAnsi="Arial" w:cs="Arial"/>
          <w:lang w:val="en-US"/>
        </w:rPr>
      </w:pPr>
      <w:r w:rsidRPr="007A37E1">
        <w:rPr>
          <w:rFonts w:ascii="Arial" w:hAnsi="Arial" w:cs="Arial"/>
          <w:lang w:val="en-US"/>
        </w:rPr>
        <w:t>[</w:t>
      </w:r>
      <w:r w:rsidR="006307C9" w:rsidRPr="007A37E1">
        <w:rPr>
          <w:rFonts w:ascii="Arial" w:hAnsi="Arial" w:cs="Arial"/>
          <w:lang w:val="en-US"/>
        </w:rPr>
        <w:t>5</w:t>
      </w:r>
      <w:r w:rsidR="00904BAC" w:rsidRPr="007A37E1">
        <w:rPr>
          <w:rFonts w:ascii="Arial" w:hAnsi="Arial" w:cs="Arial"/>
          <w:lang w:val="en-US"/>
        </w:rPr>
        <w:t>7</w:t>
      </w:r>
      <w:r w:rsidRPr="007A37E1">
        <w:rPr>
          <w:rFonts w:ascii="Arial" w:hAnsi="Arial" w:cs="Arial"/>
          <w:lang w:val="en-US"/>
        </w:rPr>
        <w:t>]</w:t>
      </w:r>
      <w:r w:rsidRPr="007A37E1">
        <w:rPr>
          <w:rFonts w:ascii="Arial" w:hAnsi="Arial" w:cs="Arial"/>
          <w:lang w:val="en-US"/>
        </w:rPr>
        <w:tab/>
      </w:r>
      <w:r w:rsidR="005B7894" w:rsidRPr="007A37E1">
        <w:rPr>
          <w:rFonts w:ascii="Arial" w:hAnsi="Arial" w:cs="Arial"/>
          <w:lang w:val="en-US"/>
        </w:rPr>
        <w:t>The respondents adopted</w:t>
      </w:r>
      <w:r w:rsidRPr="007A37E1">
        <w:rPr>
          <w:rFonts w:ascii="Arial" w:hAnsi="Arial" w:cs="Arial"/>
          <w:lang w:val="en-US"/>
        </w:rPr>
        <w:t xml:space="preserve"> the position that they were well within their rights to assume that the impugned regulations</w:t>
      </w:r>
      <w:r w:rsidR="004C24F8" w:rsidRPr="007A37E1">
        <w:rPr>
          <w:rFonts w:ascii="Arial" w:hAnsi="Arial" w:cs="Arial"/>
          <w:lang w:val="en-US"/>
        </w:rPr>
        <w:t>,</w:t>
      </w:r>
      <w:r w:rsidRPr="007A37E1">
        <w:rPr>
          <w:rFonts w:ascii="Arial" w:hAnsi="Arial" w:cs="Arial"/>
          <w:lang w:val="en-US"/>
        </w:rPr>
        <w:t xml:space="preserve"> to which COVID-19 measures owed their existence</w:t>
      </w:r>
      <w:r w:rsidR="004C24F8" w:rsidRPr="007A37E1">
        <w:rPr>
          <w:rFonts w:ascii="Arial" w:hAnsi="Arial" w:cs="Arial"/>
          <w:lang w:val="en-US"/>
        </w:rPr>
        <w:t>,</w:t>
      </w:r>
      <w:r w:rsidRPr="007A37E1">
        <w:rPr>
          <w:rFonts w:ascii="Arial" w:hAnsi="Arial" w:cs="Arial"/>
          <w:lang w:val="en-US"/>
        </w:rPr>
        <w:t xml:space="preserve"> no longer existed. The foun</w:t>
      </w:r>
      <w:r w:rsidR="00EB04CD" w:rsidRPr="007A37E1">
        <w:rPr>
          <w:rFonts w:ascii="Arial" w:hAnsi="Arial" w:cs="Arial"/>
          <w:lang w:val="en-US"/>
        </w:rPr>
        <w:t>ding affidavit castigated this C</w:t>
      </w:r>
      <w:r w:rsidRPr="007A37E1">
        <w:rPr>
          <w:rFonts w:ascii="Arial" w:hAnsi="Arial" w:cs="Arial"/>
          <w:lang w:val="en-US"/>
        </w:rPr>
        <w:t>ourt for seeking the views of CASAC in relation to both virtual hearings and the application for recusal</w:t>
      </w:r>
      <w:r w:rsidR="004C24F8" w:rsidRPr="007A37E1">
        <w:rPr>
          <w:rFonts w:ascii="Arial" w:hAnsi="Arial" w:cs="Arial"/>
          <w:lang w:val="en-US"/>
        </w:rPr>
        <w:t>,</w:t>
      </w:r>
      <w:r w:rsidRPr="007A37E1">
        <w:rPr>
          <w:rFonts w:ascii="Arial" w:hAnsi="Arial" w:cs="Arial"/>
          <w:lang w:val="en-US"/>
        </w:rPr>
        <w:t xml:space="preserve"> and </w:t>
      </w:r>
      <w:r w:rsidR="00B8573B" w:rsidRPr="007A37E1">
        <w:rPr>
          <w:rFonts w:ascii="Arial" w:hAnsi="Arial" w:cs="Arial"/>
          <w:lang w:val="en-US"/>
        </w:rPr>
        <w:t xml:space="preserve">for </w:t>
      </w:r>
      <w:r w:rsidRPr="007A37E1">
        <w:rPr>
          <w:rFonts w:ascii="Arial" w:hAnsi="Arial" w:cs="Arial"/>
          <w:lang w:val="en-US"/>
        </w:rPr>
        <w:t>treating it as an ‘actual litigant</w:t>
      </w:r>
      <w:r w:rsidR="00E92583" w:rsidRPr="007A37E1">
        <w:rPr>
          <w:rFonts w:ascii="Arial" w:hAnsi="Arial" w:cs="Arial"/>
          <w:lang w:val="en-US"/>
        </w:rPr>
        <w:t>’</w:t>
      </w:r>
      <w:r w:rsidRPr="007A37E1">
        <w:rPr>
          <w:rFonts w:ascii="Arial" w:hAnsi="Arial" w:cs="Arial"/>
          <w:lang w:val="en-US"/>
        </w:rPr>
        <w:t>. Paragraph 5.8 of the founding affidavit is quoted</w:t>
      </w:r>
      <w:r w:rsidR="003E4323" w:rsidRPr="007A37E1">
        <w:rPr>
          <w:rFonts w:ascii="Arial" w:hAnsi="Arial" w:cs="Arial"/>
          <w:lang w:val="en-US"/>
        </w:rPr>
        <w:t>,</w:t>
      </w:r>
      <w:r w:rsidRPr="007A37E1">
        <w:rPr>
          <w:rFonts w:ascii="Arial" w:hAnsi="Arial" w:cs="Arial"/>
          <w:lang w:val="en-US"/>
        </w:rPr>
        <w:t xml:space="preserve"> because it is an example of the </w:t>
      </w:r>
      <w:r w:rsidR="00B8573B" w:rsidRPr="007A37E1">
        <w:rPr>
          <w:rFonts w:ascii="Arial" w:hAnsi="Arial" w:cs="Arial"/>
          <w:lang w:val="en-US"/>
        </w:rPr>
        <w:t>unbridled criticisms</w:t>
      </w:r>
      <w:r w:rsidRPr="007A37E1">
        <w:rPr>
          <w:rFonts w:ascii="Arial" w:hAnsi="Arial" w:cs="Arial"/>
          <w:lang w:val="en-US"/>
        </w:rPr>
        <w:t xml:space="preserve"> of the respondents:</w:t>
      </w:r>
    </w:p>
    <w:p w14:paraId="56F28224" w14:textId="7D7984D9" w:rsidR="00C70CE0" w:rsidRPr="007A37E1" w:rsidRDefault="00E92583" w:rsidP="00C70CE0">
      <w:pPr>
        <w:spacing w:line="360" w:lineRule="auto"/>
        <w:jc w:val="both"/>
        <w:rPr>
          <w:rFonts w:ascii="Arial" w:hAnsi="Arial" w:cs="Arial"/>
          <w:lang w:val="en-US"/>
        </w:rPr>
      </w:pPr>
      <w:r w:rsidRPr="007A37E1">
        <w:rPr>
          <w:rFonts w:ascii="Arial" w:hAnsi="Arial" w:cs="Arial"/>
          <w:sz w:val="22"/>
          <w:szCs w:val="22"/>
          <w:lang w:val="en-US"/>
        </w:rPr>
        <w:t>‘</w:t>
      </w:r>
      <w:r w:rsidR="00C70CE0" w:rsidRPr="007A37E1">
        <w:rPr>
          <w:rFonts w:ascii="Arial" w:hAnsi="Arial" w:cs="Arial"/>
          <w:sz w:val="22"/>
          <w:szCs w:val="22"/>
          <w:lang w:val="en-US"/>
        </w:rPr>
        <w:t>It further appears to the Applicants that the judicial act of directing the format (method) by which to proceed with the hearing had been “outsourced” by the judges, for lack of the better word. This inference is drawn from the fact that the Chief Registrar informed the Applicants on 20 May 2021 that the Directive to proceed virtually was made “</w:t>
      </w:r>
      <w:r w:rsidR="00C70CE0" w:rsidRPr="007A37E1">
        <w:rPr>
          <w:rFonts w:ascii="Arial" w:hAnsi="Arial" w:cs="Arial"/>
          <w:i/>
          <w:sz w:val="22"/>
          <w:szCs w:val="22"/>
          <w:lang w:val="en-US"/>
        </w:rPr>
        <w:t xml:space="preserve">under the </w:t>
      </w:r>
      <w:r w:rsidR="00C70CE0" w:rsidRPr="007A37E1">
        <w:rPr>
          <w:rFonts w:ascii="Arial" w:hAnsi="Arial" w:cs="Arial"/>
          <w:i/>
          <w:sz w:val="22"/>
          <w:szCs w:val="22"/>
          <w:u w:val="single"/>
          <w:lang w:val="en-US"/>
        </w:rPr>
        <w:t>authority of the judges</w:t>
      </w:r>
      <w:r w:rsidR="00C70CE0" w:rsidRPr="007A37E1">
        <w:rPr>
          <w:rFonts w:ascii="Arial" w:hAnsi="Arial" w:cs="Arial"/>
          <w:i/>
          <w:sz w:val="22"/>
          <w:szCs w:val="22"/>
          <w:lang w:val="en-US"/>
        </w:rPr>
        <w:t xml:space="preserve"> allocated to the matter.”</w:t>
      </w:r>
      <w:r w:rsidR="00C70CE0" w:rsidRPr="007A37E1">
        <w:rPr>
          <w:rFonts w:ascii="Arial" w:hAnsi="Arial" w:cs="Arial"/>
          <w:sz w:val="22"/>
          <w:szCs w:val="22"/>
          <w:lang w:val="en-US"/>
        </w:rPr>
        <w:t xml:space="preserve"> </w:t>
      </w:r>
      <w:r w:rsidR="00C70CE0" w:rsidRPr="007A37E1">
        <w:rPr>
          <w:rFonts w:ascii="Arial" w:hAnsi="Arial" w:cs="Arial"/>
          <w:i/>
          <w:sz w:val="22"/>
          <w:szCs w:val="22"/>
          <w:lang w:val="en-US"/>
        </w:rPr>
        <w:t xml:space="preserve">In terms of Section 168(2) of the Constitution “[a] matter before the Supreme Court of Appeal </w:t>
      </w:r>
      <w:r w:rsidR="00C70CE0" w:rsidRPr="007A37E1">
        <w:rPr>
          <w:rFonts w:ascii="Arial" w:hAnsi="Arial" w:cs="Arial"/>
          <w:i/>
          <w:sz w:val="22"/>
          <w:szCs w:val="22"/>
          <w:u w:val="single"/>
          <w:lang w:val="en-US"/>
        </w:rPr>
        <w:t>must be decided</w:t>
      </w:r>
      <w:r w:rsidR="00C70CE0" w:rsidRPr="007A37E1">
        <w:rPr>
          <w:rFonts w:ascii="Arial" w:hAnsi="Arial" w:cs="Arial"/>
          <w:i/>
          <w:sz w:val="22"/>
          <w:szCs w:val="22"/>
          <w:lang w:val="en-US"/>
        </w:rPr>
        <w:t xml:space="preserve"> by the number of judges determined in terms of an Act of Parliament.” </w:t>
      </w:r>
      <w:r w:rsidR="00C70CE0" w:rsidRPr="007A37E1">
        <w:rPr>
          <w:rFonts w:ascii="Arial" w:hAnsi="Arial" w:cs="Arial"/>
          <w:sz w:val="22"/>
          <w:szCs w:val="22"/>
          <w:lang w:val="en-US"/>
        </w:rPr>
        <w:t>This judicial task cannot be allocated to an administrative officer of the Court.</w:t>
      </w:r>
      <w:r w:rsidR="008F2AFC" w:rsidRPr="007A37E1">
        <w:rPr>
          <w:rFonts w:ascii="Arial" w:hAnsi="Arial" w:cs="Arial"/>
          <w:sz w:val="22"/>
          <w:szCs w:val="22"/>
          <w:lang w:val="en-US"/>
        </w:rPr>
        <w:t>’</w:t>
      </w:r>
    </w:p>
    <w:p w14:paraId="092926EF" w14:textId="77777777" w:rsidR="009A1EA9" w:rsidRPr="007A37E1" w:rsidRDefault="009A1EA9" w:rsidP="00C70CE0">
      <w:pPr>
        <w:spacing w:line="360" w:lineRule="auto"/>
        <w:jc w:val="both"/>
        <w:rPr>
          <w:rFonts w:ascii="Arial" w:hAnsi="Arial" w:cs="Arial"/>
          <w:lang w:val="en-US"/>
        </w:rPr>
      </w:pPr>
    </w:p>
    <w:p w14:paraId="728EDF3B" w14:textId="43DA3B83" w:rsidR="00C70CE0" w:rsidRPr="007A37E1" w:rsidRDefault="00C70CE0" w:rsidP="00C70CE0">
      <w:pPr>
        <w:spacing w:line="360" w:lineRule="auto"/>
        <w:jc w:val="both"/>
        <w:rPr>
          <w:rFonts w:ascii="Arial" w:hAnsi="Arial" w:cs="Arial"/>
          <w:lang w:val="en-US"/>
        </w:rPr>
      </w:pPr>
      <w:r w:rsidRPr="007A37E1">
        <w:rPr>
          <w:rFonts w:ascii="Arial" w:hAnsi="Arial" w:cs="Arial"/>
          <w:lang w:val="en-US"/>
        </w:rPr>
        <w:t>[</w:t>
      </w:r>
      <w:r w:rsidR="006307C9" w:rsidRPr="007A37E1">
        <w:rPr>
          <w:rFonts w:ascii="Arial" w:hAnsi="Arial" w:cs="Arial"/>
          <w:lang w:val="en-US"/>
        </w:rPr>
        <w:t>5</w:t>
      </w:r>
      <w:r w:rsidR="00904BAC" w:rsidRPr="007A37E1">
        <w:rPr>
          <w:rFonts w:ascii="Arial" w:hAnsi="Arial" w:cs="Arial"/>
          <w:lang w:val="en-US"/>
        </w:rPr>
        <w:t>8</w:t>
      </w:r>
      <w:r w:rsidRPr="007A37E1">
        <w:rPr>
          <w:rFonts w:ascii="Arial" w:hAnsi="Arial" w:cs="Arial"/>
          <w:lang w:val="en-US"/>
        </w:rPr>
        <w:t>]</w:t>
      </w:r>
      <w:r w:rsidRPr="007A37E1">
        <w:rPr>
          <w:rFonts w:ascii="Arial" w:hAnsi="Arial" w:cs="Arial"/>
          <w:lang w:val="en-US"/>
        </w:rPr>
        <w:tab/>
        <w:t>For the same reason</w:t>
      </w:r>
      <w:r w:rsidR="00E92583" w:rsidRPr="007A37E1">
        <w:rPr>
          <w:rFonts w:ascii="Arial" w:hAnsi="Arial" w:cs="Arial"/>
          <w:lang w:val="en-US"/>
        </w:rPr>
        <w:t>,</w:t>
      </w:r>
      <w:r w:rsidRPr="007A37E1">
        <w:rPr>
          <w:rFonts w:ascii="Arial" w:hAnsi="Arial" w:cs="Arial"/>
          <w:lang w:val="en-US"/>
        </w:rPr>
        <w:t xml:space="preserve"> it is necessary to set out the concluding parts of the founding affidavit:</w:t>
      </w:r>
    </w:p>
    <w:p w14:paraId="6E16C6DA" w14:textId="77777777" w:rsidR="00C70CE0" w:rsidRPr="007A37E1" w:rsidRDefault="00C70CE0" w:rsidP="0069716C">
      <w:pPr>
        <w:spacing w:after="120" w:line="360" w:lineRule="auto"/>
        <w:jc w:val="both"/>
        <w:rPr>
          <w:rFonts w:ascii="Arial" w:hAnsi="Arial" w:cs="Arial"/>
          <w:sz w:val="22"/>
          <w:szCs w:val="22"/>
          <w:lang w:val="en-US"/>
        </w:rPr>
      </w:pPr>
      <w:r w:rsidRPr="007A37E1">
        <w:rPr>
          <w:rFonts w:ascii="Arial" w:hAnsi="Arial" w:cs="Arial"/>
          <w:sz w:val="22"/>
          <w:szCs w:val="22"/>
          <w:lang w:val="en-US"/>
        </w:rPr>
        <w:t>‘The Applicants’ decision for filing this Application has not been made lightly. However, as set out above in detail, the Applicants have indeed, in their view reasonable, the apprehension that the judges allocated to this matter might not bring their impartial minds “</w:t>
      </w:r>
      <w:r w:rsidRPr="007A37E1">
        <w:rPr>
          <w:rFonts w:ascii="Arial" w:hAnsi="Arial" w:cs="Arial"/>
          <w:i/>
          <w:sz w:val="22"/>
          <w:szCs w:val="22"/>
          <w:lang w:val="en-US"/>
        </w:rPr>
        <w:t xml:space="preserve">to bear on the adjudication of this case”, </w:t>
      </w:r>
      <w:r w:rsidRPr="007A37E1">
        <w:rPr>
          <w:rFonts w:ascii="Arial" w:hAnsi="Arial" w:cs="Arial"/>
          <w:sz w:val="22"/>
          <w:szCs w:val="22"/>
          <w:lang w:val="en-US"/>
        </w:rPr>
        <w:t>as set out in the Constitutional Court</w:t>
      </w:r>
      <w:r w:rsidRPr="007A37E1">
        <w:rPr>
          <w:rFonts w:ascii="Arial" w:hAnsi="Arial" w:cs="Arial"/>
          <w:i/>
          <w:sz w:val="22"/>
          <w:szCs w:val="22"/>
          <w:lang w:val="en-US"/>
        </w:rPr>
        <w:t xml:space="preserve"> SARFU </w:t>
      </w:r>
      <w:r w:rsidRPr="007A37E1">
        <w:rPr>
          <w:rFonts w:ascii="Arial" w:hAnsi="Arial" w:cs="Arial"/>
          <w:sz w:val="22"/>
          <w:szCs w:val="22"/>
          <w:lang w:val="en-US"/>
        </w:rPr>
        <w:t>case, which judges might therefore be biased. The reasons for saying so are as follows:</w:t>
      </w:r>
    </w:p>
    <w:p w14:paraId="7AD7931A" w14:textId="77777777" w:rsidR="00C70CE0" w:rsidRPr="007A37E1" w:rsidRDefault="00C70CE0" w:rsidP="0069716C">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6.1</w:t>
      </w:r>
      <w:r w:rsidRPr="007A37E1">
        <w:rPr>
          <w:rFonts w:ascii="Arial" w:hAnsi="Arial" w:cs="Arial"/>
          <w:sz w:val="22"/>
          <w:szCs w:val="22"/>
          <w:lang w:val="en-US"/>
        </w:rPr>
        <w:tab/>
        <w:t xml:space="preserve">Following the clear expressions of the Applicants’ absolute request to be heard in open court, the judges still attempted to accommodate the Appellant’s desire to argue not in open Court, paragraphs 4.7 and 4.11 </w:t>
      </w:r>
      <w:r w:rsidRPr="007A37E1">
        <w:rPr>
          <w:rFonts w:ascii="Arial" w:hAnsi="Arial" w:cs="Arial"/>
          <w:i/>
          <w:sz w:val="22"/>
          <w:szCs w:val="22"/>
          <w:lang w:val="en-US"/>
        </w:rPr>
        <w:t>supra.</w:t>
      </w:r>
      <w:r w:rsidRPr="007A37E1">
        <w:rPr>
          <w:rFonts w:ascii="Arial" w:hAnsi="Arial" w:cs="Arial"/>
          <w:sz w:val="22"/>
          <w:szCs w:val="22"/>
          <w:lang w:val="en-US"/>
        </w:rPr>
        <w:t xml:space="preserve"> In doing so, the judges failed to observe Article 13 of the </w:t>
      </w:r>
      <w:r w:rsidRPr="007A37E1">
        <w:rPr>
          <w:rFonts w:ascii="Arial" w:hAnsi="Arial" w:cs="Arial"/>
          <w:i/>
          <w:iCs/>
          <w:sz w:val="22"/>
          <w:szCs w:val="22"/>
          <w:lang w:val="en-US"/>
        </w:rPr>
        <w:t>Code of Judicial Conduct</w:t>
      </w:r>
      <w:r w:rsidRPr="007A37E1">
        <w:rPr>
          <w:rFonts w:ascii="Arial" w:hAnsi="Arial" w:cs="Arial"/>
          <w:i/>
          <w:sz w:val="22"/>
          <w:szCs w:val="22"/>
          <w:lang w:val="en-US"/>
        </w:rPr>
        <w:t xml:space="preserve"> </w:t>
      </w:r>
      <w:r w:rsidRPr="007A37E1">
        <w:rPr>
          <w:rFonts w:ascii="Arial" w:hAnsi="Arial" w:cs="Arial"/>
          <w:sz w:val="22"/>
          <w:szCs w:val="22"/>
          <w:lang w:val="en-US"/>
        </w:rPr>
        <w:t>and thereby casted doubt over their ability to impartially adjudicate the matter.</w:t>
      </w:r>
    </w:p>
    <w:p w14:paraId="3B333AAA" w14:textId="77777777" w:rsidR="00C70CE0" w:rsidRPr="007A37E1" w:rsidRDefault="00C70CE0" w:rsidP="0069716C">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lastRenderedPageBreak/>
        <w:t>6.2</w:t>
      </w:r>
      <w:r w:rsidRPr="007A37E1">
        <w:rPr>
          <w:rFonts w:ascii="Arial" w:hAnsi="Arial" w:cs="Arial"/>
          <w:sz w:val="22"/>
          <w:szCs w:val="22"/>
          <w:lang w:val="en-US"/>
        </w:rPr>
        <w:tab/>
        <w:t>The directive to proceed by virtual hearing was made before the dispute over the continued existence of the DMA Regulations had been adjudicated. It is the reasonable suspicion of the Applicants that, by doing so, the continued existence of the Regulations had, in the minds of the judges, already been accepted. In consequence, the requirement that the minds of impartial judges must be open to arguments and presentations where at a later stage the dispute over the Regulations would be adjudicated, has in the view of the Applicants not been fulfilled.</w:t>
      </w:r>
    </w:p>
    <w:p w14:paraId="375E6D17" w14:textId="77777777" w:rsidR="00C70CE0" w:rsidRPr="007A37E1" w:rsidRDefault="00C70CE0" w:rsidP="0069716C">
      <w:pPr>
        <w:tabs>
          <w:tab w:val="left" w:pos="567"/>
        </w:tabs>
        <w:spacing w:after="120" w:line="360" w:lineRule="auto"/>
        <w:ind w:left="567" w:hanging="567"/>
        <w:jc w:val="both"/>
        <w:rPr>
          <w:rFonts w:ascii="Arial" w:hAnsi="Arial" w:cs="Arial"/>
          <w:sz w:val="22"/>
          <w:szCs w:val="22"/>
          <w:lang w:val="en-US"/>
        </w:rPr>
      </w:pPr>
      <w:r w:rsidRPr="007A37E1">
        <w:rPr>
          <w:rFonts w:ascii="Arial" w:hAnsi="Arial" w:cs="Arial"/>
          <w:sz w:val="22"/>
          <w:szCs w:val="22"/>
          <w:lang w:val="en-US"/>
        </w:rPr>
        <w:t>6.3</w:t>
      </w:r>
      <w:r w:rsidRPr="007A37E1">
        <w:rPr>
          <w:rFonts w:ascii="Arial" w:hAnsi="Arial" w:cs="Arial"/>
          <w:sz w:val="22"/>
          <w:szCs w:val="22"/>
          <w:lang w:val="en-US"/>
        </w:rPr>
        <w:tab/>
        <w:t xml:space="preserve">This apprehension by the Applicants is further exacerbated by the Directive cited </w:t>
      </w:r>
      <w:r w:rsidRPr="007A37E1">
        <w:rPr>
          <w:rFonts w:ascii="Arial" w:hAnsi="Arial" w:cs="Arial"/>
          <w:i/>
          <w:sz w:val="22"/>
          <w:szCs w:val="22"/>
          <w:lang w:val="en-US"/>
        </w:rPr>
        <w:t>supra</w:t>
      </w:r>
      <w:r w:rsidRPr="007A37E1">
        <w:rPr>
          <w:rFonts w:ascii="Arial" w:hAnsi="Arial" w:cs="Arial"/>
          <w:sz w:val="22"/>
          <w:szCs w:val="22"/>
          <w:lang w:val="en-US"/>
        </w:rPr>
        <w:t xml:space="preserve"> in which the Applicants would be “permitted” to argue their constitutionally enshrined right to have an open court hearing, and were requested to do so by way of a virtual hearing, planned by the Court to immediately precede the one in which to argue the appeal. For the Applicants to presume the Court’s impartiality, they are in clear doubt as to how the Court would, even in the event of the judges suddenly being open to the Applicants’ arguments, practically be able to abandon their view point. If the judges had intended to adjudicate the matter with an open mind they would have, in the least, set aside a separate, earlier day for that virtual hearing in order to allow for the litigants and themselves to potentially travel to the Court house in Bloemfontein.</w:t>
      </w:r>
    </w:p>
    <w:p w14:paraId="3C8BE352" w14:textId="7007847C" w:rsidR="00C70CE0" w:rsidRPr="007A37E1" w:rsidRDefault="00C70CE0" w:rsidP="00C70CE0">
      <w:pPr>
        <w:tabs>
          <w:tab w:val="left" w:pos="567"/>
        </w:tabs>
        <w:spacing w:line="360" w:lineRule="auto"/>
        <w:ind w:left="567" w:hanging="567"/>
        <w:jc w:val="both"/>
        <w:rPr>
          <w:rFonts w:ascii="Arial" w:hAnsi="Arial" w:cs="Arial"/>
          <w:sz w:val="22"/>
          <w:szCs w:val="22"/>
          <w:lang w:val="en-US"/>
        </w:rPr>
      </w:pPr>
      <w:r w:rsidRPr="007A37E1">
        <w:rPr>
          <w:rFonts w:ascii="Arial" w:hAnsi="Arial" w:cs="Arial"/>
          <w:sz w:val="22"/>
          <w:szCs w:val="22"/>
          <w:lang w:val="en-US"/>
        </w:rPr>
        <w:t>6.4</w:t>
      </w:r>
      <w:r w:rsidRPr="007A37E1">
        <w:rPr>
          <w:rFonts w:ascii="Arial" w:hAnsi="Arial" w:cs="Arial"/>
          <w:sz w:val="22"/>
          <w:szCs w:val="22"/>
          <w:lang w:val="en-US"/>
        </w:rPr>
        <w:tab/>
        <w:t xml:space="preserve">Further to the above, from the letter by the Chief Registrar dated 20 May 2021 (Annexure “REC13”), the </w:t>
      </w:r>
      <w:r w:rsidR="00C75D99" w:rsidRPr="007A37E1">
        <w:rPr>
          <w:rFonts w:ascii="Arial" w:hAnsi="Arial" w:cs="Arial"/>
          <w:sz w:val="22"/>
          <w:szCs w:val="22"/>
          <w:lang w:val="en-US"/>
        </w:rPr>
        <w:t>A</w:t>
      </w:r>
      <w:r w:rsidRPr="007A37E1">
        <w:rPr>
          <w:rFonts w:ascii="Arial" w:hAnsi="Arial" w:cs="Arial"/>
          <w:sz w:val="22"/>
          <w:szCs w:val="22"/>
          <w:lang w:val="en-US"/>
        </w:rPr>
        <w:t xml:space="preserve">pplicants reasonably understand that the allocated judges have delegated their authority to have made the Directive in question or parts thereof to, possibly, the Chief Registrar or other unknown third entity. Neither the Constitution nor any other law the Applicants are aware of, allow for presiding officers, and here specifically judges of the Supreme </w:t>
      </w:r>
      <w:r w:rsidR="00003076" w:rsidRPr="007A37E1">
        <w:rPr>
          <w:rFonts w:ascii="Arial" w:hAnsi="Arial" w:cs="Arial"/>
          <w:sz w:val="22"/>
          <w:szCs w:val="22"/>
          <w:lang w:val="en-US"/>
        </w:rPr>
        <w:t>C</w:t>
      </w:r>
      <w:r w:rsidRPr="007A37E1">
        <w:rPr>
          <w:rFonts w:ascii="Arial" w:hAnsi="Arial" w:cs="Arial"/>
          <w:sz w:val="22"/>
          <w:szCs w:val="22"/>
          <w:lang w:val="en-US"/>
        </w:rPr>
        <w:t>ourt of Appeal, to make a decision in any matter, inclusive of Directives, by way of proxy. However, in terms of the judges</w:t>
      </w:r>
      <w:r w:rsidR="0005111C" w:rsidRPr="007A37E1">
        <w:rPr>
          <w:rFonts w:ascii="Arial" w:hAnsi="Arial" w:cs="Arial"/>
          <w:sz w:val="22"/>
          <w:szCs w:val="22"/>
          <w:lang w:val="en-US"/>
        </w:rPr>
        <w:t>’</w:t>
      </w:r>
      <w:r w:rsidRPr="007A37E1">
        <w:rPr>
          <w:rFonts w:ascii="Arial" w:hAnsi="Arial" w:cs="Arial"/>
          <w:sz w:val="22"/>
          <w:szCs w:val="22"/>
          <w:lang w:val="en-US"/>
        </w:rPr>
        <w:t xml:space="preserve"> Constitutional oath, all judges are bound to “</w:t>
      </w:r>
      <w:r w:rsidRPr="007A37E1">
        <w:rPr>
          <w:rFonts w:ascii="Arial" w:hAnsi="Arial" w:cs="Arial"/>
          <w:i/>
          <w:sz w:val="22"/>
          <w:szCs w:val="22"/>
          <w:lang w:val="en-US"/>
        </w:rPr>
        <w:t>uphold and protect the Constitution and the human rights entrenched in it</w:t>
      </w:r>
      <w:r w:rsidRPr="007A37E1">
        <w:rPr>
          <w:rFonts w:ascii="Arial" w:hAnsi="Arial" w:cs="Arial"/>
          <w:sz w:val="22"/>
          <w:szCs w:val="22"/>
          <w:lang w:val="en-US"/>
        </w:rPr>
        <w:t>” and to “</w:t>
      </w:r>
      <w:r w:rsidRPr="007A37E1">
        <w:rPr>
          <w:rFonts w:ascii="Arial" w:hAnsi="Arial" w:cs="Arial"/>
          <w:i/>
          <w:sz w:val="22"/>
          <w:szCs w:val="22"/>
          <w:lang w:val="en-US"/>
        </w:rPr>
        <w:t>administer justice to all persons alike without fear, favour or prejudice.</w:t>
      </w:r>
      <w:r w:rsidRPr="007A37E1">
        <w:rPr>
          <w:rFonts w:ascii="Arial" w:hAnsi="Arial" w:cs="Arial"/>
          <w:sz w:val="22"/>
          <w:szCs w:val="22"/>
          <w:lang w:val="en-US"/>
        </w:rPr>
        <w:t>” The Applicants, in finality, humbly reaffirm that judges who are not impartial enough to at least follow their own affirmation, in their view might well lack the impartiality to adjudicate this matter in an unbiased manner.’</w:t>
      </w:r>
    </w:p>
    <w:p w14:paraId="38A02EE8" w14:textId="77777777" w:rsidR="00362387" w:rsidRPr="007A37E1" w:rsidRDefault="00362387" w:rsidP="00C70CE0">
      <w:pPr>
        <w:tabs>
          <w:tab w:val="left" w:pos="567"/>
        </w:tabs>
        <w:spacing w:line="360" w:lineRule="auto"/>
        <w:ind w:left="567" w:hanging="567"/>
        <w:jc w:val="both"/>
        <w:rPr>
          <w:rFonts w:ascii="Arial" w:hAnsi="Arial" w:cs="Arial"/>
          <w:sz w:val="22"/>
          <w:szCs w:val="22"/>
          <w:lang w:val="en-US"/>
        </w:rPr>
      </w:pPr>
    </w:p>
    <w:p w14:paraId="5D4F13DD" w14:textId="5FEF1FAC" w:rsidR="00C70CE0" w:rsidRPr="007A37E1" w:rsidRDefault="00C70CE0" w:rsidP="0069716C">
      <w:pPr>
        <w:tabs>
          <w:tab w:val="left" w:pos="0"/>
          <w:tab w:val="left" w:pos="567"/>
          <w:tab w:val="left" w:pos="851"/>
        </w:tabs>
        <w:spacing w:line="360" w:lineRule="auto"/>
        <w:jc w:val="both"/>
        <w:rPr>
          <w:rFonts w:ascii="Arial" w:hAnsi="Arial" w:cs="Arial"/>
          <w:lang w:val="en-US"/>
        </w:rPr>
      </w:pPr>
      <w:r w:rsidRPr="007A37E1">
        <w:rPr>
          <w:rFonts w:ascii="Arial" w:hAnsi="Arial" w:cs="Arial"/>
          <w:lang w:val="en-US"/>
        </w:rPr>
        <w:t>[</w:t>
      </w:r>
      <w:r w:rsidR="006307C9" w:rsidRPr="007A37E1">
        <w:rPr>
          <w:rFonts w:ascii="Arial" w:hAnsi="Arial" w:cs="Arial"/>
          <w:lang w:val="en-US"/>
        </w:rPr>
        <w:t>5</w:t>
      </w:r>
      <w:r w:rsidR="00904BAC" w:rsidRPr="007A37E1">
        <w:rPr>
          <w:rFonts w:ascii="Arial" w:hAnsi="Arial" w:cs="Arial"/>
          <w:lang w:val="en-US"/>
        </w:rPr>
        <w:t>9</w:t>
      </w:r>
      <w:r w:rsidR="00CF4CDA" w:rsidRPr="007A37E1">
        <w:rPr>
          <w:rFonts w:ascii="Arial" w:hAnsi="Arial" w:cs="Arial"/>
          <w:lang w:val="en-US"/>
        </w:rPr>
        <w:t>]</w:t>
      </w:r>
      <w:r w:rsidR="00E92583" w:rsidRPr="007A37E1">
        <w:rPr>
          <w:rFonts w:ascii="Arial" w:hAnsi="Arial" w:cs="Arial"/>
          <w:lang w:val="en-US"/>
        </w:rPr>
        <w:tab/>
      </w:r>
      <w:r w:rsidR="00D117E4" w:rsidRPr="007A37E1">
        <w:rPr>
          <w:rFonts w:ascii="Arial" w:hAnsi="Arial" w:cs="Arial"/>
          <w:lang w:val="en-US"/>
        </w:rPr>
        <w:tab/>
      </w:r>
      <w:r w:rsidRPr="007A37E1">
        <w:rPr>
          <w:rFonts w:ascii="Arial" w:hAnsi="Arial" w:cs="Arial"/>
          <w:lang w:val="en-US"/>
        </w:rPr>
        <w:t>The night before the appeal was due to be heard</w:t>
      </w:r>
      <w:r w:rsidR="00E92583" w:rsidRPr="007A37E1">
        <w:rPr>
          <w:rFonts w:ascii="Arial" w:hAnsi="Arial" w:cs="Arial"/>
          <w:lang w:val="en-US"/>
        </w:rPr>
        <w:t>,</w:t>
      </w:r>
      <w:r w:rsidRPr="007A37E1">
        <w:rPr>
          <w:rFonts w:ascii="Arial" w:hAnsi="Arial" w:cs="Arial"/>
          <w:lang w:val="en-US"/>
        </w:rPr>
        <w:t xml:space="preserve"> the H</w:t>
      </w:r>
      <w:r w:rsidR="0005111C" w:rsidRPr="007A37E1">
        <w:rPr>
          <w:rFonts w:ascii="Arial" w:hAnsi="Arial" w:cs="Arial"/>
          <w:lang w:val="en-US"/>
        </w:rPr>
        <w:t>BF</w:t>
      </w:r>
      <w:r w:rsidR="005B7894" w:rsidRPr="007A37E1">
        <w:rPr>
          <w:rFonts w:ascii="Arial" w:hAnsi="Arial" w:cs="Arial"/>
          <w:lang w:val="en-US"/>
        </w:rPr>
        <w:t>,</w:t>
      </w:r>
      <w:r w:rsidRPr="007A37E1">
        <w:rPr>
          <w:rFonts w:ascii="Arial" w:hAnsi="Arial" w:cs="Arial"/>
          <w:lang w:val="en-US"/>
        </w:rPr>
        <w:t xml:space="preserve"> which was represented </w:t>
      </w:r>
      <w:r w:rsidR="008F2AFC" w:rsidRPr="007A37E1">
        <w:rPr>
          <w:rFonts w:ascii="Arial" w:hAnsi="Arial" w:cs="Arial"/>
          <w:lang w:val="en-US"/>
        </w:rPr>
        <w:t>in the high court</w:t>
      </w:r>
      <w:r w:rsidRPr="007A37E1">
        <w:rPr>
          <w:rFonts w:ascii="Arial" w:hAnsi="Arial" w:cs="Arial"/>
          <w:lang w:val="en-US"/>
        </w:rPr>
        <w:t xml:space="preserve"> by an office bearer, </w:t>
      </w:r>
      <w:r w:rsidR="001E0E1B" w:rsidRPr="007A37E1">
        <w:rPr>
          <w:rFonts w:ascii="Arial" w:hAnsi="Arial" w:cs="Arial"/>
          <w:lang w:val="en-US"/>
        </w:rPr>
        <w:t xml:space="preserve">forwarded </w:t>
      </w:r>
      <w:r w:rsidRPr="007A37E1">
        <w:rPr>
          <w:rFonts w:ascii="Arial" w:hAnsi="Arial" w:cs="Arial"/>
          <w:lang w:val="en-US"/>
        </w:rPr>
        <w:t>a set of heads of argument to the Registrar electronically</w:t>
      </w:r>
      <w:r w:rsidR="00EA6462" w:rsidRPr="007A37E1">
        <w:rPr>
          <w:rFonts w:ascii="Arial" w:hAnsi="Arial" w:cs="Arial"/>
          <w:lang w:val="en-US"/>
        </w:rPr>
        <w:t>,</w:t>
      </w:r>
      <w:r w:rsidRPr="007A37E1">
        <w:rPr>
          <w:rFonts w:ascii="Arial" w:hAnsi="Arial" w:cs="Arial"/>
          <w:lang w:val="en-US"/>
        </w:rPr>
        <w:t xml:space="preserve"> to be brought to our attention.</w:t>
      </w:r>
      <w:r w:rsidR="0005111C" w:rsidRPr="007A37E1">
        <w:rPr>
          <w:rFonts w:ascii="Arial" w:hAnsi="Arial" w:cs="Arial"/>
          <w:lang w:val="en-US"/>
        </w:rPr>
        <w:t xml:space="preserve"> </w:t>
      </w:r>
      <w:r w:rsidRPr="007A37E1">
        <w:rPr>
          <w:rFonts w:ascii="Arial" w:hAnsi="Arial" w:cs="Arial"/>
          <w:lang w:val="en-US"/>
        </w:rPr>
        <w:t xml:space="preserve">On the morning before the </w:t>
      </w:r>
      <w:r w:rsidRPr="007A37E1">
        <w:rPr>
          <w:rFonts w:ascii="Arial" w:hAnsi="Arial" w:cs="Arial"/>
          <w:lang w:val="en-US"/>
        </w:rPr>
        <w:lastRenderedPageBreak/>
        <w:t>appeal was heard</w:t>
      </w:r>
      <w:r w:rsidR="00B8573B" w:rsidRPr="007A37E1">
        <w:rPr>
          <w:rFonts w:ascii="Arial" w:hAnsi="Arial" w:cs="Arial"/>
          <w:lang w:val="en-US"/>
        </w:rPr>
        <w:t>,</w:t>
      </w:r>
      <w:r w:rsidRPr="007A37E1">
        <w:rPr>
          <w:rFonts w:ascii="Arial" w:hAnsi="Arial" w:cs="Arial"/>
          <w:lang w:val="en-US"/>
        </w:rPr>
        <w:t xml:space="preserve"> we directed the Registrar to notify the </w:t>
      </w:r>
      <w:r w:rsidR="0005111C" w:rsidRPr="007A37E1">
        <w:rPr>
          <w:rFonts w:ascii="Arial" w:hAnsi="Arial" w:cs="Arial"/>
          <w:lang w:val="en-US"/>
        </w:rPr>
        <w:t>HBF</w:t>
      </w:r>
      <w:r w:rsidRPr="007A37E1">
        <w:rPr>
          <w:rFonts w:ascii="Arial" w:hAnsi="Arial" w:cs="Arial"/>
          <w:lang w:val="en-US"/>
        </w:rPr>
        <w:t xml:space="preserve"> that we would not receive the heads </w:t>
      </w:r>
      <w:r w:rsidR="002A382E" w:rsidRPr="007A37E1">
        <w:rPr>
          <w:rFonts w:ascii="Arial" w:hAnsi="Arial" w:cs="Arial"/>
          <w:lang w:val="en-US"/>
        </w:rPr>
        <w:t xml:space="preserve">of argument </w:t>
      </w:r>
      <w:r w:rsidRPr="007A37E1">
        <w:rPr>
          <w:rFonts w:ascii="Arial" w:hAnsi="Arial" w:cs="Arial"/>
          <w:lang w:val="en-US"/>
        </w:rPr>
        <w:t>until we had an explanation for the</w:t>
      </w:r>
      <w:r w:rsidR="00B8573B" w:rsidRPr="007A37E1">
        <w:rPr>
          <w:rFonts w:ascii="Arial" w:hAnsi="Arial" w:cs="Arial"/>
          <w:lang w:val="en-US"/>
        </w:rPr>
        <w:t>ir</w:t>
      </w:r>
      <w:r w:rsidRPr="007A37E1">
        <w:rPr>
          <w:rFonts w:ascii="Arial" w:hAnsi="Arial" w:cs="Arial"/>
          <w:lang w:val="en-US"/>
        </w:rPr>
        <w:t xml:space="preserve"> late filing. </w:t>
      </w:r>
      <w:r w:rsidR="00C415DB" w:rsidRPr="007A37E1">
        <w:rPr>
          <w:rFonts w:ascii="Arial" w:hAnsi="Arial" w:cs="Arial"/>
          <w:lang w:val="en-US"/>
        </w:rPr>
        <w:t>Important in this regard, t</w:t>
      </w:r>
      <w:r w:rsidRPr="007A37E1">
        <w:rPr>
          <w:rFonts w:ascii="Arial" w:hAnsi="Arial" w:cs="Arial"/>
          <w:lang w:val="en-US"/>
        </w:rPr>
        <w:t xml:space="preserve">he high court in its judgment </w:t>
      </w:r>
      <w:r w:rsidR="00EA6462" w:rsidRPr="007A37E1">
        <w:rPr>
          <w:rFonts w:ascii="Arial" w:hAnsi="Arial" w:cs="Arial"/>
          <w:lang w:val="en-US"/>
        </w:rPr>
        <w:t xml:space="preserve">recorded </w:t>
      </w:r>
      <w:r w:rsidRPr="007A37E1">
        <w:rPr>
          <w:rFonts w:ascii="Arial" w:hAnsi="Arial" w:cs="Arial"/>
          <w:lang w:val="en-US"/>
        </w:rPr>
        <w:t xml:space="preserve">that </w:t>
      </w:r>
      <w:r w:rsidR="00C415DB" w:rsidRPr="007A37E1">
        <w:rPr>
          <w:rFonts w:ascii="Arial" w:hAnsi="Arial" w:cs="Arial"/>
          <w:lang w:val="en-US"/>
        </w:rPr>
        <w:t xml:space="preserve">‘in view of the lateness of its attempted joinder to the applications and the fact that it ultimately sought to enroll its own application way out of time’, </w:t>
      </w:r>
      <w:r w:rsidRPr="007A37E1">
        <w:rPr>
          <w:rFonts w:ascii="Arial" w:hAnsi="Arial" w:cs="Arial"/>
          <w:lang w:val="en-US"/>
        </w:rPr>
        <w:t>the H</w:t>
      </w:r>
      <w:r w:rsidR="0005111C" w:rsidRPr="007A37E1">
        <w:rPr>
          <w:rFonts w:ascii="Arial" w:hAnsi="Arial" w:cs="Arial"/>
          <w:lang w:val="en-US"/>
        </w:rPr>
        <w:t>BF</w:t>
      </w:r>
      <w:r w:rsidR="00C415DB" w:rsidRPr="007A37E1">
        <w:rPr>
          <w:rFonts w:ascii="Arial" w:hAnsi="Arial" w:cs="Arial"/>
          <w:lang w:val="en-US"/>
        </w:rPr>
        <w:t xml:space="preserve"> should bear its own costs.</w:t>
      </w:r>
      <w:r w:rsidR="000C2C76" w:rsidRPr="007A37E1">
        <w:rPr>
          <w:rFonts w:ascii="Arial" w:hAnsi="Arial" w:cs="Arial"/>
          <w:lang w:val="en-US"/>
        </w:rPr>
        <w:t xml:space="preserve"> It is necessary to rec</w:t>
      </w:r>
      <w:r w:rsidR="005B7894" w:rsidRPr="007A37E1">
        <w:rPr>
          <w:rFonts w:ascii="Arial" w:hAnsi="Arial" w:cs="Arial"/>
          <w:lang w:val="en-US"/>
        </w:rPr>
        <w:t xml:space="preserve">ord that in the </w:t>
      </w:r>
      <w:r w:rsidR="00B8573B" w:rsidRPr="007A37E1">
        <w:rPr>
          <w:rFonts w:ascii="Arial" w:hAnsi="Arial" w:cs="Arial"/>
          <w:lang w:val="en-US"/>
        </w:rPr>
        <w:t>high court Mr</w:t>
      </w:r>
      <w:r w:rsidR="005B7894" w:rsidRPr="007A37E1">
        <w:rPr>
          <w:rFonts w:ascii="Arial" w:hAnsi="Arial" w:cs="Arial"/>
          <w:lang w:val="en-US"/>
        </w:rPr>
        <w:t xml:space="preserve"> </w:t>
      </w:r>
      <w:r w:rsidR="0005111C" w:rsidRPr="007A37E1">
        <w:rPr>
          <w:rFonts w:ascii="Arial" w:hAnsi="Arial" w:cs="Arial"/>
          <w:lang w:val="en-US"/>
        </w:rPr>
        <w:t>d</w:t>
      </w:r>
      <w:r w:rsidR="005B7894" w:rsidRPr="007A37E1">
        <w:rPr>
          <w:rFonts w:ascii="Arial" w:hAnsi="Arial" w:cs="Arial"/>
          <w:lang w:val="en-US"/>
        </w:rPr>
        <w:t>e B</w:t>
      </w:r>
      <w:r w:rsidR="000C2C76" w:rsidRPr="007A37E1">
        <w:rPr>
          <w:rFonts w:ascii="Arial" w:hAnsi="Arial" w:cs="Arial"/>
          <w:lang w:val="en-US"/>
        </w:rPr>
        <w:t>eer represented himse</w:t>
      </w:r>
      <w:r w:rsidR="00F42F35" w:rsidRPr="007A37E1">
        <w:rPr>
          <w:rFonts w:ascii="Arial" w:hAnsi="Arial" w:cs="Arial"/>
          <w:lang w:val="en-US"/>
        </w:rPr>
        <w:t>lf</w:t>
      </w:r>
      <w:r w:rsidR="00E92583" w:rsidRPr="007A37E1">
        <w:rPr>
          <w:rFonts w:ascii="Arial" w:hAnsi="Arial" w:cs="Arial"/>
          <w:lang w:val="en-US"/>
        </w:rPr>
        <w:t>,</w:t>
      </w:r>
      <w:r w:rsidR="00882FEA" w:rsidRPr="007A37E1">
        <w:rPr>
          <w:rFonts w:ascii="Arial" w:hAnsi="Arial" w:cs="Arial"/>
          <w:lang w:val="en-US"/>
        </w:rPr>
        <w:t xml:space="preserve"> and</w:t>
      </w:r>
      <w:r w:rsidR="00F42F35" w:rsidRPr="007A37E1">
        <w:rPr>
          <w:rFonts w:ascii="Arial" w:hAnsi="Arial" w:cs="Arial"/>
          <w:lang w:val="en-US"/>
        </w:rPr>
        <w:t xml:space="preserve"> the LFN was represented by an attorney</w:t>
      </w:r>
      <w:r w:rsidR="005B7894" w:rsidRPr="007A37E1">
        <w:rPr>
          <w:rFonts w:ascii="Arial" w:hAnsi="Arial" w:cs="Arial"/>
          <w:lang w:val="en-US"/>
        </w:rPr>
        <w:t>,</w:t>
      </w:r>
      <w:r w:rsidR="00F42F35" w:rsidRPr="007A37E1">
        <w:rPr>
          <w:rFonts w:ascii="Arial" w:hAnsi="Arial" w:cs="Arial"/>
          <w:lang w:val="en-US"/>
        </w:rPr>
        <w:t xml:space="preserve"> who has since withdrawn</w:t>
      </w:r>
      <w:r w:rsidR="00D47B76" w:rsidRPr="007A37E1">
        <w:rPr>
          <w:rFonts w:ascii="Arial" w:hAnsi="Arial" w:cs="Arial"/>
          <w:lang w:val="en-US"/>
        </w:rPr>
        <w:t xml:space="preserve">. </w:t>
      </w:r>
      <w:r w:rsidR="00B8573B" w:rsidRPr="007A37E1">
        <w:rPr>
          <w:rFonts w:ascii="Arial" w:hAnsi="Arial" w:cs="Arial"/>
          <w:lang w:val="en-US"/>
        </w:rPr>
        <w:t xml:space="preserve">Mr </w:t>
      </w:r>
      <w:r w:rsidR="0005111C" w:rsidRPr="007A37E1">
        <w:rPr>
          <w:rFonts w:ascii="Arial" w:hAnsi="Arial" w:cs="Arial"/>
          <w:lang w:val="en-US"/>
        </w:rPr>
        <w:t>d</w:t>
      </w:r>
      <w:r w:rsidR="00D47B76" w:rsidRPr="007A37E1">
        <w:rPr>
          <w:rFonts w:ascii="Arial" w:hAnsi="Arial" w:cs="Arial"/>
          <w:lang w:val="en-US"/>
        </w:rPr>
        <w:t xml:space="preserve">e Beer </w:t>
      </w:r>
      <w:r w:rsidR="00C31739" w:rsidRPr="007A37E1">
        <w:rPr>
          <w:rFonts w:ascii="Arial" w:hAnsi="Arial" w:cs="Arial"/>
          <w:lang w:val="en-US"/>
        </w:rPr>
        <w:t>obtained</w:t>
      </w:r>
      <w:r w:rsidR="00D47B76" w:rsidRPr="007A37E1">
        <w:rPr>
          <w:rFonts w:ascii="Arial" w:hAnsi="Arial" w:cs="Arial"/>
          <w:lang w:val="en-US"/>
        </w:rPr>
        <w:t xml:space="preserve"> permission from the President of this </w:t>
      </w:r>
      <w:r w:rsidR="0005111C" w:rsidRPr="007A37E1">
        <w:rPr>
          <w:rFonts w:ascii="Arial" w:hAnsi="Arial" w:cs="Arial"/>
          <w:lang w:val="en-US"/>
        </w:rPr>
        <w:t>C</w:t>
      </w:r>
      <w:r w:rsidR="00D47B76" w:rsidRPr="007A37E1">
        <w:rPr>
          <w:rFonts w:ascii="Arial" w:hAnsi="Arial" w:cs="Arial"/>
          <w:lang w:val="en-US"/>
        </w:rPr>
        <w:t>ourt to</w:t>
      </w:r>
      <w:r w:rsidR="00C31739" w:rsidRPr="007A37E1">
        <w:rPr>
          <w:rFonts w:ascii="Arial" w:hAnsi="Arial" w:cs="Arial"/>
          <w:lang w:val="en-US"/>
        </w:rPr>
        <w:t xml:space="preserve"> represent the LFN in the appeal. </w:t>
      </w:r>
      <w:r w:rsidR="00C76E5C" w:rsidRPr="007A37E1">
        <w:rPr>
          <w:rFonts w:ascii="Arial" w:hAnsi="Arial" w:cs="Arial"/>
          <w:lang w:val="en-US"/>
        </w:rPr>
        <w:t xml:space="preserve">He </w:t>
      </w:r>
      <w:r w:rsidR="001E0E1B" w:rsidRPr="007A37E1">
        <w:rPr>
          <w:rFonts w:ascii="Arial" w:hAnsi="Arial" w:cs="Arial"/>
          <w:lang w:val="en-US"/>
        </w:rPr>
        <w:t xml:space="preserve">also </w:t>
      </w:r>
      <w:r w:rsidR="00882FEA" w:rsidRPr="007A37E1">
        <w:rPr>
          <w:rFonts w:ascii="Arial" w:hAnsi="Arial" w:cs="Arial"/>
          <w:lang w:val="en-US"/>
        </w:rPr>
        <w:t>continue</w:t>
      </w:r>
      <w:r w:rsidR="001E0E1B" w:rsidRPr="007A37E1">
        <w:rPr>
          <w:rFonts w:ascii="Arial" w:hAnsi="Arial" w:cs="Arial"/>
          <w:lang w:val="en-US"/>
        </w:rPr>
        <w:t>d</w:t>
      </w:r>
      <w:r w:rsidR="00882FEA" w:rsidRPr="007A37E1">
        <w:rPr>
          <w:rFonts w:ascii="Arial" w:hAnsi="Arial" w:cs="Arial"/>
          <w:lang w:val="en-US"/>
        </w:rPr>
        <w:t xml:space="preserve"> to represent himself.</w:t>
      </w:r>
    </w:p>
    <w:p w14:paraId="6C637FA2" w14:textId="77777777" w:rsidR="00E92583" w:rsidRPr="007A37E1" w:rsidRDefault="00E92583" w:rsidP="00CF4CDA">
      <w:pPr>
        <w:tabs>
          <w:tab w:val="left" w:pos="0"/>
          <w:tab w:val="left" w:pos="567"/>
        </w:tabs>
        <w:spacing w:line="360" w:lineRule="auto"/>
        <w:jc w:val="both"/>
        <w:rPr>
          <w:rFonts w:ascii="Arial" w:hAnsi="Arial" w:cs="Arial"/>
          <w:lang w:val="en-US"/>
        </w:rPr>
      </w:pPr>
    </w:p>
    <w:p w14:paraId="214C824C" w14:textId="29314806" w:rsidR="00C70CE0" w:rsidRPr="007A37E1" w:rsidRDefault="00C70CE0" w:rsidP="00CF4CDA">
      <w:pPr>
        <w:tabs>
          <w:tab w:val="left" w:pos="851"/>
        </w:tabs>
        <w:spacing w:line="360" w:lineRule="auto"/>
        <w:jc w:val="both"/>
        <w:rPr>
          <w:rFonts w:ascii="Arial" w:hAnsi="Arial" w:cs="Arial"/>
          <w:lang w:val="en-US"/>
        </w:rPr>
      </w:pPr>
      <w:r w:rsidRPr="007A37E1">
        <w:rPr>
          <w:rFonts w:ascii="Arial" w:hAnsi="Arial" w:cs="Arial"/>
          <w:lang w:val="en-US"/>
        </w:rPr>
        <w:t>[</w:t>
      </w:r>
      <w:r w:rsidR="00904BAC" w:rsidRPr="007A37E1">
        <w:rPr>
          <w:rFonts w:ascii="Arial" w:hAnsi="Arial" w:cs="Arial"/>
          <w:lang w:val="en-US"/>
        </w:rPr>
        <w:t>60</w:t>
      </w:r>
      <w:r w:rsidR="00CF4CDA" w:rsidRPr="007A37E1">
        <w:rPr>
          <w:rFonts w:ascii="Arial" w:hAnsi="Arial" w:cs="Arial"/>
          <w:lang w:val="en-US"/>
        </w:rPr>
        <w:t>]</w:t>
      </w:r>
      <w:r w:rsidR="00CF4CDA" w:rsidRPr="007A37E1">
        <w:rPr>
          <w:rFonts w:ascii="Arial" w:hAnsi="Arial" w:cs="Arial"/>
          <w:lang w:val="en-US"/>
        </w:rPr>
        <w:tab/>
      </w:r>
      <w:r w:rsidRPr="007A37E1">
        <w:rPr>
          <w:rFonts w:ascii="Arial" w:hAnsi="Arial" w:cs="Arial"/>
          <w:lang w:val="en-US"/>
        </w:rPr>
        <w:t xml:space="preserve">When the </w:t>
      </w:r>
      <w:r w:rsidR="00E92583" w:rsidRPr="007A37E1">
        <w:rPr>
          <w:rFonts w:ascii="Arial" w:hAnsi="Arial" w:cs="Arial"/>
          <w:lang w:val="en-US"/>
        </w:rPr>
        <w:t>C</w:t>
      </w:r>
      <w:r w:rsidRPr="007A37E1">
        <w:rPr>
          <w:rFonts w:ascii="Arial" w:hAnsi="Arial" w:cs="Arial"/>
          <w:lang w:val="en-US"/>
        </w:rPr>
        <w:t>ourt con</w:t>
      </w:r>
      <w:r w:rsidR="005B7894" w:rsidRPr="007A37E1">
        <w:rPr>
          <w:rFonts w:ascii="Arial" w:hAnsi="Arial" w:cs="Arial"/>
          <w:lang w:val="en-US"/>
        </w:rPr>
        <w:t xml:space="preserve">vened </w:t>
      </w:r>
      <w:r w:rsidRPr="007A37E1">
        <w:rPr>
          <w:rFonts w:ascii="Arial" w:hAnsi="Arial" w:cs="Arial"/>
          <w:lang w:val="en-US"/>
        </w:rPr>
        <w:t>on the morning of 26 May 2021</w:t>
      </w:r>
      <w:r w:rsidR="00B8573B" w:rsidRPr="007A37E1">
        <w:rPr>
          <w:rFonts w:ascii="Arial" w:hAnsi="Arial" w:cs="Arial"/>
          <w:lang w:val="en-US"/>
        </w:rPr>
        <w:t>,</w:t>
      </w:r>
      <w:r w:rsidRPr="007A37E1">
        <w:rPr>
          <w:rFonts w:ascii="Arial" w:hAnsi="Arial" w:cs="Arial"/>
          <w:lang w:val="en-US"/>
        </w:rPr>
        <w:t xml:space="preserve"> </w:t>
      </w:r>
      <w:r w:rsidR="001E0E1B" w:rsidRPr="007A37E1">
        <w:rPr>
          <w:rFonts w:ascii="Arial" w:hAnsi="Arial" w:cs="Arial"/>
          <w:lang w:val="en-US"/>
        </w:rPr>
        <w:t xml:space="preserve">Mr </w:t>
      </w:r>
      <w:r w:rsidR="00B7602A" w:rsidRPr="007A37E1">
        <w:rPr>
          <w:rFonts w:ascii="Arial" w:hAnsi="Arial" w:cs="Arial"/>
          <w:lang w:val="en-US"/>
        </w:rPr>
        <w:t>d</w:t>
      </w:r>
      <w:r w:rsidRPr="007A37E1">
        <w:rPr>
          <w:rFonts w:ascii="Arial" w:hAnsi="Arial" w:cs="Arial"/>
          <w:lang w:val="en-US"/>
        </w:rPr>
        <w:t>e Beer</w:t>
      </w:r>
      <w:r w:rsidR="00B8573B" w:rsidRPr="007A37E1">
        <w:rPr>
          <w:rFonts w:ascii="Arial" w:hAnsi="Arial" w:cs="Arial"/>
          <w:lang w:val="en-US"/>
        </w:rPr>
        <w:t>,</w:t>
      </w:r>
      <w:r w:rsidRPr="007A37E1">
        <w:rPr>
          <w:rFonts w:ascii="Arial" w:hAnsi="Arial" w:cs="Arial"/>
          <w:lang w:val="en-US"/>
        </w:rPr>
        <w:t xml:space="preserve"> in his personal capacity and representing the LFN</w:t>
      </w:r>
      <w:r w:rsidR="00B8573B" w:rsidRPr="007A37E1">
        <w:rPr>
          <w:rFonts w:ascii="Arial" w:hAnsi="Arial" w:cs="Arial"/>
          <w:lang w:val="en-US"/>
        </w:rPr>
        <w:t>,</w:t>
      </w:r>
      <w:r w:rsidRPr="007A37E1">
        <w:rPr>
          <w:rFonts w:ascii="Arial" w:hAnsi="Arial" w:cs="Arial"/>
          <w:lang w:val="en-US"/>
        </w:rPr>
        <w:t xml:space="preserve"> joined the virtual hearing using the Microsoft Teams platform. Mr Mothopeng</w:t>
      </w:r>
      <w:r w:rsidR="00B8573B" w:rsidRPr="007A37E1">
        <w:rPr>
          <w:rFonts w:ascii="Arial" w:hAnsi="Arial" w:cs="Arial"/>
          <w:lang w:val="en-US"/>
        </w:rPr>
        <w:t>,</w:t>
      </w:r>
      <w:r w:rsidRPr="007A37E1">
        <w:rPr>
          <w:rFonts w:ascii="Arial" w:hAnsi="Arial" w:cs="Arial"/>
          <w:lang w:val="en-US"/>
        </w:rPr>
        <w:t xml:space="preserve"> from the H</w:t>
      </w:r>
      <w:r w:rsidR="00B7602A" w:rsidRPr="007A37E1">
        <w:rPr>
          <w:rFonts w:ascii="Arial" w:hAnsi="Arial" w:cs="Arial"/>
          <w:lang w:val="en-US"/>
        </w:rPr>
        <w:t>BF</w:t>
      </w:r>
      <w:r w:rsidR="00B8573B" w:rsidRPr="007A37E1">
        <w:rPr>
          <w:rFonts w:ascii="Arial" w:hAnsi="Arial" w:cs="Arial"/>
          <w:lang w:val="en-US"/>
        </w:rPr>
        <w:t>,</w:t>
      </w:r>
      <w:r w:rsidRPr="007A37E1">
        <w:rPr>
          <w:rFonts w:ascii="Arial" w:hAnsi="Arial" w:cs="Arial"/>
          <w:lang w:val="en-US"/>
        </w:rPr>
        <w:t xml:space="preserve"> also appeared. We enquired from </w:t>
      </w:r>
      <w:r w:rsidR="001E0E1B" w:rsidRPr="007A37E1">
        <w:rPr>
          <w:rFonts w:ascii="Arial" w:hAnsi="Arial" w:cs="Arial"/>
          <w:lang w:val="en-US"/>
        </w:rPr>
        <w:t xml:space="preserve">Mr </w:t>
      </w:r>
      <w:r w:rsidR="00B7602A" w:rsidRPr="007A37E1">
        <w:rPr>
          <w:rFonts w:ascii="Arial" w:hAnsi="Arial" w:cs="Arial"/>
          <w:lang w:val="en-US"/>
        </w:rPr>
        <w:t>d</w:t>
      </w:r>
      <w:r w:rsidRPr="007A37E1">
        <w:rPr>
          <w:rFonts w:ascii="Arial" w:hAnsi="Arial" w:cs="Arial"/>
          <w:lang w:val="en-US"/>
        </w:rPr>
        <w:t>e Beer whether he was willing to make submission</w:t>
      </w:r>
      <w:r w:rsidR="005B7894" w:rsidRPr="007A37E1">
        <w:rPr>
          <w:rFonts w:ascii="Arial" w:hAnsi="Arial" w:cs="Arial"/>
          <w:lang w:val="en-US"/>
        </w:rPr>
        <w:t>s</w:t>
      </w:r>
      <w:r w:rsidRPr="007A37E1">
        <w:rPr>
          <w:rFonts w:ascii="Arial" w:hAnsi="Arial" w:cs="Arial"/>
          <w:lang w:val="en-US"/>
        </w:rPr>
        <w:t xml:space="preserve"> concerning the propriety of a virtual hearing and whether he intended to move the application for our recusal. After a fairly lengthy exchange with the </w:t>
      </w:r>
      <w:r w:rsidR="00B7602A" w:rsidRPr="007A37E1">
        <w:rPr>
          <w:rFonts w:ascii="Arial" w:hAnsi="Arial" w:cs="Arial"/>
          <w:lang w:val="en-US"/>
        </w:rPr>
        <w:t>C</w:t>
      </w:r>
      <w:r w:rsidRPr="007A37E1">
        <w:rPr>
          <w:rFonts w:ascii="Arial" w:hAnsi="Arial" w:cs="Arial"/>
          <w:lang w:val="en-US"/>
        </w:rPr>
        <w:t>ourt</w:t>
      </w:r>
      <w:r w:rsidR="00B8573B" w:rsidRPr="007A37E1">
        <w:rPr>
          <w:rFonts w:ascii="Arial" w:hAnsi="Arial" w:cs="Arial"/>
          <w:lang w:val="en-US"/>
        </w:rPr>
        <w:t>,</w:t>
      </w:r>
      <w:r w:rsidRPr="007A37E1">
        <w:rPr>
          <w:rFonts w:ascii="Arial" w:hAnsi="Arial" w:cs="Arial"/>
          <w:lang w:val="en-US"/>
        </w:rPr>
        <w:t xml:space="preserve"> </w:t>
      </w:r>
      <w:r w:rsidR="001E0E1B" w:rsidRPr="007A37E1">
        <w:rPr>
          <w:rFonts w:ascii="Arial" w:hAnsi="Arial" w:cs="Arial"/>
          <w:lang w:val="en-US"/>
        </w:rPr>
        <w:t xml:space="preserve">Mr </w:t>
      </w:r>
      <w:r w:rsidR="00B7602A" w:rsidRPr="007A37E1">
        <w:rPr>
          <w:rFonts w:ascii="Arial" w:hAnsi="Arial" w:cs="Arial"/>
          <w:lang w:val="en-US"/>
        </w:rPr>
        <w:t>d</w:t>
      </w:r>
      <w:r w:rsidRPr="007A37E1">
        <w:rPr>
          <w:rFonts w:ascii="Arial" w:hAnsi="Arial" w:cs="Arial"/>
          <w:lang w:val="en-US"/>
        </w:rPr>
        <w:t xml:space="preserve">e Beer elected not to participate in the virtual hearing. He repeatedly stated that he would be shooting himself in the foot by doing so and subverting his argument about the unique nature of this case. </w:t>
      </w:r>
      <w:r w:rsidR="001E0E1B" w:rsidRPr="007A37E1">
        <w:rPr>
          <w:rFonts w:ascii="Arial" w:hAnsi="Arial" w:cs="Arial"/>
          <w:lang w:val="en-US"/>
        </w:rPr>
        <w:t xml:space="preserve">Mr </w:t>
      </w:r>
      <w:r w:rsidR="00B7602A" w:rsidRPr="007A37E1">
        <w:rPr>
          <w:rFonts w:ascii="Arial" w:hAnsi="Arial" w:cs="Arial"/>
          <w:lang w:val="en-US"/>
        </w:rPr>
        <w:t>d</w:t>
      </w:r>
      <w:r w:rsidRPr="007A37E1">
        <w:rPr>
          <w:rFonts w:ascii="Arial" w:hAnsi="Arial" w:cs="Arial"/>
          <w:lang w:val="en-US"/>
        </w:rPr>
        <w:t>e Beer and the LFN were offered the opportunity to advance argument on the propriety of virtual hearings, the recusal application and the merits</w:t>
      </w:r>
      <w:r w:rsidR="001D7BF8" w:rsidRPr="007A37E1">
        <w:rPr>
          <w:rFonts w:ascii="Arial" w:hAnsi="Arial" w:cs="Arial"/>
          <w:lang w:val="en-US"/>
        </w:rPr>
        <w:t xml:space="preserve"> </w:t>
      </w:r>
      <w:r w:rsidR="00E92583" w:rsidRPr="007A37E1">
        <w:rPr>
          <w:rFonts w:ascii="Arial" w:hAnsi="Arial" w:cs="Arial"/>
          <w:lang w:val="en-US"/>
        </w:rPr>
        <w:t>of this appeal</w:t>
      </w:r>
      <w:r w:rsidRPr="007A37E1">
        <w:rPr>
          <w:rFonts w:ascii="Arial" w:hAnsi="Arial" w:cs="Arial"/>
          <w:lang w:val="en-US"/>
        </w:rPr>
        <w:t xml:space="preserve"> whilst reserving their rights to later argue that the entire process was irregular, </w:t>
      </w:r>
      <w:r w:rsidR="00B7602A" w:rsidRPr="007A37E1">
        <w:rPr>
          <w:rFonts w:ascii="Arial" w:hAnsi="Arial" w:cs="Arial"/>
          <w:lang w:val="en-US"/>
        </w:rPr>
        <w:t xml:space="preserve">but </w:t>
      </w:r>
      <w:r w:rsidRPr="007A37E1">
        <w:rPr>
          <w:rFonts w:ascii="Arial" w:hAnsi="Arial" w:cs="Arial"/>
          <w:lang w:val="en-US"/>
        </w:rPr>
        <w:t>this offer was spurned.</w:t>
      </w:r>
    </w:p>
    <w:p w14:paraId="0F2F53A3" w14:textId="77777777" w:rsidR="00C70CE0" w:rsidRPr="007A37E1" w:rsidRDefault="00C70CE0" w:rsidP="00C70CE0">
      <w:pPr>
        <w:tabs>
          <w:tab w:val="left" w:pos="567"/>
        </w:tabs>
        <w:spacing w:line="360" w:lineRule="auto"/>
        <w:ind w:left="567" w:hanging="567"/>
        <w:jc w:val="both"/>
        <w:rPr>
          <w:rFonts w:ascii="Arial" w:hAnsi="Arial" w:cs="Arial"/>
          <w:sz w:val="22"/>
          <w:szCs w:val="22"/>
          <w:lang w:val="en-US"/>
        </w:rPr>
      </w:pPr>
    </w:p>
    <w:p w14:paraId="04D7B281" w14:textId="0DA79429" w:rsidR="00B66F39" w:rsidRPr="007A37E1" w:rsidRDefault="00C70CE0" w:rsidP="00CF4CDA">
      <w:pPr>
        <w:tabs>
          <w:tab w:val="left" w:pos="567"/>
          <w:tab w:val="left" w:pos="851"/>
        </w:tabs>
        <w:spacing w:line="360" w:lineRule="auto"/>
        <w:jc w:val="both"/>
        <w:rPr>
          <w:rFonts w:ascii="Arial" w:hAnsi="Arial" w:cs="Arial"/>
          <w:lang w:val="en-US"/>
        </w:rPr>
      </w:pPr>
      <w:r w:rsidRPr="007A37E1">
        <w:rPr>
          <w:rFonts w:ascii="Arial" w:hAnsi="Arial" w:cs="Arial"/>
          <w:lang w:val="en-US"/>
        </w:rPr>
        <w:t>[</w:t>
      </w:r>
      <w:r w:rsidR="00FE1E22" w:rsidRPr="007A37E1">
        <w:rPr>
          <w:rFonts w:ascii="Arial" w:hAnsi="Arial" w:cs="Arial"/>
          <w:lang w:val="en-US"/>
        </w:rPr>
        <w:t>6</w:t>
      </w:r>
      <w:r w:rsidR="00904BAC" w:rsidRPr="007A37E1">
        <w:rPr>
          <w:rFonts w:ascii="Arial" w:hAnsi="Arial" w:cs="Arial"/>
          <w:lang w:val="en-US"/>
        </w:rPr>
        <w:t>1</w:t>
      </w:r>
      <w:r w:rsidR="00CF4CDA" w:rsidRPr="007A37E1">
        <w:rPr>
          <w:rFonts w:ascii="Arial" w:hAnsi="Arial" w:cs="Arial"/>
          <w:lang w:val="en-US"/>
        </w:rPr>
        <w:t>]</w:t>
      </w:r>
      <w:r w:rsidR="00CF4CDA" w:rsidRPr="007A37E1">
        <w:rPr>
          <w:rFonts w:ascii="Arial" w:hAnsi="Arial" w:cs="Arial"/>
          <w:lang w:val="en-US"/>
        </w:rPr>
        <w:tab/>
      </w:r>
      <w:r w:rsidR="00D117E4" w:rsidRPr="007A37E1">
        <w:rPr>
          <w:rFonts w:ascii="Arial" w:hAnsi="Arial" w:cs="Arial"/>
          <w:lang w:val="en-US"/>
        </w:rPr>
        <w:tab/>
      </w:r>
      <w:r w:rsidR="001E0E1B" w:rsidRPr="007A37E1">
        <w:rPr>
          <w:rFonts w:ascii="Arial" w:hAnsi="Arial" w:cs="Arial"/>
          <w:lang w:val="en-US"/>
        </w:rPr>
        <w:t xml:space="preserve">Mr </w:t>
      </w:r>
      <w:r w:rsidRPr="007A37E1">
        <w:rPr>
          <w:rFonts w:ascii="Arial" w:hAnsi="Arial" w:cs="Arial"/>
          <w:lang w:val="en-US"/>
        </w:rPr>
        <w:t xml:space="preserve">Mothopeng echoed </w:t>
      </w:r>
      <w:r w:rsidR="001E0E1B" w:rsidRPr="007A37E1">
        <w:rPr>
          <w:rFonts w:ascii="Arial" w:hAnsi="Arial" w:cs="Arial"/>
          <w:lang w:val="en-US"/>
        </w:rPr>
        <w:t xml:space="preserve">Mr </w:t>
      </w:r>
      <w:r w:rsidR="00B7602A" w:rsidRPr="007A37E1">
        <w:rPr>
          <w:rFonts w:ascii="Arial" w:hAnsi="Arial" w:cs="Arial"/>
          <w:lang w:val="en-US"/>
        </w:rPr>
        <w:t>d</w:t>
      </w:r>
      <w:r w:rsidRPr="007A37E1">
        <w:rPr>
          <w:rFonts w:ascii="Arial" w:hAnsi="Arial" w:cs="Arial"/>
          <w:lang w:val="en-US"/>
        </w:rPr>
        <w:t xml:space="preserve">e Beer, and if what the </w:t>
      </w:r>
      <w:r w:rsidR="00E92583" w:rsidRPr="007A37E1">
        <w:rPr>
          <w:rFonts w:ascii="Arial" w:hAnsi="Arial" w:cs="Arial"/>
          <w:lang w:val="en-US"/>
        </w:rPr>
        <w:t>high court</w:t>
      </w:r>
      <w:r w:rsidR="005B7894" w:rsidRPr="007A37E1">
        <w:rPr>
          <w:rFonts w:ascii="Arial" w:hAnsi="Arial" w:cs="Arial"/>
          <w:lang w:val="en-US"/>
        </w:rPr>
        <w:t xml:space="preserve"> recorded concerning </w:t>
      </w:r>
      <w:r w:rsidRPr="007A37E1">
        <w:rPr>
          <w:rFonts w:ascii="Arial" w:hAnsi="Arial" w:cs="Arial"/>
          <w:lang w:val="en-US"/>
        </w:rPr>
        <w:t>his foundation</w:t>
      </w:r>
      <w:r w:rsidR="00CF4DA4" w:rsidRPr="007A37E1">
        <w:rPr>
          <w:rFonts w:ascii="Arial" w:hAnsi="Arial" w:cs="Arial"/>
          <w:lang w:val="en-US"/>
        </w:rPr>
        <w:t>’s submissions on the merits</w:t>
      </w:r>
      <w:r w:rsidRPr="007A37E1">
        <w:rPr>
          <w:rFonts w:ascii="Arial" w:hAnsi="Arial" w:cs="Arial"/>
          <w:lang w:val="en-US"/>
        </w:rPr>
        <w:t xml:space="preserve"> is anything to go by, he once again aligned himself with the respondents. Both were excused and counsel </w:t>
      </w:r>
      <w:r w:rsidR="005B7894" w:rsidRPr="007A37E1">
        <w:rPr>
          <w:rFonts w:ascii="Arial" w:hAnsi="Arial" w:cs="Arial"/>
          <w:lang w:val="en-US"/>
        </w:rPr>
        <w:t>for the Minister and CASAC indi</w:t>
      </w:r>
      <w:r w:rsidRPr="007A37E1">
        <w:rPr>
          <w:rFonts w:ascii="Arial" w:hAnsi="Arial" w:cs="Arial"/>
          <w:lang w:val="en-US"/>
        </w:rPr>
        <w:t>c</w:t>
      </w:r>
      <w:r w:rsidR="005B7894" w:rsidRPr="007A37E1">
        <w:rPr>
          <w:rFonts w:ascii="Arial" w:hAnsi="Arial" w:cs="Arial"/>
          <w:lang w:val="en-US"/>
        </w:rPr>
        <w:t>a</w:t>
      </w:r>
      <w:r w:rsidRPr="007A37E1">
        <w:rPr>
          <w:rFonts w:ascii="Arial" w:hAnsi="Arial" w:cs="Arial"/>
          <w:lang w:val="en-US"/>
        </w:rPr>
        <w:t>ted that they were ready to advance submissions in support o</w:t>
      </w:r>
      <w:r w:rsidR="005B7894" w:rsidRPr="007A37E1">
        <w:rPr>
          <w:rFonts w:ascii="Arial" w:hAnsi="Arial" w:cs="Arial"/>
          <w:lang w:val="en-US"/>
        </w:rPr>
        <w:t xml:space="preserve">f the appeal. </w:t>
      </w:r>
    </w:p>
    <w:p w14:paraId="4190DBB6" w14:textId="77777777" w:rsidR="00B66F39" w:rsidRPr="007A37E1" w:rsidRDefault="00B66F39" w:rsidP="00CF4CDA">
      <w:pPr>
        <w:tabs>
          <w:tab w:val="left" w:pos="567"/>
          <w:tab w:val="left" w:pos="851"/>
        </w:tabs>
        <w:spacing w:line="360" w:lineRule="auto"/>
        <w:jc w:val="both"/>
        <w:rPr>
          <w:rFonts w:ascii="Arial" w:hAnsi="Arial" w:cs="Arial"/>
          <w:lang w:val="en-US"/>
        </w:rPr>
      </w:pPr>
    </w:p>
    <w:p w14:paraId="25A84645" w14:textId="1CEB76E1" w:rsidR="00C70CE0" w:rsidRPr="007A37E1" w:rsidRDefault="00970F55" w:rsidP="00CF4CDA">
      <w:pPr>
        <w:tabs>
          <w:tab w:val="left" w:pos="567"/>
          <w:tab w:val="left" w:pos="851"/>
        </w:tabs>
        <w:spacing w:line="360" w:lineRule="auto"/>
        <w:jc w:val="both"/>
        <w:rPr>
          <w:rFonts w:ascii="Arial" w:hAnsi="Arial" w:cs="Arial"/>
          <w:lang w:val="en-US"/>
        </w:rPr>
      </w:pPr>
      <w:r w:rsidRPr="007A37E1">
        <w:rPr>
          <w:rFonts w:ascii="Arial" w:hAnsi="Arial" w:cs="Arial"/>
          <w:lang w:val="en-US"/>
        </w:rPr>
        <w:t>[6</w:t>
      </w:r>
      <w:r w:rsidR="00904BAC" w:rsidRPr="007A37E1">
        <w:rPr>
          <w:rFonts w:ascii="Arial" w:hAnsi="Arial" w:cs="Arial"/>
          <w:lang w:val="en-US"/>
        </w:rPr>
        <w:t>2</w:t>
      </w:r>
      <w:r w:rsidRPr="007A37E1">
        <w:rPr>
          <w:rFonts w:ascii="Arial" w:hAnsi="Arial" w:cs="Arial"/>
          <w:lang w:val="en-US"/>
        </w:rPr>
        <w:t>]</w:t>
      </w:r>
      <w:r w:rsidRPr="007A37E1">
        <w:rPr>
          <w:rFonts w:ascii="Arial" w:hAnsi="Arial" w:cs="Arial"/>
          <w:lang w:val="en-US"/>
        </w:rPr>
        <w:tab/>
      </w:r>
      <w:r w:rsidR="00C75D99" w:rsidRPr="007A37E1">
        <w:rPr>
          <w:rFonts w:ascii="Arial" w:hAnsi="Arial" w:cs="Arial"/>
          <w:lang w:val="en-US"/>
        </w:rPr>
        <w:tab/>
      </w:r>
      <w:r w:rsidR="005B7894" w:rsidRPr="007A37E1">
        <w:rPr>
          <w:rFonts w:ascii="Arial" w:hAnsi="Arial" w:cs="Arial"/>
          <w:lang w:val="en-US"/>
        </w:rPr>
        <w:t>The</w:t>
      </w:r>
      <w:r w:rsidR="00C70CE0" w:rsidRPr="007A37E1">
        <w:rPr>
          <w:rFonts w:ascii="Arial" w:hAnsi="Arial" w:cs="Arial"/>
          <w:lang w:val="en-US"/>
        </w:rPr>
        <w:t xml:space="preserve"> recusal</w:t>
      </w:r>
      <w:r w:rsidR="005B7894" w:rsidRPr="007A37E1">
        <w:rPr>
          <w:rFonts w:ascii="Arial" w:hAnsi="Arial" w:cs="Arial"/>
          <w:lang w:val="en-US"/>
        </w:rPr>
        <w:t xml:space="preserve"> application was not formally moved. </w:t>
      </w:r>
      <w:r w:rsidR="005F33C3" w:rsidRPr="007A37E1">
        <w:rPr>
          <w:rFonts w:ascii="Arial" w:hAnsi="Arial" w:cs="Arial"/>
          <w:lang w:val="en-US"/>
        </w:rPr>
        <w:t xml:space="preserve">Each </w:t>
      </w:r>
      <w:r w:rsidR="00C70CE0" w:rsidRPr="007A37E1">
        <w:rPr>
          <w:rFonts w:ascii="Arial" w:hAnsi="Arial" w:cs="Arial"/>
          <w:lang w:val="en-US"/>
        </w:rPr>
        <w:t>me</w:t>
      </w:r>
      <w:r w:rsidR="005F33C3" w:rsidRPr="007A37E1">
        <w:rPr>
          <w:rFonts w:ascii="Arial" w:hAnsi="Arial" w:cs="Arial"/>
          <w:lang w:val="en-US"/>
        </w:rPr>
        <w:t>mber</w:t>
      </w:r>
      <w:r w:rsidR="00097901" w:rsidRPr="007A37E1">
        <w:rPr>
          <w:rFonts w:ascii="Arial" w:hAnsi="Arial" w:cs="Arial"/>
          <w:lang w:val="en-US"/>
        </w:rPr>
        <w:t xml:space="preserve"> of the </w:t>
      </w:r>
      <w:r w:rsidR="00E92583" w:rsidRPr="007A37E1">
        <w:rPr>
          <w:rFonts w:ascii="Arial" w:hAnsi="Arial" w:cs="Arial"/>
          <w:lang w:val="en-US"/>
        </w:rPr>
        <w:t>C</w:t>
      </w:r>
      <w:r w:rsidR="00097901" w:rsidRPr="007A37E1">
        <w:rPr>
          <w:rFonts w:ascii="Arial" w:hAnsi="Arial" w:cs="Arial"/>
          <w:lang w:val="en-US"/>
        </w:rPr>
        <w:t xml:space="preserve">ourt </w:t>
      </w:r>
      <w:r w:rsidR="00C70CE0" w:rsidRPr="007A37E1">
        <w:rPr>
          <w:rFonts w:ascii="Arial" w:hAnsi="Arial" w:cs="Arial"/>
          <w:lang w:val="en-US"/>
        </w:rPr>
        <w:t>record</w:t>
      </w:r>
      <w:r w:rsidR="00097901" w:rsidRPr="007A37E1">
        <w:rPr>
          <w:rFonts w:ascii="Arial" w:hAnsi="Arial" w:cs="Arial"/>
          <w:lang w:val="en-US"/>
        </w:rPr>
        <w:t xml:space="preserve">ed that they could conceive of </w:t>
      </w:r>
      <w:r w:rsidR="00C70CE0" w:rsidRPr="007A37E1">
        <w:rPr>
          <w:rFonts w:ascii="Arial" w:hAnsi="Arial" w:cs="Arial"/>
          <w:lang w:val="en-US"/>
        </w:rPr>
        <w:t xml:space="preserve">no reason </w:t>
      </w:r>
      <w:r w:rsidR="00C70CE0" w:rsidRPr="007A37E1">
        <w:rPr>
          <w:rFonts w:ascii="Arial" w:hAnsi="Arial" w:cs="Arial"/>
          <w:i/>
          <w:iCs/>
          <w:lang w:val="en-US"/>
        </w:rPr>
        <w:t>mero motu</w:t>
      </w:r>
      <w:r w:rsidR="00C70CE0" w:rsidRPr="007A37E1">
        <w:rPr>
          <w:rFonts w:ascii="Arial" w:hAnsi="Arial" w:cs="Arial"/>
          <w:lang w:val="en-US"/>
        </w:rPr>
        <w:t xml:space="preserve"> to recuse him or herself.</w:t>
      </w:r>
    </w:p>
    <w:p w14:paraId="2984B35F" w14:textId="77777777" w:rsidR="00362387" w:rsidRPr="007A37E1" w:rsidRDefault="00362387" w:rsidP="00CF4CDA">
      <w:pPr>
        <w:tabs>
          <w:tab w:val="left" w:pos="567"/>
          <w:tab w:val="left" w:pos="851"/>
        </w:tabs>
        <w:spacing w:line="360" w:lineRule="auto"/>
        <w:jc w:val="both"/>
        <w:rPr>
          <w:rFonts w:ascii="Arial" w:hAnsi="Arial" w:cs="Arial"/>
          <w:lang w:val="en-US"/>
        </w:rPr>
      </w:pPr>
    </w:p>
    <w:p w14:paraId="5136794D" w14:textId="3FC546E2" w:rsidR="00706A77" w:rsidRPr="007A37E1" w:rsidRDefault="00C70CE0" w:rsidP="00CF4CDA">
      <w:pPr>
        <w:tabs>
          <w:tab w:val="left" w:pos="567"/>
          <w:tab w:val="left" w:pos="851"/>
        </w:tabs>
        <w:spacing w:line="360" w:lineRule="auto"/>
        <w:jc w:val="both"/>
        <w:rPr>
          <w:rFonts w:ascii="Arial" w:hAnsi="Arial" w:cs="Arial"/>
          <w:lang w:val="en-US"/>
        </w:rPr>
      </w:pPr>
      <w:r w:rsidRPr="007A37E1">
        <w:rPr>
          <w:rFonts w:ascii="Arial" w:hAnsi="Arial" w:cs="Arial"/>
          <w:lang w:val="en-US"/>
        </w:rPr>
        <w:t>[</w:t>
      </w:r>
      <w:r w:rsidR="007A549D" w:rsidRPr="007A37E1">
        <w:rPr>
          <w:rFonts w:ascii="Arial" w:hAnsi="Arial" w:cs="Arial"/>
          <w:lang w:val="en-US"/>
        </w:rPr>
        <w:t>6</w:t>
      </w:r>
      <w:r w:rsidR="00904BAC" w:rsidRPr="007A37E1">
        <w:rPr>
          <w:rFonts w:ascii="Arial" w:hAnsi="Arial" w:cs="Arial"/>
          <w:lang w:val="en-US"/>
        </w:rPr>
        <w:t>3</w:t>
      </w:r>
      <w:r w:rsidR="00CF4CDA" w:rsidRPr="007A37E1">
        <w:rPr>
          <w:rFonts w:ascii="Arial" w:hAnsi="Arial" w:cs="Arial"/>
          <w:lang w:val="en-US"/>
        </w:rPr>
        <w:t>]</w:t>
      </w:r>
      <w:r w:rsidR="00CF4CDA" w:rsidRPr="007A37E1">
        <w:rPr>
          <w:rFonts w:ascii="Arial" w:hAnsi="Arial" w:cs="Arial"/>
          <w:lang w:val="en-US"/>
        </w:rPr>
        <w:tab/>
      </w:r>
      <w:r w:rsidR="00C75D99" w:rsidRPr="007A37E1">
        <w:rPr>
          <w:rFonts w:ascii="Arial" w:hAnsi="Arial" w:cs="Arial"/>
          <w:lang w:val="en-US"/>
        </w:rPr>
        <w:tab/>
      </w:r>
      <w:r w:rsidR="00706A77" w:rsidRPr="007A37E1">
        <w:rPr>
          <w:rFonts w:ascii="Arial" w:hAnsi="Arial" w:cs="Arial"/>
          <w:lang w:val="en-US"/>
        </w:rPr>
        <w:t xml:space="preserve">Mr </w:t>
      </w:r>
      <w:r w:rsidR="00AF5453" w:rsidRPr="007A37E1">
        <w:rPr>
          <w:rFonts w:ascii="Arial" w:hAnsi="Arial" w:cs="Arial"/>
          <w:lang w:val="en-US"/>
        </w:rPr>
        <w:t>d</w:t>
      </w:r>
      <w:r w:rsidR="00706A77" w:rsidRPr="007A37E1">
        <w:rPr>
          <w:rFonts w:ascii="Arial" w:hAnsi="Arial" w:cs="Arial"/>
          <w:lang w:val="en-US"/>
        </w:rPr>
        <w:t>e Beer, the LF</w:t>
      </w:r>
      <w:r w:rsidR="002A382E" w:rsidRPr="007A37E1">
        <w:rPr>
          <w:rFonts w:ascii="Arial" w:hAnsi="Arial" w:cs="Arial"/>
          <w:lang w:val="en-US"/>
        </w:rPr>
        <w:t>N</w:t>
      </w:r>
      <w:r w:rsidR="00706A77" w:rsidRPr="007A37E1">
        <w:rPr>
          <w:rFonts w:ascii="Arial" w:hAnsi="Arial" w:cs="Arial"/>
          <w:lang w:val="en-US"/>
        </w:rPr>
        <w:t xml:space="preserve"> and the H</w:t>
      </w:r>
      <w:r w:rsidR="00B7602A" w:rsidRPr="007A37E1">
        <w:rPr>
          <w:rFonts w:ascii="Arial" w:hAnsi="Arial" w:cs="Arial"/>
          <w:lang w:val="en-US"/>
        </w:rPr>
        <w:t>BF</w:t>
      </w:r>
      <w:r w:rsidR="00706A77" w:rsidRPr="007A37E1">
        <w:rPr>
          <w:rFonts w:ascii="Arial" w:hAnsi="Arial" w:cs="Arial"/>
          <w:lang w:val="en-US"/>
        </w:rPr>
        <w:t xml:space="preserve"> insisted that this </w:t>
      </w:r>
      <w:r w:rsidR="00B7602A" w:rsidRPr="007A37E1">
        <w:rPr>
          <w:rFonts w:ascii="Arial" w:hAnsi="Arial" w:cs="Arial"/>
          <w:lang w:val="en-US"/>
        </w:rPr>
        <w:t>C</w:t>
      </w:r>
      <w:r w:rsidR="00706A77" w:rsidRPr="007A37E1">
        <w:rPr>
          <w:rFonts w:ascii="Arial" w:hAnsi="Arial" w:cs="Arial"/>
          <w:lang w:val="en-US"/>
        </w:rPr>
        <w:t xml:space="preserve">ourt was required to conduct the oral hearing in person, and in a court in Bloemfontein, failing which we would not be acting in accordance with our judicial duties. Indeed, we would be making manifest our </w:t>
      </w:r>
      <w:r w:rsidR="00706A77" w:rsidRPr="007A37E1">
        <w:rPr>
          <w:rFonts w:ascii="Arial" w:hAnsi="Arial" w:cs="Arial"/>
          <w:lang w:val="en-US"/>
        </w:rPr>
        <w:lastRenderedPageBreak/>
        <w:t xml:space="preserve">disposition to prejudge the merits of the appeal before us. If we </w:t>
      </w:r>
      <w:r w:rsidR="00993C20" w:rsidRPr="007A37E1">
        <w:rPr>
          <w:rFonts w:ascii="Arial" w:hAnsi="Arial" w:cs="Arial"/>
          <w:lang w:val="en-US"/>
        </w:rPr>
        <w:t>did</w:t>
      </w:r>
      <w:r w:rsidR="00706A77" w:rsidRPr="007A37E1">
        <w:rPr>
          <w:rFonts w:ascii="Arial" w:hAnsi="Arial" w:cs="Arial"/>
          <w:lang w:val="en-US"/>
        </w:rPr>
        <w:t xml:space="preserve"> not accede to a hearing</w:t>
      </w:r>
      <w:r w:rsidR="001C08F5" w:rsidRPr="007A37E1">
        <w:rPr>
          <w:rFonts w:ascii="Arial" w:hAnsi="Arial" w:cs="Arial"/>
          <w:lang w:val="en-US"/>
        </w:rPr>
        <w:t>,</w:t>
      </w:r>
      <w:r w:rsidR="00706A77" w:rsidRPr="007A37E1">
        <w:rPr>
          <w:rFonts w:ascii="Arial" w:hAnsi="Arial" w:cs="Arial"/>
          <w:lang w:val="en-US"/>
        </w:rPr>
        <w:t xml:space="preserve"> as required by Mr </w:t>
      </w:r>
      <w:r w:rsidR="00B7602A" w:rsidRPr="007A37E1">
        <w:rPr>
          <w:rFonts w:ascii="Arial" w:hAnsi="Arial" w:cs="Arial"/>
          <w:lang w:val="en-US"/>
        </w:rPr>
        <w:t>d</w:t>
      </w:r>
      <w:r w:rsidR="00706A77" w:rsidRPr="007A37E1">
        <w:rPr>
          <w:rFonts w:ascii="Arial" w:hAnsi="Arial" w:cs="Arial"/>
          <w:lang w:val="en-US"/>
        </w:rPr>
        <w:t>e Beer and the LF</w:t>
      </w:r>
      <w:r w:rsidR="002A382E" w:rsidRPr="007A37E1">
        <w:rPr>
          <w:rFonts w:ascii="Arial" w:hAnsi="Arial" w:cs="Arial"/>
          <w:lang w:val="en-US"/>
        </w:rPr>
        <w:t>N</w:t>
      </w:r>
      <w:r w:rsidR="00706A77" w:rsidRPr="007A37E1">
        <w:rPr>
          <w:rFonts w:ascii="Arial" w:hAnsi="Arial" w:cs="Arial"/>
          <w:lang w:val="en-US"/>
        </w:rPr>
        <w:t>, then the appeal should</w:t>
      </w:r>
      <w:r w:rsidR="00993C20" w:rsidRPr="007A37E1">
        <w:rPr>
          <w:rFonts w:ascii="Arial" w:hAnsi="Arial" w:cs="Arial"/>
          <w:lang w:val="en-US"/>
        </w:rPr>
        <w:t>, it was submitted,</w:t>
      </w:r>
      <w:r w:rsidR="00706A77" w:rsidRPr="007A37E1">
        <w:rPr>
          <w:rFonts w:ascii="Arial" w:hAnsi="Arial" w:cs="Arial"/>
          <w:lang w:val="en-US"/>
        </w:rPr>
        <w:t xml:space="preserve"> be </w:t>
      </w:r>
      <w:r w:rsidR="001C08F5" w:rsidRPr="007A37E1">
        <w:rPr>
          <w:rFonts w:ascii="Arial" w:hAnsi="Arial" w:cs="Arial"/>
          <w:lang w:val="en-US"/>
        </w:rPr>
        <w:t>postponed</w:t>
      </w:r>
      <w:r w:rsidR="00D93AF0" w:rsidRPr="007A37E1">
        <w:rPr>
          <w:rFonts w:ascii="Arial" w:hAnsi="Arial" w:cs="Arial"/>
          <w:lang w:val="en-US"/>
        </w:rPr>
        <w:t>,</w:t>
      </w:r>
      <w:r w:rsidR="00B10395" w:rsidRPr="007A37E1">
        <w:rPr>
          <w:rFonts w:ascii="Arial" w:hAnsi="Arial" w:cs="Arial"/>
          <w:lang w:val="en-US"/>
        </w:rPr>
        <w:t xml:space="preserve"> </w:t>
      </w:r>
      <w:r w:rsidR="001C08F5" w:rsidRPr="007A37E1">
        <w:rPr>
          <w:rFonts w:ascii="Arial" w:hAnsi="Arial" w:cs="Arial"/>
          <w:lang w:val="en-US"/>
        </w:rPr>
        <w:t>until such time as the court was convened in accordance with their stipulations.</w:t>
      </w:r>
    </w:p>
    <w:p w14:paraId="6BB8E9EC" w14:textId="77777777" w:rsidR="00AF5453" w:rsidRPr="007A37E1" w:rsidRDefault="00AF5453" w:rsidP="00CF4CDA">
      <w:pPr>
        <w:tabs>
          <w:tab w:val="left" w:pos="567"/>
          <w:tab w:val="left" w:pos="851"/>
        </w:tabs>
        <w:spacing w:line="360" w:lineRule="auto"/>
        <w:jc w:val="both"/>
        <w:rPr>
          <w:rFonts w:ascii="Arial" w:hAnsi="Arial" w:cs="Arial"/>
          <w:lang w:val="en-US"/>
        </w:rPr>
      </w:pPr>
    </w:p>
    <w:p w14:paraId="0C54932D" w14:textId="4111CC6B" w:rsidR="00D14DC7" w:rsidRPr="007A37E1" w:rsidRDefault="001C08F5" w:rsidP="00CF4CDA">
      <w:pPr>
        <w:tabs>
          <w:tab w:val="left" w:pos="567"/>
          <w:tab w:val="left" w:pos="851"/>
        </w:tabs>
        <w:spacing w:line="360" w:lineRule="auto"/>
        <w:jc w:val="both"/>
        <w:rPr>
          <w:rFonts w:ascii="Arial" w:hAnsi="Arial" w:cs="Arial"/>
          <w:lang w:val="en-US"/>
        </w:rPr>
      </w:pPr>
      <w:r w:rsidRPr="007A37E1">
        <w:rPr>
          <w:rFonts w:ascii="Arial" w:hAnsi="Arial" w:cs="Arial"/>
          <w:lang w:val="en-US"/>
        </w:rPr>
        <w:t>[6</w:t>
      </w:r>
      <w:r w:rsidR="00904BAC" w:rsidRPr="007A37E1">
        <w:rPr>
          <w:rFonts w:ascii="Arial" w:hAnsi="Arial" w:cs="Arial"/>
          <w:lang w:val="en-US"/>
        </w:rPr>
        <w:t>4</w:t>
      </w:r>
      <w:r w:rsidRPr="007A37E1">
        <w:rPr>
          <w:rFonts w:ascii="Arial" w:hAnsi="Arial" w:cs="Arial"/>
          <w:lang w:val="en-US"/>
        </w:rPr>
        <w:t>]</w:t>
      </w:r>
      <w:r w:rsidR="00C36241" w:rsidRPr="007A37E1">
        <w:rPr>
          <w:rFonts w:ascii="Arial" w:hAnsi="Arial" w:cs="Arial"/>
          <w:lang w:val="en-US"/>
        </w:rPr>
        <w:tab/>
      </w:r>
      <w:r w:rsidR="00003076" w:rsidRPr="007A37E1">
        <w:rPr>
          <w:rFonts w:ascii="Arial" w:hAnsi="Arial" w:cs="Arial"/>
          <w:lang w:val="en-US"/>
        </w:rPr>
        <w:tab/>
      </w:r>
      <w:r w:rsidRPr="007A37E1">
        <w:rPr>
          <w:rFonts w:ascii="Arial" w:hAnsi="Arial" w:cs="Arial"/>
          <w:lang w:val="en-US"/>
        </w:rPr>
        <w:t>Litigants may not specify the conditions under which they are willing to have a matter heard and adjudicated. The Constitution, in terms of s</w:t>
      </w:r>
      <w:r w:rsidR="00C76E5C" w:rsidRPr="007A37E1">
        <w:rPr>
          <w:rFonts w:ascii="Arial" w:hAnsi="Arial" w:cs="Arial"/>
          <w:lang w:val="en-US"/>
        </w:rPr>
        <w:t xml:space="preserve"> </w:t>
      </w:r>
      <w:r w:rsidRPr="007A37E1">
        <w:rPr>
          <w:rFonts w:ascii="Arial" w:hAnsi="Arial" w:cs="Arial"/>
          <w:lang w:val="en-US"/>
        </w:rPr>
        <w:t>34, gives everyone the right to have any dispute</w:t>
      </w:r>
      <w:r w:rsidR="00C36241" w:rsidRPr="007A37E1">
        <w:rPr>
          <w:rFonts w:ascii="Arial" w:hAnsi="Arial" w:cs="Arial"/>
          <w:lang w:val="en-US"/>
        </w:rPr>
        <w:t>,</w:t>
      </w:r>
      <w:r w:rsidRPr="007A37E1">
        <w:rPr>
          <w:rFonts w:ascii="Arial" w:hAnsi="Arial" w:cs="Arial"/>
          <w:lang w:val="en-US"/>
        </w:rPr>
        <w:t xml:space="preserve"> that can be resolved by the application of law</w:t>
      </w:r>
      <w:r w:rsidR="00C36241" w:rsidRPr="007A37E1">
        <w:rPr>
          <w:rFonts w:ascii="Arial" w:hAnsi="Arial" w:cs="Arial"/>
          <w:lang w:val="en-US"/>
        </w:rPr>
        <w:t>,</w:t>
      </w:r>
      <w:r w:rsidRPr="007A37E1">
        <w:rPr>
          <w:rFonts w:ascii="Arial" w:hAnsi="Arial" w:cs="Arial"/>
          <w:lang w:val="en-US"/>
        </w:rPr>
        <w:t xml:space="preserve"> decided in a fair public hearing before a court. Section 9(1)</w:t>
      </w:r>
      <w:r w:rsidRPr="007A37E1">
        <w:rPr>
          <w:rFonts w:ascii="Arial" w:hAnsi="Arial" w:cs="Arial"/>
          <w:i/>
          <w:lang w:val="en-US"/>
        </w:rPr>
        <w:t xml:space="preserve">(a) </w:t>
      </w:r>
      <w:r w:rsidRPr="007A37E1">
        <w:rPr>
          <w:rFonts w:ascii="Arial" w:hAnsi="Arial" w:cs="Arial"/>
          <w:lang w:val="en-US"/>
        </w:rPr>
        <w:t xml:space="preserve">of the </w:t>
      </w:r>
      <w:r w:rsidR="00B7602A" w:rsidRPr="007A37E1">
        <w:rPr>
          <w:rFonts w:ascii="Arial" w:hAnsi="Arial" w:cs="Arial"/>
          <w:lang w:val="en-US"/>
        </w:rPr>
        <w:t>S</w:t>
      </w:r>
      <w:r w:rsidR="002A7F50" w:rsidRPr="007A37E1">
        <w:rPr>
          <w:rFonts w:ascii="Arial" w:hAnsi="Arial" w:cs="Arial"/>
          <w:lang w:val="en-US"/>
        </w:rPr>
        <w:t xml:space="preserve">C </w:t>
      </w:r>
      <w:r w:rsidR="00C36241" w:rsidRPr="007A37E1">
        <w:rPr>
          <w:rFonts w:ascii="Arial" w:hAnsi="Arial" w:cs="Arial"/>
          <w:lang w:val="en-US"/>
        </w:rPr>
        <w:t>A</w:t>
      </w:r>
      <w:r w:rsidR="002A7F50" w:rsidRPr="007A37E1">
        <w:rPr>
          <w:rFonts w:ascii="Arial" w:hAnsi="Arial" w:cs="Arial"/>
          <w:lang w:val="en-US"/>
        </w:rPr>
        <w:t>ct</w:t>
      </w:r>
      <w:r w:rsidRPr="007A37E1">
        <w:rPr>
          <w:rFonts w:ascii="Arial" w:hAnsi="Arial" w:cs="Arial"/>
          <w:lang w:val="en-US"/>
        </w:rPr>
        <w:t xml:space="preserve"> requires that all superior courts must be open to the public. Mr </w:t>
      </w:r>
      <w:r w:rsidR="00B7602A" w:rsidRPr="007A37E1">
        <w:rPr>
          <w:rFonts w:ascii="Arial" w:hAnsi="Arial" w:cs="Arial"/>
          <w:lang w:val="en-US"/>
        </w:rPr>
        <w:t>d</w:t>
      </w:r>
      <w:r w:rsidRPr="007A37E1">
        <w:rPr>
          <w:rFonts w:ascii="Arial" w:hAnsi="Arial" w:cs="Arial"/>
          <w:lang w:val="en-US"/>
        </w:rPr>
        <w:t>e Beer and the LF</w:t>
      </w:r>
      <w:r w:rsidR="002A382E" w:rsidRPr="007A37E1">
        <w:rPr>
          <w:rFonts w:ascii="Arial" w:hAnsi="Arial" w:cs="Arial"/>
          <w:lang w:val="en-US"/>
        </w:rPr>
        <w:t>N</w:t>
      </w:r>
      <w:r w:rsidRPr="007A37E1">
        <w:rPr>
          <w:rFonts w:ascii="Arial" w:hAnsi="Arial" w:cs="Arial"/>
          <w:lang w:val="en-US"/>
        </w:rPr>
        <w:t xml:space="preserve"> did not provide a basis </w:t>
      </w:r>
      <w:r w:rsidR="009154D0" w:rsidRPr="007A37E1">
        <w:rPr>
          <w:rFonts w:ascii="Arial" w:hAnsi="Arial" w:cs="Arial"/>
          <w:lang w:val="en-US"/>
        </w:rPr>
        <w:t>as to why the convening of the oral hearing in this appeal, on a virtual platform, to which the public enjoyed access, was not a fair public hearing. No one who sought access to the virtual platform was denied it. No evidence was placed before us to suggest that anyone who might have wished to attend the hearing could not do so on the virtual platform. The parties and their representatives did appear on the virtual platform, without evident detriment to the value of a public and open hearing.</w:t>
      </w:r>
      <w:r w:rsidR="00BA7EA8" w:rsidRPr="007A37E1">
        <w:rPr>
          <w:rFonts w:ascii="Arial" w:hAnsi="Arial" w:cs="Arial"/>
          <w:lang w:val="en-US"/>
        </w:rPr>
        <w:t xml:space="preserve"> </w:t>
      </w:r>
      <w:r w:rsidR="003F0DB6" w:rsidRPr="007A37E1">
        <w:rPr>
          <w:rFonts w:ascii="Arial" w:hAnsi="Arial" w:cs="Arial"/>
          <w:lang w:val="en-US"/>
        </w:rPr>
        <w:t xml:space="preserve">In the prevailing circumstances, as long as the parties, their representatives, the public and the media enjoyed proper access to the proceedings, the requirement of s 32 of the SC </w:t>
      </w:r>
      <w:r w:rsidR="00C36241" w:rsidRPr="007A37E1">
        <w:rPr>
          <w:rFonts w:ascii="Arial" w:hAnsi="Arial" w:cs="Arial"/>
          <w:lang w:val="en-US"/>
        </w:rPr>
        <w:t>A</w:t>
      </w:r>
      <w:r w:rsidR="003F0DB6" w:rsidRPr="007A37E1">
        <w:rPr>
          <w:rFonts w:ascii="Arial" w:hAnsi="Arial" w:cs="Arial"/>
          <w:lang w:val="en-US"/>
        </w:rPr>
        <w:t xml:space="preserve">ct, requiring hearings in open court, are substantially satisfied. </w:t>
      </w:r>
      <w:r w:rsidR="00D14DC7" w:rsidRPr="007A37E1">
        <w:rPr>
          <w:rFonts w:ascii="Arial" w:hAnsi="Arial" w:cs="Arial"/>
          <w:lang w:val="en-US"/>
        </w:rPr>
        <w:t xml:space="preserve">For similar reasons, the fact that </w:t>
      </w:r>
      <w:r w:rsidR="007E1FAA" w:rsidRPr="007A37E1">
        <w:rPr>
          <w:rFonts w:ascii="Arial" w:hAnsi="Arial" w:cs="Arial"/>
          <w:lang w:val="en-US"/>
        </w:rPr>
        <w:t>a</w:t>
      </w:r>
      <w:r w:rsidR="00D14DC7" w:rsidRPr="007A37E1">
        <w:rPr>
          <w:rFonts w:ascii="Arial" w:hAnsi="Arial" w:cs="Arial"/>
          <w:lang w:val="en-US"/>
        </w:rPr>
        <w:t>rticle 9 of the Judicial Code of Conduct states that, unless special circumstances require otherwise, a judge must conduct judicial proceedings in open court</w:t>
      </w:r>
      <w:r w:rsidR="00C36241" w:rsidRPr="007A37E1">
        <w:rPr>
          <w:rFonts w:ascii="Arial" w:hAnsi="Arial" w:cs="Arial"/>
          <w:lang w:val="en-US"/>
        </w:rPr>
        <w:t>,</w:t>
      </w:r>
      <w:r w:rsidR="00D14DC7" w:rsidRPr="007A37E1">
        <w:rPr>
          <w:rFonts w:ascii="Arial" w:hAnsi="Arial" w:cs="Arial"/>
          <w:lang w:val="en-US"/>
        </w:rPr>
        <w:t xml:space="preserve"> is not a stipulation traduced by open proceedings conducted on a virtual platform. Absent special circumstances, proceedings are no less open because they take place on a virtual platform. Indeed</w:t>
      </w:r>
      <w:r w:rsidR="00322498" w:rsidRPr="007A37E1">
        <w:rPr>
          <w:rFonts w:ascii="Arial" w:hAnsi="Arial" w:cs="Arial"/>
          <w:lang w:val="en-US"/>
        </w:rPr>
        <w:t>,</w:t>
      </w:r>
      <w:r w:rsidR="00D14DC7" w:rsidRPr="007A37E1">
        <w:rPr>
          <w:rFonts w:ascii="Arial" w:hAnsi="Arial" w:cs="Arial"/>
          <w:lang w:val="en-US"/>
        </w:rPr>
        <w:t xml:space="preserve"> such proceedings may be more accessible to the public, and no less open to the parties</w:t>
      </w:r>
      <w:r w:rsidR="00322498" w:rsidRPr="007A37E1">
        <w:rPr>
          <w:rFonts w:ascii="Arial" w:hAnsi="Arial" w:cs="Arial"/>
          <w:lang w:val="en-US"/>
        </w:rPr>
        <w:t>.</w:t>
      </w:r>
      <w:r w:rsidR="00126D70" w:rsidRPr="007A37E1">
        <w:rPr>
          <w:rFonts w:ascii="Arial" w:hAnsi="Arial" w:cs="Arial"/>
          <w:lang w:val="en-US"/>
        </w:rPr>
        <w:t xml:space="preserve"> As indicated above</w:t>
      </w:r>
      <w:r w:rsidR="00C36241" w:rsidRPr="007A37E1">
        <w:rPr>
          <w:rFonts w:ascii="Arial" w:hAnsi="Arial" w:cs="Arial"/>
          <w:lang w:val="en-US"/>
        </w:rPr>
        <w:t>,</w:t>
      </w:r>
      <w:r w:rsidR="00126D70" w:rsidRPr="007A37E1">
        <w:rPr>
          <w:rFonts w:ascii="Arial" w:hAnsi="Arial" w:cs="Arial"/>
          <w:lang w:val="en-US"/>
        </w:rPr>
        <w:t xml:space="preserve"> the directives issued by the Chief Justice and the President of this Court, having been agreed by the </w:t>
      </w:r>
      <w:r w:rsidR="006D359E" w:rsidRPr="007A37E1">
        <w:rPr>
          <w:rFonts w:ascii="Arial" w:hAnsi="Arial" w:cs="Arial"/>
          <w:lang w:val="en-US"/>
        </w:rPr>
        <w:t>h</w:t>
      </w:r>
      <w:r w:rsidR="00126D70" w:rsidRPr="007A37E1">
        <w:rPr>
          <w:rFonts w:ascii="Arial" w:hAnsi="Arial" w:cs="Arial"/>
          <w:lang w:val="en-US"/>
        </w:rPr>
        <w:t xml:space="preserve">eads of </w:t>
      </w:r>
      <w:r w:rsidR="006D359E" w:rsidRPr="007A37E1">
        <w:rPr>
          <w:rFonts w:ascii="Arial" w:hAnsi="Arial" w:cs="Arial"/>
          <w:lang w:val="en-US"/>
        </w:rPr>
        <w:t>c</w:t>
      </w:r>
      <w:r w:rsidR="00126D70" w:rsidRPr="007A37E1">
        <w:rPr>
          <w:rFonts w:ascii="Arial" w:hAnsi="Arial" w:cs="Arial"/>
          <w:lang w:val="en-US"/>
        </w:rPr>
        <w:t>ourt, although premised on the national state of disaster</w:t>
      </w:r>
      <w:r w:rsidR="00C36241" w:rsidRPr="007A37E1">
        <w:rPr>
          <w:rFonts w:ascii="Arial" w:hAnsi="Arial" w:cs="Arial"/>
          <w:lang w:val="en-US"/>
        </w:rPr>
        <w:t>,</w:t>
      </w:r>
      <w:r w:rsidR="00126D70" w:rsidRPr="007A37E1">
        <w:rPr>
          <w:rFonts w:ascii="Arial" w:hAnsi="Arial" w:cs="Arial"/>
          <w:lang w:val="en-US"/>
        </w:rPr>
        <w:t xml:space="preserve"> were founded on the power of the judicial authority provided for in ss 165 and 173 of the Constitution and ss 8(3) and 8(4) of the SC </w:t>
      </w:r>
      <w:r w:rsidR="00C36241" w:rsidRPr="007A37E1">
        <w:rPr>
          <w:rFonts w:ascii="Arial" w:hAnsi="Arial" w:cs="Arial"/>
          <w:lang w:val="en-US"/>
        </w:rPr>
        <w:t>A</w:t>
      </w:r>
      <w:r w:rsidR="00126D70" w:rsidRPr="007A37E1">
        <w:rPr>
          <w:rFonts w:ascii="Arial" w:hAnsi="Arial" w:cs="Arial"/>
          <w:lang w:val="en-US"/>
        </w:rPr>
        <w:t>ct. This was done to deal with prevailing circumstances and to preserve and advance open justice. The alternative would be for the administration of justice to grind to a halt</w:t>
      </w:r>
      <w:r w:rsidR="006D359E" w:rsidRPr="007A37E1">
        <w:rPr>
          <w:rFonts w:ascii="Arial" w:hAnsi="Arial" w:cs="Arial"/>
          <w:lang w:val="en-US"/>
        </w:rPr>
        <w:t>,</w:t>
      </w:r>
      <w:r w:rsidR="00126D70" w:rsidRPr="007A37E1">
        <w:rPr>
          <w:rFonts w:ascii="Arial" w:hAnsi="Arial" w:cs="Arial"/>
          <w:lang w:val="en-US"/>
        </w:rPr>
        <w:t xml:space="preserve"> </w:t>
      </w:r>
      <w:r w:rsidR="00A7379D" w:rsidRPr="007A37E1">
        <w:rPr>
          <w:rFonts w:ascii="Arial" w:hAnsi="Arial" w:cs="Arial"/>
          <w:lang w:val="en-US"/>
        </w:rPr>
        <w:t>thus negating</w:t>
      </w:r>
      <w:r w:rsidR="00126D70" w:rsidRPr="007A37E1">
        <w:rPr>
          <w:rFonts w:ascii="Arial" w:hAnsi="Arial" w:cs="Arial"/>
          <w:lang w:val="en-US"/>
        </w:rPr>
        <w:t xml:space="preserve"> open justice.</w:t>
      </w:r>
    </w:p>
    <w:p w14:paraId="2091E116" w14:textId="77777777" w:rsidR="00D14DC7" w:rsidRPr="007A37E1" w:rsidRDefault="00D14DC7" w:rsidP="00CF4CDA">
      <w:pPr>
        <w:tabs>
          <w:tab w:val="left" w:pos="567"/>
          <w:tab w:val="left" w:pos="851"/>
        </w:tabs>
        <w:spacing w:line="360" w:lineRule="auto"/>
        <w:jc w:val="both"/>
        <w:rPr>
          <w:rFonts w:ascii="Arial" w:hAnsi="Arial" w:cs="Arial"/>
          <w:lang w:val="en-US"/>
        </w:rPr>
      </w:pPr>
    </w:p>
    <w:p w14:paraId="4465156F" w14:textId="58F37CF4" w:rsidR="00BA7EA8" w:rsidRPr="007A37E1" w:rsidRDefault="00D14DC7" w:rsidP="007B161E">
      <w:pPr>
        <w:tabs>
          <w:tab w:val="left" w:pos="567"/>
          <w:tab w:val="left" w:pos="851"/>
        </w:tabs>
        <w:spacing w:line="360" w:lineRule="auto"/>
        <w:jc w:val="both"/>
        <w:rPr>
          <w:rFonts w:ascii="Arial" w:hAnsi="Arial" w:cs="Arial"/>
          <w:lang w:val="en-US"/>
        </w:rPr>
      </w:pPr>
      <w:r w:rsidRPr="007A37E1">
        <w:rPr>
          <w:rFonts w:ascii="Arial" w:hAnsi="Arial" w:cs="Arial"/>
          <w:lang w:val="en-US"/>
        </w:rPr>
        <w:lastRenderedPageBreak/>
        <w:t>[6</w:t>
      </w:r>
      <w:r w:rsidR="00904BAC" w:rsidRPr="007A37E1">
        <w:rPr>
          <w:rFonts w:ascii="Arial" w:hAnsi="Arial" w:cs="Arial"/>
          <w:lang w:val="en-US"/>
        </w:rPr>
        <w:t>5</w:t>
      </w:r>
      <w:r w:rsidRPr="007A37E1">
        <w:rPr>
          <w:rFonts w:ascii="Arial" w:hAnsi="Arial" w:cs="Arial"/>
          <w:lang w:val="en-US"/>
        </w:rPr>
        <w:t>]</w:t>
      </w:r>
      <w:r w:rsidR="007B161E" w:rsidRPr="007A37E1">
        <w:rPr>
          <w:rFonts w:ascii="Arial" w:hAnsi="Arial" w:cs="Arial"/>
          <w:lang w:val="en-US"/>
        </w:rPr>
        <w:tab/>
      </w:r>
      <w:r w:rsidR="007B161E" w:rsidRPr="007A37E1">
        <w:rPr>
          <w:rFonts w:ascii="Arial" w:hAnsi="Arial" w:cs="Arial"/>
          <w:lang w:val="en-US"/>
        </w:rPr>
        <w:tab/>
      </w:r>
      <w:r w:rsidR="00BA7EA8" w:rsidRPr="007A37E1">
        <w:rPr>
          <w:rFonts w:ascii="Arial" w:hAnsi="Arial" w:cs="Arial"/>
          <w:lang w:val="en-US"/>
        </w:rPr>
        <w:t xml:space="preserve">That being so, it does appear that Mr </w:t>
      </w:r>
      <w:r w:rsidR="00025A4F" w:rsidRPr="007A37E1">
        <w:rPr>
          <w:rFonts w:ascii="Arial" w:hAnsi="Arial" w:cs="Arial"/>
          <w:lang w:val="en-US"/>
        </w:rPr>
        <w:t>d</w:t>
      </w:r>
      <w:r w:rsidR="00BA7EA8" w:rsidRPr="007A37E1">
        <w:rPr>
          <w:rFonts w:ascii="Arial" w:hAnsi="Arial" w:cs="Arial"/>
          <w:lang w:val="en-US"/>
        </w:rPr>
        <w:t>e Beer and the LF</w:t>
      </w:r>
      <w:r w:rsidR="007C3231" w:rsidRPr="007A37E1">
        <w:rPr>
          <w:rFonts w:ascii="Arial" w:hAnsi="Arial" w:cs="Arial"/>
          <w:lang w:val="en-US"/>
        </w:rPr>
        <w:t>N</w:t>
      </w:r>
      <w:r w:rsidR="00BA7EA8" w:rsidRPr="007A37E1">
        <w:rPr>
          <w:rFonts w:ascii="Arial" w:hAnsi="Arial" w:cs="Arial"/>
          <w:lang w:val="en-US"/>
        </w:rPr>
        <w:t xml:space="preserve"> took up their position simply because they object to any revision</w:t>
      </w:r>
      <w:r w:rsidR="00DF3EB0" w:rsidRPr="007A37E1">
        <w:rPr>
          <w:rFonts w:ascii="Arial" w:hAnsi="Arial" w:cs="Arial"/>
          <w:lang w:val="en-US"/>
        </w:rPr>
        <w:t xml:space="preserve"> </w:t>
      </w:r>
      <w:r w:rsidR="00BA7EA8" w:rsidRPr="007A37E1">
        <w:rPr>
          <w:rFonts w:ascii="Arial" w:hAnsi="Arial" w:cs="Arial"/>
          <w:lang w:val="en-US"/>
        </w:rPr>
        <w:t>as to how oral hearings are to be conducted that is respons</w:t>
      </w:r>
      <w:r w:rsidR="00322498" w:rsidRPr="007A37E1">
        <w:rPr>
          <w:rFonts w:ascii="Arial" w:hAnsi="Arial" w:cs="Arial"/>
          <w:lang w:val="en-US"/>
        </w:rPr>
        <w:t>ive</w:t>
      </w:r>
      <w:r w:rsidR="00C76E5C" w:rsidRPr="007A37E1">
        <w:rPr>
          <w:rFonts w:ascii="Arial" w:hAnsi="Arial" w:cs="Arial"/>
          <w:lang w:val="en-US"/>
        </w:rPr>
        <w:t xml:space="preserve"> to COVID-19. </w:t>
      </w:r>
      <w:r w:rsidR="00322498" w:rsidRPr="007A37E1">
        <w:rPr>
          <w:rFonts w:ascii="Arial" w:hAnsi="Arial" w:cs="Arial"/>
          <w:lang w:val="en-US"/>
        </w:rPr>
        <w:t xml:space="preserve">That, however, is not a relevant consideration in determining whether a hearing should take place on a virtual platform. </w:t>
      </w:r>
      <w:r w:rsidR="00730147" w:rsidRPr="007A37E1">
        <w:rPr>
          <w:rFonts w:ascii="Arial" w:hAnsi="Arial" w:cs="Arial"/>
          <w:lang w:val="en-US"/>
        </w:rPr>
        <w:t xml:space="preserve">If the virtual hearing proposed to the parties gave rise to no infringement of their right to a fair, open and public hearing, then </w:t>
      </w:r>
      <w:r w:rsidR="00D84EF3" w:rsidRPr="007A37E1">
        <w:rPr>
          <w:rFonts w:ascii="Arial" w:hAnsi="Arial" w:cs="Arial"/>
          <w:lang w:val="en-US"/>
        </w:rPr>
        <w:t xml:space="preserve">it was open to this Court </w:t>
      </w:r>
      <w:r w:rsidR="00730147" w:rsidRPr="007A37E1">
        <w:rPr>
          <w:rFonts w:ascii="Arial" w:hAnsi="Arial" w:cs="Arial"/>
          <w:lang w:val="en-US"/>
        </w:rPr>
        <w:t>to regulate its own process. A party cannot dictate how the proceedings will be conducted</w:t>
      </w:r>
      <w:r w:rsidR="003801FA" w:rsidRPr="007A37E1">
        <w:rPr>
          <w:rFonts w:ascii="Arial" w:hAnsi="Arial" w:cs="Arial"/>
          <w:lang w:val="en-US"/>
        </w:rPr>
        <w:t>. Th</w:t>
      </w:r>
      <w:r w:rsidR="00730147" w:rsidRPr="007A37E1">
        <w:rPr>
          <w:rFonts w:ascii="Arial" w:hAnsi="Arial" w:cs="Arial"/>
          <w:lang w:val="en-US"/>
        </w:rPr>
        <w:t xml:space="preserve">at is </w:t>
      </w:r>
      <w:r w:rsidR="00480C56" w:rsidRPr="007A37E1">
        <w:rPr>
          <w:rFonts w:ascii="Arial" w:hAnsi="Arial" w:cs="Arial"/>
          <w:lang w:val="en-US"/>
        </w:rPr>
        <w:t xml:space="preserve">a matter for the court to determine. Nor may a party use its failure to secure the form of proceedings it </w:t>
      </w:r>
      <w:r w:rsidR="00480C56" w:rsidRPr="007A37E1">
        <w:rPr>
          <w:rFonts w:ascii="Arial" w:hAnsi="Arial" w:cs="Arial"/>
        </w:rPr>
        <w:t>favours</w:t>
      </w:r>
      <w:r w:rsidR="00480C56" w:rsidRPr="007A37E1">
        <w:rPr>
          <w:rFonts w:ascii="Arial" w:hAnsi="Arial" w:cs="Arial"/>
          <w:lang w:val="en-US"/>
        </w:rPr>
        <w:t xml:space="preserve"> </w:t>
      </w:r>
      <w:r w:rsidR="003801FA" w:rsidRPr="007A37E1">
        <w:rPr>
          <w:rFonts w:ascii="Arial" w:hAnsi="Arial" w:cs="Arial"/>
          <w:lang w:val="en-US"/>
        </w:rPr>
        <w:t xml:space="preserve">as a tendentious basis for claiming that the court may not adjudicate the merits of the matter, much less to level the unwarranted accusation that the court is biased. Yet this is what Mr </w:t>
      </w:r>
      <w:r w:rsidR="00025A4F" w:rsidRPr="007A37E1">
        <w:rPr>
          <w:rFonts w:ascii="Arial" w:hAnsi="Arial" w:cs="Arial"/>
          <w:lang w:val="en-US"/>
        </w:rPr>
        <w:t>d</w:t>
      </w:r>
      <w:r w:rsidR="003801FA" w:rsidRPr="007A37E1">
        <w:rPr>
          <w:rFonts w:ascii="Arial" w:hAnsi="Arial" w:cs="Arial"/>
          <w:lang w:val="en-US"/>
        </w:rPr>
        <w:t>e Beer, the LF</w:t>
      </w:r>
      <w:r w:rsidR="007C3231" w:rsidRPr="007A37E1">
        <w:rPr>
          <w:rFonts w:ascii="Arial" w:hAnsi="Arial" w:cs="Arial"/>
          <w:lang w:val="en-US"/>
        </w:rPr>
        <w:t>N</w:t>
      </w:r>
      <w:r w:rsidR="003801FA" w:rsidRPr="007A37E1">
        <w:rPr>
          <w:rFonts w:ascii="Arial" w:hAnsi="Arial" w:cs="Arial"/>
          <w:lang w:val="en-US"/>
        </w:rPr>
        <w:t>, and belatedly, the H</w:t>
      </w:r>
      <w:r w:rsidR="00025A4F" w:rsidRPr="007A37E1">
        <w:rPr>
          <w:rFonts w:ascii="Arial" w:hAnsi="Arial" w:cs="Arial"/>
          <w:lang w:val="en-US"/>
        </w:rPr>
        <w:t>BF</w:t>
      </w:r>
      <w:r w:rsidR="003801FA" w:rsidRPr="007A37E1">
        <w:rPr>
          <w:rFonts w:ascii="Arial" w:hAnsi="Arial" w:cs="Arial"/>
          <w:lang w:val="en-US"/>
        </w:rPr>
        <w:t xml:space="preserve"> (which had not actively participated in the appeal until the day of the hearing) sought to do. These efforts to frustrate the proceedings cannot be</w:t>
      </w:r>
      <w:r w:rsidR="00452B81" w:rsidRPr="007A37E1">
        <w:rPr>
          <w:rFonts w:ascii="Arial" w:hAnsi="Arial" w:cs="Arial"/>
          <w:lang w:val="en-US"/>
        </w:rPr>
        <w:t xml:space="preserve"> countenanced.</w:t>
      </w:r>
    </w:p>
    <w:p w14:paraId="5629DA55" w14:textId="77777777" w:rsidR="00706A77" w:rsidRPr="007A37E1" w:rsidRDefault="00706A77" w:rsidP="00CF4CDA">
      <w:pPr>
        <w:tabs>
          <w:tab w:val="left" w:pos="567"/>
          <w:tab w:val="left" w:pos="851"/>
        </w:tabs>
        <w:spacing w:line="360" w:lineRule="auto"/>
        <w:jc w:val="both"/>
        <w:rPr>
          <w:rFonts w:ascii="Arial" w:hAnsi="Arial" w:cs="Arial"/>
          <w:lang w:val="en-US"/>
        </w:rPr>
      </w:pPr>
    </w:p>
    <w:p w14:paraId="66B7A7EC" w14:textId="007087B3" w:rsidR="00C70CE0" w:rsidRPr="007A37E1" w:rsidRDefault="00993C20" w:rsidP="00DF3EB0">
      <w:pPr>
        <w:tabs>
          <w:tab w:val="left" w:pos="567"/>
          <w:tab w:val="left" w:pos="851"/>
        </w:tabs>
        <w:spacing w:line="360" w:lineRule="auto"/>
        <w:jc w:val="both"/>
        <w:rPr>
          <w:rFonts w:ascii="Arial" w:hAnsi="Arial" w:cs="Arial"/>
          <w:lang w:val="en-US"/>
        </w:rPr>
      </w:pPr>
      <w:r w:rsidRPr="007A37E1">
        <w:rPr>
          <w:rFonts w:ascii="Arial" w:hAnsi="Arial" w:cs="Arial"/>
          <w:lang w:val="en-US"/>
        </w:rPr>
        <w:t>[6</w:t>
      </w:r>
      <w:r w:rsidR="00904BAC" w:rsidRPr="007A37E1">
        <w:rPr>
          <w:rFonts w:ascii="Arial" w:hAnsi="Arial" w:cs="Arial"/>
          <w:lang w:val="en-US"/>
        </w:rPr>
        <w:t>6</w:t>
      </w:r>
      <w:r w:rsidRPr="007A37E1">
        <w:rPr>
          <w:rFonts w:ascii="Arial" w:hAnsi="Arial" w:cs="Arial"/>
          <w:lang w:val="en-US"/>
        </w:rPr>
        <w:t>]</w:t>
      </w:r>
      <w:r w:rsidR="00CF4CDA" w:rsidRPr="007A37E1">
        <w:rPr>
          <w:rFonts w:ascii="Arial" w:hAnsi="Arial" w:cs="Arial"/>
          <w:lang w:val="en-US"/>
        </w:rPr>
        <w:tab/>
      </w:r>
      <w:r w:rsidR="00C75D99" w:rsidRPr="007A37E1">
        <w:rPr>
          <w:rFonts w:ascii="Arial" w:hAnsi="Arial" w:cs="Arial"/>
          <w:lang w:val="en-US"/>
        </w:rPr>
        <w:tab/>
      </w:r>
      <w:r w:rsidR="00C70CE0" w:rsidRPr="007A37E1">
        <w:rPr>
          <w:rFonts w:ascii="Arial" w:hAnsi="Arial" w:cs="Arial"/>
          <w:lang w:val="en-US"/>
        </w:rPr>
        <w:t xml:space="preserve">This </w:t>
      </w:r>
      <w:r w:rsidR="003525FC" w:rsidRPr="007A37E1">
        <w:rPr>
          <w:rFonts w:ascii="Arial" w:hAnsi="Arial" w:cs="Arial"/>
          <w:lang w:val="en-US"/>
        </w:rPr>
        <w:t>C</w:t>
      </w:r>
      <w:r w:rsidR="00C70CE0" w:rsidRPr="007A37E1">
        <w:rPr>
          <w:rFonts w:ascii="Arial" w:hAnsi="Arial" w:cs="Arial"/>
          <w:lang w:val="en-US"/>
        </w:rPr>
        <w:t>ourt</w:t>
      </w:r>
      <w:r w:rsidR="005F33C3" w:rsidRPr="007A37E1">
        <w:rPr>
          <w:rFonts w:ascii="Arial" w:hAnsi="Arial" w:cs="Arial"/>
          <w:lang w:val="en-US"/>
        </w:rPr>
        <w:t>,</w:t>
      </w:r>
      <w:r w:rsidR="00C70CE0" w:rsidRPr="007A37E1">
        <w:rPr>
          <w:rFonts w:ascii="Arial" w:hAnsi="Arial" w:cs="Arial"/>
          <w:lang w:val="en-US"/>
        </w:rPr>
        <w:t xml:space="preserve"> as indicated in the note to the parties</w:t>
      </w:r>
      <w:r w:rsidR="005F33C3" w:rsidRPr="007A37E1">
        <w:rPr>
          <w:rFonts w:ascii="Arial" w:hAnsi="Arial" w:cs="Arial"/>
          <w:lang w:val="en-US"/>
        </w:rPr>
        <w:t>,</w:t>
      </w:r>
      <w:r w:rsidR="00C70CE0" w:rsidRPr="007A37E1">
        <w:rPr>
          <w:rFonts w:ascii="Arial" w:hAnsi="Arial" w:cs="Arial"/>
          <w:lang w:val="en-US"/>
        </w:rPr>
        <w:t xml:space="preserve"> has for longer than a year successfully conducted virtual hearings. Parties have consistently been engaged on whether they objected to a virtual hearing and were required to indicate the basis </w:t>
      </w:r>
      <w:r w:rsidR="00083194" w:rsidRPr="007A37E1">
        <w:rPr>
          <w:rFonts w:ascii="Arial" w:hAnsi="Arial" w:cs="Arial"/>
          <w:lang w:val="en-US"/>
        </w:rPr>
        <w:t>of</w:t>
      </w:r>
      <w:r w:rsidR="00C70CE0" w:rsidRPr="007A37E1">
        <w:rPr>
          <w:rFonts w:ascii="Arial" w:hAnsi="Arial" w:cs="Arial"/>
          <w:lang w:val="en-US"/>
        </w:rPr>
        <w:t xml:space="preserve"> their objection and to set out the prejudice they considered might attach to a virtual hearing. The respondents were afforded that opportunity and were required to indicate which of their rights would be attenuated. The respondents were adamant, emphatic and uncompromising. They insisted that they would attend physically at court and indicated that they would not adhere to safety pro</w:t>
      </w:r>
      <w:r w:rsidR="00097901" w:rsidRPr="007A37E1">
        <w:rPr>
          <w:rFonts w:ascii="Arial" w:hAnsi="Arial" w:cs="Arial"/>
          <w:lang w:val="en-US"/>
        </w:rPr>
        <w:t>tocols in the event that</w:t>
      </w:r>
      <w:r w:rsidR="00FF1F44" w:rsidRPr="007A37E1">
        <w:rPr>
          <w:rFonts w:ascii="Arial" w:hAnsi="Arial" w:cs="Arial"/>
          <w:lang w:val="en-US"/>
        </w:rPr>
        <w:t xml:space="preserve"> these protocols were e</w:t>
      </w:r>
      <w:r w:rsidR="00C70CE0" w:rsidRPr="007A37E1">
        <w:rPr>
          <w:rFonts w:ascii="Arial" w:hAnsi="Arial" w:cs="Arial"/>
          <w:lang w:val="en-US"/>
        </w:rPr>
        <w:t>nforced. Save for repeating that this case was unique</w:t>
      </w:r>
      <w:r w:rsidR="00FF1F44" w:rsidRPr="007A37E1">
        <w:rPr>
          <w:rFonts w:ascii="Arial" w:hAnsi="Arial" w:cs="Arial"/>
          <w:lang w:val="en-US"/>
        </w:rPr>
        <w:t>,</w:t>
      </w:r>
      <w:r w:rsidR="00C70CE0" w:rsidRPr="007A37E1">
        <w:rPr>
          <w:rFonts w:ascii="Arial" w:hAnsi="Arial" w:cs="Arial"/>
          <w:lang w:val="en-US"/>
        </w:rPr>
        <w:t xml:space="preserve"> we were offered nothing by the respondents in writing prior to the hearing</w:t>
      </w:r>
      <w:r w:rsidR="00FF1F44" w:rsidRPr="007A37E1">
        <w:rPr>
          <w:rFonts w:ascii="Arial" w:hAnsi="Arial" w:cs="Arial"/>
          <w:lang w:val="en-US"/>
        </w:rPr>
        <w:t xml:space="preserve">, nor during Mr </w:t>
      </w:r>
      <w:r w:rsidR="00025A4F" w:rsidRPr="007A37E1">
        <w:rPr>
          <w:rFonts w:ascii="Arial" w:hAnsi="Arial" w:cs="Arial"/>
          <w:lang w:val="en-US"/>
        </w:rPr>
        <w:t>d</w:t>
      </w:r>
      <w:r w:rsidR="00FF1F44" w:rsidRPr="007A37E1">
        <w:rPr>
          <w:rFonts w:ascii="Arial" w:hAnsi="Arial" w:cs="Arial"/>
          <w:lang w:val="en-US"/>
        </w:rPr>
        <w:t>e Beer’s appearance on the virtual platform,</w:t>
      </w:r>
      <w:r w:rsidR="00C70CE0" w:rsidRPr="007A37E1">
        <w:rPr>
          <w:rFonts w:ascii="Arial" w:hAnsi="Arial" w:cs="Arial"/>
          <w:lang w:val="en-US"/>
        </w:rPr>
        <w:t xml:space="preserve"> indicating what prejudice they would suffer in the event of a virtual hearing. No argument was presented on the attenuation of rights, if any.</w:t>
      </w:r>
    </w:p>
    <w:p w14:paraId="7C3F1130" w14:textId="77777777" w:rsidR="00C70CE0" w:rsidRPr="007A37E1" w:rsidRDefault="00C70CE0" w:rsidP="00C70CE0">
      <w:pPr>
        <w:tabs>
          <w:tab w:val="left" w:pos="567"/>
        </w:tabs>
        <w:spacing w:line="360" w:lineRule="auto"/>
        <w:jc w:val="both"/>
        <w:rPr>
          <w:rFonts w:ascii="Arial" w:hAnsi="Arial" w:cs="Arial"/>
          <w:lang w:val="en-US"/>
        </w:rPr>
      </w:pPr>
    </w:p>
    <w:p w14:paraId="1A8358A6" w14:textId="317BEC51" w:rsidR="00C70CE0" w:rsidRPr="007A37E1" w:rsidRDefault="00C70CE0" w:rsidP="00AF3222">
      <w:pPr>
        <w:tabs>
          <w:tab w:val="left" w:pos="567"/>
          <w:tab w:val="left" w:pos="851"/>
          <w:tab w:val="left" w:pos="3686"/>
        </w:tabs>
        <w:spacing w:line="360" w:lineRule="auto"/>
        <w:jc w:val="both"/>
        <w:rPr>
          <w:rFonts w:ascii="Arial" w:hAnsi="Arial" w:cs="Arial"/>
          <w:lang w:val="en-US"/>
        </w:rPr>
      </w:pPr>
      <w:r w:rsidRPr="007A37E1">
        <w:rPr>
          <w:rFonts w:ascii="Arial" w:hAnsi="Arial" w:cs="Arial"/>
          <w:lang w:val="en-US"/>
        </w:rPr>
        <w:t>[</w:t>
      </w:r>
      <w:r w:rsidR="007A549D" w:rsidRPr="007A37E1">
        <w:rPr>
          <w:rFonts w:ascii="Arial" w:hAnsi="Arial" w:cs="Arial"/>
          <w:lang w:val="en-US"/>
        </w:rPr>
        <w:t>6</w:t>
      </w:r>
      <w:r w:rsidR="00904BAC" w:rsidRPr="007A37E1">
        <w:rPr>
          <w:rFonts w:ascii="Arial" w:hAnsi="Arial" w:cs="Arial"/>
          <w:lang w:val="en-US"/>
        </w:rPr>
        <w:t>7</w:t>
      </w:r>
      <w:r w:rsidR="00CF4CDA" w:rsidRPr="007A37E1">
        <w:rPr>
          <w:rFonts w:ascii="Arial" w:hAnsi="Arial" w:cs="Arial"/>
          <w:lang w:val="en-US"/>
        </w:rPr>
        <w:t>]</w:t>
      </w:r>
      <w:r w:rsidR="00CF4CDA" w:rsidRPr="007A37E1">
        <w:rPr>
          <w:rFonts w:ascii="Arial" w:hAnsi="Arial" w:cs="Arial"/>
          <w:lang w:val="en-US"/>
        </w:rPr>
        <w:tab/>
      </w:r>
      <w:r w:rsidR="00C75D99" w:rsidRPr="007A37E1">
        <w:rPr>
          <w:rFonts w:ascii="Arial" w:hAnsi="Arial" w:cs="Arial"/>
          <w:lang w:val="en-US"/>
        </w:rPr>
        <w:tab/>
      </w:r>
      <w:r w:rsidR="00EB04CD" w:rsidRPr="007A37E1">
        <w:rPr>
          <w:rFonts w:ascii="Arial" w:hAnsi="Arial" w:cs="Arial"/>
          <w:lang w:val="en-US"/>
        </w:rPr>
        <w:t>This C</w:t>
      </w:r>
      <w:r w:rsidRPr="007A37E1">
        <w:rPr>
          <w:rFonts w:ascii="Arial" w:hAnsi="Arial" w:cs="Arial"/>
          <w:lang w:val="en-US"/>
        </w:rPr>
        <w:t xml:space="preserve">ourt acted in accordance with the practice directives </w:t>
      </w:r>
      <w:r w:rsidR="00FF1F44" w:rsidRPr="007A37E1">
        <w:rPr>
          <w:rFonts w:ascii="Arial" w:hAnsi="Arial" w:cs="Arial"/>
          <w:lang w:val="en-US"/>
        </w:rPr>
        <w:t>of</w:t>
      </w:r>
      <w:r w:rsidRPr="007A37E1">
        <w:rPr>
          <w:rFonts w:ascii="Arial" w:hAnsi="Arial" w:cs="Arial"/>
          <w:lang w:val="en-US"/>
        </w:rPr>
        <w:t xml:space="preserve"> the Chief Justice and in line with the practice directives of the President of this </w:t>
      </w:r>
      <w:r w:rsidR="00025A4F" w:rsidRPr="007A37E1">
        <w:rPr>
          <w:rFonts w:ascii="Arial" w:hAnsi="Arial" w:cs="Arial"/>
          <w:lang w:val="en-US"/>
        </w:rPr>
        <w:t>C</w:t>
      </w:r>
      <w:r w:rsidRPr="007A37E1">
        <w:rPr>
          <w:rFonts w:ascii="Arial" w:hAnsi="Arial" w:cs="Arial"/>
          <w:lang w:val="en-US"/>
        </w:rPr>
        <w:t>ourt. In seeking to engage with the respondents, we were met with obstinacy</w:t>
      </w:r>
      <w:r w:rsidR="00FF1F44" w:rsidRPr="007A37E1">
        <w:rPr>
          <w:rFonts w:ascii="Arial" w:hAnsi="Arial" w:cs="Arial"/>
          <w:lang w:val="en-US"/>
        </w:rPr>
        <w:t>,</w:t>
      </w:r>
      <w:r w:rsidRPr="007A37E1">
        <w:rPr>
          <w:rFonts w:ascii="Arial" w:hAnsi="Arial" w:cs="Arial"/>
          <w:lang w:val="en-US"/>
        </w:rPr>
        <w:t xml:space="preserve"> and</w:t>
      </w:r>
      <w:r w:rsidR="00FF1F44" w:rsidRPr="007A37E1">
        <w:rPr>
          <w:rFonts w:ascii="Arial" w:hAnsi="Arial" w:cs="Arial"/>
          <w:lang w:val="en-US"/>
        </w:rPr>
        <w:t xml:space="preserve"> </w:t>
      </w:r>
      <w:r w:rsidRPr="007A37E1">
        <w:rPr>
          <w:rFonts w:ascii="Arial" w:hAnsi="Arial" w:cs="Arial"/>
          <w:lang w:val="en-US"/>
        </w:rPr>
        <w:t xml:space="preserve">unfounded </w:t>
      </w:r>
      <w:r w:rsidR="00DE6A6E" w:rsidRPr="007A37E1">
        <w:rPr>
          <w:rFonts w:ascii="Arial" w:hAnsi="Arial" w:cs="Arial"/>
          <w:lang w:val="en-US"/>
        </w:rPr>
        <w:t xml:space="preserve">and contemptuous </w:t>
      </w:r>
      <w:r w:rsidRPr="007A37E1">
        <w:rPr>
          <w:rFonts w:ascii="Arial" w:hAnsi="Arial" w:cs="Arial"/>
          <w:lang w:val="en-US"/>
        </w:rPr>
        <w:t xml:space="preserve">accusations. Our hearings on a virtual platform are open to the public and the media. Our experience is that more people ‘attend’ virtual hearings than they do when the court is in </w:t>
      </w:r>
      <w:r w:rsidRPr="007A37E1">
        <w:rPr>
          <w:rFonts w:ascii="Arial" w:hAnsi="Arial" w:cs="Arial"/>
          <w:lang w:val="en-US"/>
        </w:rPr>
        <w:lastRenderedPageBreak/>
        <w:t>session in Bloemfontein. On the day of the hearing of this appeal</w:t>
      </w:r>
      <w:r w:rsidR="00ED6FD0" w:rsidRPr="007A37E1">
        <w:rPr>
          <w:rFonts w:ascii="Arial" w:hAnsi="Arial" w:cs="Arial"/>
          <w:lang w:val="en-US"/>
        </w:rPr>
        <w:t>,</w:t>
      </w:r>
      <w:r w:rsidRPr="007A37E1">
        <w:rPr>
          <w:rFonts w:ascii="Arial" w:hAnsi="Arial" w:cs="Arial"/>
          <w:lang w:val="en-US"/>
        </w:rPr>
        <w:t xml:space="preserve"> the national broadcaster</w:t>
      </w:r>
      <w:r w:rsidR="00097901" w:rsidRPr="007A37E1">
        <w:rPr>
          <w:rFonts w:ascii="Arial" w:hAnsi="Arial" w:cs="Arial"/>
          <w:lang w:val="en-US"/>
        </w:rPr>
        <w:t>,</w:t>
      </w:r>
      <w:r w:rsidRPr="007A37E1">
        <w:rPr>
          <w:rFonts w:ascii="Arial" w:hAnsi="Arial" w:cs="Arial"/>
          <w:lang w:val="en-US"/>
        </w:rPr>
        <w:t xml:space="preserve"> the South Africa Broadcasting Corporation</w:t>
      </w:r>
      <w:r w:rsidR="00097901" w:rsidRPr="007A37E1">
        <w:rPr>
          <w:rFonts w:ascii="Arial" w:hAnsi="Arial" w:cs="Arial"/>
          <w:lang w:val="en-US"/>
        </w:rPr>
        <w:t>,</w:t>
      </w:r>
      <w:r w:rsidRPr="007A37E1">
        <w:rPr>
          <w:rFonts w:ascii="Arial" w:hAnsi="Arial" w:cs="Arial"/>
          <w:lang w:val="en-US"/>
        </w:rPr>
        <w:t xml:space="preserve"> obtained permission to record and livestream the hearing. </w:t>
      </w:r>
      <w:r w:rsidR="00BB115D">
        <w:rPr>
          <w:rFonts w:ascii="Arial" w:hAnsi="Arial" w:cs="Arial"/>
          <w:lang w:val="en-US"/>
        </w:rPr>
        <w:t>O</w:t>
      </w:r>
      <w:r w:rsidRPr="007A37E1">
        <w:rPr>
          <w:rFonts w:ascii="Arial" w:hAnsi="Arial" w:cs="Arial"/>
          <w:lang w:val="en-US"/>
        </w:rPr>
        <w:t>ther media outlets attended the virtual hearing.</w:t>
      </w:r>
      <w:r w:rsidR="00E27380" w:rsidRPr="007A37E1">
        <w:rPr>
          <w:rFonts w:ascii="Arial" w:hAnsi="Arial" w:cs="Arial"/>
          <w:lang w:val="en-US"/>
        </w:rPr>
        <w:t xml:space="preserve"> Judgments are handed down electronically by circulation to the parties’ legal representatives by email. It is then published on this Court’s website and released to SAFLII. In short, this is a wider distribution and publication than is conventionally the case when a judgment is handed down in court in Bloemfontein</w:t>
      </w:r>
      <w:r w:rsidR="00ED6FD0" w:rsidRPr="007A37E1">
        <w:rPr>
          <w:rFonts w:ascii="Arial" w:hAnsi="Arial" w:cs="Arial"/>
          <w:lang w:val="en-US"/>
        </w:rPr>
        <w:t>,</w:t>
      </w:r>
      <w:r w:rsidR="00E27380" w:rsidRPr="007A37E1">
        <w:rPr>
          <w:rFonts w:ascii="Arial" w:hAnsi="Arial" w:cs="Arial"/>
          <w:lang w:val="en-US"/>
        </w:rPr>
        <w:t xml:space="preserve"> </w:t>
      </w:r>
      <w:r w:rsidR="0088292A" w:rsidRPr="007A37E1">
        <w:rPr>
          <w:rFonts w:ascii="Arial" w:hAnsi="Arial" w:cs="Arial"/>
          <w:lang w:val="en-US"/>
        </w:rPr>
        <w:t>typically</w:t>
      </w:r>
      <w:r w:rsidR="00CB43BD" w:rsidRPr="007A37E1">
        <w:rPr>
          <w:rFonts w:ascii="Arial" w:hAnsi="Arial" w:cs="Arial"/>
          <w:lang w:val="en-US"/>
        </w:rPr>
        <w:t xml:space="preserve"> </w:t>
      </w:r>
      <w:r w:rsidR="00E27380" w:rsidRPr="007A37E1">
        <w:rPr>
          <w:rFonts w:ascii="Arial" w:hAnsi="Arial" w:cs="Arial"/>
          <w:lang w:val="en-US"/>
        </w:rPr>
        <w:t>with only junior counsel in attendance to note it. In addition, a media summary is published on the website.</w:t>
      </w:r>
    </w:p>
    <w:p w14:paraId="3BEC95AC" w14:textId="77777777" w:rsidR="00C70CE0" w:rsidRPr="007A37E1" w:rsidRDefault="00C70CE0" w:rsidP="00C70CE0">
      <w:pPr>
        <w:tabs>
          <w:tab w:val="left" w:pos="567"/>
        </w:tabs>
        <w:spacing w:line="360" w:lineRule="auto"/>
        <w:jc w:val="both"/>
        <w:rPr>
          <w:rFonts w:ascii="Arial" w:hAnsi="Arial" w:cs="Arial"/>
          <w:lang w:val="en-US"/>
        </w:rPr>
      </w:pPr>
    </w:p>
    <w:p w14:paraId="7E36B841" w14:textId="64A17AB5" w:rsidR="00C70CE0" w:rsidRPr="007A37E1" w:rsidRDefault="00C70CE0" w:rsidP="00CF4CDA">
      <w:pPr>
        <w:tabs>
          <w:tab w:val="left" w:pos="567"/>
          <w:tab w:val="left" w:pos="851"/>
        </w:tabs>
        <w:spacing w:line="360" w:lineRule="auto"/>
        <w:jc w:val="both"/>
        <w:rPr>
          <w:rFonts w:ascii="Arial" w:hAnsi="Arial" w:cs="Arial"/>
          <w:lang w:val="en-US"/>
        </w:rPr>
      </w:pPr>
      <w:r w:rsidRPr="007A37E1">
        <w:rPr>
          <w:rFonts w:ascii="Arial" w:hAnsi="Arial" w:cs="Arial"/>
          <w:lang w:val="en-US"/>
        </w:rPr>
        <w:t>[</w:t>
      </w:r>
      <w:r w:rsidR="007A549D" w:rsidRPr="007A37E1">
        <w:rPr>
          <w:rFonts w:ascii="Arial" w:hAnsi="Arial" w:cs="Arial"/>
          <w:lang w:val="en-US"/>
        </w:rPr>
        <w:t>6</w:t>
      </w:r>
      <w:r w:rsidR="00904BAC" w:rsidRPr="007A37E1">
        <w:rPr>
          <w:rFonts w:ascii="Arial" w:hAnsi="Arial" w:cs="Arial"/>
          <w:lang w:val="en-US"/>
        </w:rPr>
        <w:t>8</w:t>
      </w:r>
      <w:r w:rsidRPr="007A37E1">
        <w:rPr>
          <w:rFonts w:ascii="Arial" w:hAnsi="Arial" w:cs="Arial"/>
          <w:lang w:val="en-US"/>
        </w:rPr>
        <w:t>]</w:t>
      </w:r>
      <w:r w:rsidR="00CF4CDA" w:rsidRPr="007A37E1">
        <w:rPr>
          <w:rFonts w:ascii="Arial" w:hAnsi="Arial" w:cs="Arial"/>
          <w:lang w:val="en-US"/>
        </w:rPr>
        <w:tab/>
      </w:r>
      <w:r w:rsidR="00003076" w:rsidRPr="007A37E1">
        <w:rPr>
          <w:rFonts w:ascii="Arial" w:hAnsi="Arial" w:cs="Arial"/>
          <w:lang w:val="en-US"/>
        </w:rPr>
        <w:tab/>
      </w:r>
      <w:r w:rsidRPr="007A37E1">
        <w:rPr>
          <w:rFonts w:ascii="Arial" w:hAnsi="Arial" w:cs="Arial"/>
          <w:lang w:val="en-US"/>
        </w:rPr>
        <w:t>As indicated in the note to the parties</w:t>
      </w:r>
      <w:r w:rsidR="00025A4F" w:rsidRPr="007A37E1">
        <w:rPr>
          <w:rFonts w:ascii="Arial" w:hAnsi="Arial" w:cs="Arial"/>
          <w:lang w:val="en-US"/>
        </w:rPr>
        <w:t>,</w:t>
      </w:r>
      <w:r w:rsidRPr="007A37E1">
        <w:rPr>
          <w:rFonts w:ascii="Arial" w:hAnsi="Arial" w:cs="Arial"/>
          <w:lang w:val="en-US"/>
        </w:rPr>
        <w:t xml:space="preserve"> this was an appeal with a full record and the heads of argument </w:t>
      </w:r>
      <w:r w:rsidR="00097901" w:rsidRPr="007A37E1">
        <w:rPr>
          <w:rFonts w:ascii="Arial" w:hAnsi="Arial" w:cs="Arial"/>
          <w:lang w:val="en-US"/>
        </w:rPr>
        <w:t xml:space="preserve">were </w:t>
      </w:r>
      <w:r w:rsidRPr="007A37E1">
        <w:rPr>
          <w:rFonts w:ascii="Arial" w:hAnsi="Arial" w:cs="Arial"/>
          <w:lang w:val="en-US"/>
        </w:rPr>
        <w:t>available to the judges hearing the appeal. It is in this context that prejudice</w:t>
      </w:r>
      <w:r w:rsidR="00FF1F44" w:rsidRPr="007A37E1">
        <w:rPr>
          <w:rFonts w:ascii="Arial" w:hAnsi="Arial" w:cs="Arial"/>
          <w:lang w:val="en-US"/>
        </w:rPr>
        <w:t>,</w:t>
      </w:r>
      <w:r w:rsidRPr="007A37E1">
        <w:rPr>
          <w:rFonts w:ascii="Arial" w:hAnsi="Arial" w:cs="Arial"/>
          <w:lang w:val="en-US"/>
        </w:rPr>
        <w:t xml:space="preserve"> if asserted</w:t>
      </w:r>
      <w:r w:rsidR="00FF1F44" w:rsidRPr="007A37E1">
        <w:rPr>
          <w:rFonts w:ascii="Arial" w:hAnsi="Arial" w:cs="Arial"/>
          <w:lang w:val="en-US"/>
        </w:rPr>
        <w:t>,</w:t>
      </w:r>
      <w:r w:rsidRPr="007A37E1">
        <w:rPr>
          <w:rFonts w:ascii="Arial" w:hAnsi="Arial" w:cs="Arial"/>
          <w:lang w:val="en-US"/>
        </w:rPr>
        <w:t xml:space="preserve"> has to be measured. No prejudice was claimed. More significantly</w:t>
      </w:r>
      <w:r w:rsidR="00025A4F" w:rsidRPr="007A37E1">
        <w:rPr>
          <w:rFonts w:ascii="Arial" w:hAnsi="Arial" w:cs="Arial"/>
          <w:lang w:val="en-US"/>
        </w:rPr>
        <w:t>,</w:t>
      </w:r>
      <w:r w:rsidRPr="007A37E1">
        <w:rPr>
          <w:rFonts w:ascii="Arial" w:hAnsi="Arial" w:cs="Arial"/>
          <w:lang w:val="en-US"/>
        </w:rPr>
        <w:t xml:space="preserve"> the directives referred to above were premised on the provisions of </w:t>
      </w:r>
      <w:r w:rsidR="009B0065" w:rsidRPr="007A37E1">
        <w:rPr>
          <w:rFonts w:ascii="Arial" w:hAnsi="Arial" w:cs="Arial"/>
          <w:lang w:val="en-US"/>
        </w:rPr>
        <w:t>s</w:t>
      </w:r>
      <w:r w:rsidRPr="007A37E1">
        <w:rPr>
          <w:rFonts w:ascii="Arial" w:hAnsi="Arial" w:cs="Arial"/>
          <w:lang w:val="en-US"/>
        </w:rPr>
        <w:t>s</w:t>
      </w:r>
      <w:r w:rsidR="00B66F39" w:rsidRPr="007A37E1">
        <w:rPr>
          <w:rFonts w:ascii="Arial" w:hAnsi="Arial" w:cs="Arial"/>
          <w:lang w:val="en-US"/>
        </w:rPr>
        <w:t xml:space="preserve"> </w:t>
      </w:r>
      <w:r w:rsidR="009B0065" w:rsidRPr="007A37E1">
        <w:rPr>
          <w:rFonts w:ascii="Arial" w:hAnsi="Arial" w:cs="Arial"/>
          <w:lang w:val="en-US"/>
        </w:rPr>
        <w:t xml:space="preserve">165 and </w:t>
      </w:r>
      <w:r w:rsidRPr="007A37E1">
        <w:rPr>
          <w:rFonts w:ascii="Arial" w:hAnsi="Arial" w:cs="Arial"/>
          <w:lang w:val="en-US"/>
        </w:rPr>
        <w:t>173 of the Constitution and the applicable provisions of the S</w:t>
      </w:r>
      <w:r w:rsidR="00A7379D" w:rsidRPr="007A37E1">
        <w:rPr>
          <w:rFonts w:ascii="Arial" w:hAnsi="Arial" w:cs="Arial"/>
          <w:lang w:val="en-US"/>
        </w:rPr>
        <w:t xml:space="preserve">C </w:t>
      </w:r>
      <w:r w:rsidR="00ED6FD0" w:rsidRPr="007A37E1">
        <w:rPr>
          <w:rFonts w:ascii="Arial" w:hAnsi="Arial" w:cs="Arial"/>
          <w:lang w:val="en-US"/>
        </w:rPr>
        <w:t>A</w:t>
      </w:r>
      <w:r w:rsidR="00A7379D" w:rsidRPr="007A37E1">
        <w:rPr>
          <w:rFonts w:ascii="Arial" w:hAnsi="Arial" w:cs="Arial"/>
          <w:lang w:val="en-US"/>
        </w:rPr>
        <w:t>ct</w:t>
      </w:r>
      <w:r w:rsidRPr="007A37E1">
        <w:rPr>
          <w:rFonts w:ascii="Arial" w:hAnsi="Arial" w:cs="Arial"/>
          <w:lang w:val="en-US"/>
        </w:rPr>
        <w:t>.</w:t>
      </w:r>
      <w:r w:rsidR="009B0065" w:rsidRPr="007A37E1">
        <w:rPr>
          <w:rFonts w:ascii="Arial" w:hAnsi="Arial" w:cs="Arial"/>
          <w:lang w:val="en-US"/>
        </w:rPr>
        <w:t xml:space="preserve"> They were agreed to by the </w:t>
      </w:r>
      <w:r w:rsidR="0088292A" w:rsidRPr="007A37E1">
        <w:rPr>
          <w:rFonts w:ascii="Arial" w:hAnsi="Arial" w:cs="Arial"/>
          <w:lang w:val="en-US"/>
        </w:rPr>
        <w:t>h</w:t>
      </w:r>
      <w:r w:rsidR="009B0065" w:rsidRPr="007A37E1">
        <w:rPr>
          <w:rFonts w:ascii="Arial" w:hAnsi="Arial" w:cs="Arial"/>
          <w:lang w:val="en-US"/>
        </w:rPr>
        <w:t xml:space="preserve">eads of </w:t>
      </w:r>
      <w:r w:rsidR="0088292A" w:rsidRPr="007A37E1">
        <w:rPr>
          <w:rFonts w:ascii="Arial" w:hAnsi="Arial" w:cs="Arial"/>
          <w:lang w:val="en-US"/>
        </w:rPr>
        <w:t>c</w:t>
      </w:r>
      <w:r w:rsidR="009B0065" w:rsidRPr="007A37E1">
        <w:rPr>
          <w:rFonts w:ascii="Arial" w:hAnsi="Arial" w:cs="Arial"/>
          <w:lang w:val="en-US"/>
        </w:rPr>
        <w:t>ourt and adhered to by judges. The measures set out in the directives were to ensure the safety of the public, legal representatives, judges and support staff.</w:t>
      </w:r>
      <w:r w:rsidRPr="007A37E1">
        <w:rPr>
          <w:rFonts w:ascii="Arial" w:hAnsi="Arial" w:cs="Arial"/>
          <w:lang w:val="en-US"/>
        </w:rPr>
        <w:t xml:space="preserve"> They have not been challenged and set aside.</w:t>
      </w:r>
    </w:p>
    <w:p w14:paraId="14478E7A" w14:textId="77777777" w:rsidR="00C70CE0" w:rsidRPr="007A37E1" w:rsidRDefault="00C70CE0" w:rsidP="00C70CE0">
      <w:pPr>
        <w:tabs>
          <w:tab w:val="left" w:pos="567"/>
        </w:tabs>
        <w:spacing w:line="360" w:lineRule="auto"/>
        <w:jc w:val="both"/>
        <w:rPr>
          <w:rFonts w:ascii="Arial" w:hAnsi="Arial" w:cs="Arial"/>
          <w:lang w:val="en-US"/>
        </w:rPr>
      </w:pPr>
    </w:p>
    <w:p w14:paraId="18319159" w14:textId="199940E7" w:rsidR="00C70CE0" w:rsidRPr="007A37E1" w:rsidRDefault="00C70CE0" w:rsidP="00CF4CDA">
      <w:pPr>
        <w:tabs>
          <w:tab w:val="left" w:pos="567"/>
          <w:tab w:val="left" w:pos="851"/>
        </w:tabs>
        <w:spacing w:line="360" w:lineRule="auto"/>
        <w:jc w:val="both"/>
        <w:rPr>
          <w:rFonts w:ascii="Arial" w:hAnsi="Arial" w:cs="Arial"/>
          <w:lang w:val="en-US"/>
        </w:rPr>
      </w:pPr>
      <w:r w:rsidRPr="007A37E1">
        <w:rPr>
          <w:rFonts w:ascii="Arial" w:hAnsi="Arial" w:cs="Arial"/>
          <w:lang w:val="en-US"/>
        </w:rPr>
        <w:t>[</w:t>
      </w:r>
      <w:r w:rsidR="007A549D" w:rsidRPr="007A37E1">
        <w:rPr>
          <w:rFonts w:ascii="Arial" w:hAnsi="Arial" w:cs="Arial"/>
          <w:lang w:val="en-US"/>
        </w:rPr>
        <w:t>6</w:t>
      </w:r>
      <w:r w:rsidR="00904BAC" w:rsidRPr="007A37E1">
        <w:rPr>
          <w:rFonts w:ascii="Arial" w:hAnsi="Arial" w:cs="Arial"/>
          <w:lang w:val="en-US"/>
        </w:rPr>
        <w:t>9</w:t>
      </w:r>
      <w:r w:rsidR="00CF4CDA" w:rsidRPr="007A37E1">
        <w:rPr>
          <w:rFonts w:ascii="Arial" w:hAnsi="Arial" w:cs="Arial"/>
          <w:lang w:val="en-US"/>
        </w:rPr>
        <w:t>]</w:t>
      </w:r>
      <w:r w:rsidR="00CF4CDA" w:rsidRPr="007A37E1">
        <w:rPr>
          <w:rFonts w:ascii="Arial" w:hAnsi="Arial" w:cs="Arial"/>
          <w:lang w:val="en-US"/>
        </w:rPr>
        <w:tab/>
      </w:r>
      <w:r w:rsidR="00003076" w:rsidRPr="007A37E1">
        <w:rPr>
          <w:rFonts w:ascii="Arial" w:hAnsi="Arial" w:cs="Arial"/>
          <w:lang w:val="en-US"/>
        </w:rPr>
        <w:tab/>
      </w:r>
      <w:r w:rsidRPr="007A37E1">
        <w:rPr>
          <w:rFonts w:ascii="Arial" w:hAnsi="Arial" w:cs="Arial"/>
          <w:lang w:val="en-US"/>
        </w:rPr>
        <w:t xml:space="preserve">The high court has on at least two occasions pronounced on the legality of virtual hearings. In </w:t>
      </w:r>
      <w:r w:rsidRPr="007A37E1">
        <w:rPr>
          <w:rFonts w:ascii="Arial" w:hAnsi="Arial" w:cs="Arial"/>
          <w:i/>
          <w:lang w:val="en-US"/>
        </w:rPr>
        <w:t>De Villiers v De Villiers</w:t>
      </w:r>
      <w:r w:rsidR="005F69B6" w:rsidRPr="007A37E1">
        <w:rPr>
          <w:rFonts w:ascii="Arial" w:hAnsi="Arial" w:cs="Arial"/>
          <w:lang w:val="en-US"/>
        </w:rPr>
        <w:t>,</w:t>
      </w:r>
      <w:r w:rsidRPr="007A37E1">
        <w:rPr>
          <w:rFonts w:ascii="Arial" w:hAnsi="Arial" w:cs="Arial"/>
          <w:lang w:val="en-US"/>
        </w:rPr>
        <w:t xml:space="preserve"> the court said the following:</w:t>
      </w:r>
    </w:p>
    <w:p w14:paraId="40A1D18F" w14:textId="0033125E" w:rsidR="00C70CE0" w:rsidRPr="007A37E1" w:rsidRDefault="00C70CE0" w:rsidP="00C70CE0">
      <w:pPr>
        <w:tabs>
          <w:tab w:val="left" w:pos="567"/>
        </w:tabs>
        <w:spacing w:line="360" w:lineRule="auto"/>
        <w:jc w:val="both"/>
        <w:rPr>
          <w:rFonts w:ascii="Arial" w:hAnsi="Arial" w:cs="Arial"/>
          <w:lang w:val="en-US"/>
        </w:rPr>
      </w:pPr>
      <w:r w:rsidRPr="007A37E1">
        <w:rPr>
          <w:rFonts w:ascii="Arial" w:hAnsi="Arial" w:cs="Arial"/>
          <w:sz w:val="22"/>
          <w:szCs w:val="22"/>
          <w:lang w:val="en-US"/>
        </w:rPr>
        <w:t xml:space="preserve">‘One of the methods to contain the spread of the virus is conducting </w:t>
      </w:r>
      <w:r w:rsidR="001062B8" w:rsidRPr="007A37E1">
        <w:rPr>
          <w:rFonts w:ascii="Arial" w:hAnsi="Arial" w:cs="Arial"/>
          <w:sz w:val="22"/>
          <w:szCs w:val="22"/>
          <w:lang w:val="en-US"/>
        </w:rPr>
        <w:t xml:space="preserve">court </w:t>
      </w:r>
      <w:r w:rsidRPr="007A37E1">
        <w:rPr>
          <w:rFonts w:ascii="Arial" w:hAnsi="Arial" w:cs="Arial"/>
          <w:sz w:val="22"/>
          <w:szCs w:val="22"/>
          <w:lang w:val="en-US"/>
        </w:rPr>
        <w:t>proceedings on a virtual platform. This method has the obvious benefit of limiting the chances of exposing oneself (that is all persons whose appearance/presence is pertinent to said court proceedings, be it Judges, court staff, legal fraternity, witnesses, interested parties, media, etc.) un</w:t>
      </w:r>
      <w:r w:rsidR="005F33C3" w:rsidRPr="007A37E1">
        <w:rPr>
          <w:rFonts w:ascii="Arial" w:hAnsi="Arial" w:cs="Arial"/>
          <w:sz w:val="22"/>
          <w:szCs w:val="22"/>
          <w:lang w:val="en-US"/>
        </w:rPr>
        <w:t>n</w:t>
      </w:r>
      <w:r w:rsidRPr="007A37E1">
        <w:rPr>
          <w:rFonts w:ascii="Arial" w:hAnsi="Arial" w:cs="Arial"/>
          <w:sz w:val="22"/>
          <w:szCs w:val="22"/>
          <w:lang w:val="en-US"/>
        </w:rPr>
        <w:t>e</w:t>
      </w:r>
      <w:r w:rsidR="005F33C3" w:rsidRPr="007A37E1">
        <w:rPr>
          <w:rFonts w:ascii="Arial" w:hAnsi="Arial" w:cs="Arial"/>
          <w:sz w:val="22"/>
          <w:szCs w:val="22"/>
          <w:lang w:val="en-US"/>
        </w:rPr>
        <w:t>ce</w:t>
      </w:r>
      <w:r w:rsidRPr="007A37E1">
        <w:rPr>
          <w:rFonts w:ascii="Arial" w:hAnsi="Arial" w:cs="Arial"/>
          <w:sz w:val="22"/>
          <w:szCs w:val="22"/>
          <w:lang w:val="en-US"/>
        </w:rPr>
        <w:t xml:space="preserve">ssarily </w:t>
      </w:r>
      <w:r w:rsidR="001062B8" w:rsidRPr="007A37E1">
        <w:rPr>
          <w:rFonts w:ascii="Arial" w:hAnsi="Arial" w:cs="Arial"/>
          <w:sz w:val="22"/>
          <w:szCs w:val="22"/>
          <w:lang w:val="en-US"/>
        </w:rPr>
        <w:t xml:space="preserve">to </w:t>
      </w:r>
      <w:r w:rsidRPr="007A37E1">
        <w:rPr>
          <w:rFonts w:ascii="Arial" w:hAnsi="Arial" w:cs="Arial"/>
          <w:sz w:val="22"/>
          <w:szCs w:val="22"/>
          <w:lang w:val="en-US"/>
        </w:rPr>
        <w:t>contracting the virus.’</w:t>
      </w:r>
      <w:r w:rsidRPr="007A37E1">
        <w:rPr>
          <w:rStyle w:val="FootnoteReference"/>
          <w:rFonts w:ascii="Arial" w:hAnsi="Arial" w:cs="Arial"/>
          <w:sz w:val="22"/>
          <w:szCs w:val="22"/>
          <w:lang w:val="en-US"/>
        </w:rPr>
        <w:footnoteReference w:id="13"/>
      </w:r>
    </w:p>
    <w:p w14:paraId="1AF126B4" w14:textId="09FF0A72" w:rsidR="00C70CE0" w:rsidRPr="007A37E1" w:rsidRDefault="00C70CE0" w:rsidP="00C70CE0">
      <w:pPr>
        <w:tabs>
          <w:tab w:val="left" w:pos="567"/>
        </w:tabs>
        <w:spacing w:line="360" w:lineRule="auto"/>
        <w:jc w:val="both"/>
        <w:rPr>
          <w:rFonts w:ascii="Arial" w:hAnsi="Arial" w:cs="Arial"/>
          <w:lang w:val="en-US"/>
        </w:rPr>
      </w:pPr>
      <w:r w:rsidRPr="007A37E1">
        <w:rPr>
          <w:rFonts w:ascii="Arial" w:hAnsi="Arial" w:cs="Arial"/>
          <w:lang w:val="en-US"/>
        </w:rPr>
        <w:t>In that case</w:t>
      </w:r>
      <w:r w:rsidR="000238E6" w:rsidRPr="007A37E1">
        <w:rPr>
          <w:rFonts w:ascii="Arial" w:hAnsi="Arial" w:cs="Arial"/>
          <w:lang w:val="en-US"/>
        </w:rPr>
        <w:t>,</w:t>
      </w:r>
      <w:r w:rsidRPr="007A37E1">
        <w:rPr>
          <w:rFonts w:ascii="Arial" w:hAnsi="Arial" w:cs="Arial"/>
          <w:lang w:val="en-US"/>
        </w:rPr>
        <w:t xml:space="preserve"> a litigant insisted</w:t>
      </w:r>
      <w:r w:rsidR="00097901" w:rsidRPr="007A37E1">
        <w:rPr>
          <w:rFonts w:ascii="Arial" w:hAnsi="Arial" w:cs="Arial"/>
          <w:lang w:val="en-US"/>
        </w:rPr>
        <w:t xml:space="preserve"> on an ‘open court’ hearing</w:t>
      </w:r>
      <w:r w:rsidR="000238E6" w:rsidRPr="007A37E1">
        <w:rPr>
          <w:rFonts w:ascii="Arial" w:hAnsi="Arial" w:cs="Arial"/>
          <w:lang w:val="en-US"/>
        </w:rPr>
        <w:t>,</w:t>
      </w:r>
      <w:r w:rsidR="00097901" w:rsidRPr="007A37E1">
        <w:rPr>
          <w:rFonts w:ascii="Arial" w:hAnsi="Arial" w:cs="Arial"/>
          <w:lang w:val="en-US"/>
        </w:rPr>
        <w:t xml:space="preserve"> but</w:t>
      </w:r>
      <w:r w:rsidRPr="007A37E1">
        <w:rPr>
          <w:rFonts w:ascii="Arial" w:hAnsi="Arial" w:cs="Arial"/>
          <w:lang w:val="en-US"/>
        </w:rPr>
        <w:t xml:space="preserve"> could not show why a virtual hearing would not result in a fair hearing.</w:t>
      </w:r>
    </w:p>
    <w:p w14:paraId="36BC1B3A" w14:textId="686A7DDE" w:rsidR="007E3468" w:rsidRPr="007A37E1" w:rsidRDefault="007E3468" w:rsidP="00C70CE0">
      <w:pPr>
        <w:tabs>
          <w:tab w:val="left" w:pos="567"/>
        </w:tabs>
        <w:spacing w:line="360" w:lineRule="auto"/>
        <w:jc w:val="both"/>
        <w:rPr>
          <w:rFonts w:ascii="Arial" w:hAnsi="Arial" w:cs="Arial"/>
          <w:lang w:val="en-US"/>
        </w:rPr>
      </w:pPr>
    </w:p>
    <w:p w14:paraId="586BA1DC" w14:textId="1F22C096" w:rsidR="007E3468" w:rsidRPr="007A37E1" w:rsidRDefault="0010782B" w:rsidP="00CF4CDA">
      <w:pPr>
        <w:tabs>
          <w:tab w:val="left" w:pos="567"/>
          <w:tab w:val="left" w:pos="851"/>
        </w:tabs>
        <w:spacing w:line="360" w:lineRule="auto"/>
        <w:jc w:val="both"/>
        <w:rPr>
          <w:rFonts w:ascii="Arial" w:hAnsi="Arial" w:cs="Arial"/>
          <w:lang w:val="en-US"/>
        </w:rPr>
      </w:pPr>
      <w:r w:rsidRPr="007A37E1">
        <w:rPr>
          <w:rFonts w:ascii="Arial" w:hAnsi="Arial" w:cs="Arial"/>
          <w:lang w:val="en-US"/>
        </w:rPr>
        <w:t>[</w:t>
      </w:r>
      <w:r w:rsidR="00904BAC" w:rsidRPr="007A37E1">
        <w:rPr>
          <w:rFonts w:ascii="Arial" w:hAnsi="Arial" w:cs="Arial"/>
          <w:lang w:val="en-US"/>
        </w:rPr>
        <w:t>70</w:t>
      </w:r>
      <w:r w:rsidR="00CF4CDA" w:rsidRPr="007A37E1">
        <w:rPr>
          <w:rFonts w:ascii="Arial" w:hAnsi="Arial" w:cs="Arial"/>
          <w:lang w:val="en-US"/>
        </w:rPr>
        <w:t>]</w:t>
      </w:r>
      <w:r w:rsidR="00CF4CDA" w:rsidRPr="007A37E1">
        <w:rPr>
          <w:rFonts w:ascii="Arial" w:hAnsi="Arial" w:cs="Arial"/>
          <w:lang w:val="en-US"/>
        </w:rPr>
        <w:tab/>
      </w:r>
      <w:r w:rsidR="00003076" w:rsidRPr="007A37E1">
        <w:rPr>
          <w:rFonts w:ascii="Arial" w:hAnsi="Arial" w:cs="Arial"/>
          <w:lang w:val="en-US"/>
        </w:rPr>
        <w:tab/>
      </w:r>
      <w:r w:rsidR="00C50699" w:rsidRPr="007A37E1">
        <w:rPr>
          <w:rFonts w:ascii="Arial" w:hAnsi="Arial" w:cs="Arial"/>
          <w:lang w:val="en-US"/>
        </w:rPr>
        <w:t xml:space="preserve">In the </w:t>
      </w:r>
      <w:r w:rsidR="00A3718A" w:rsidRPr="007A37E1">
        <w:rPr>
          <w:rFonts w:ascii="Arial" w:hAnsi="Arial" w:cs="Arial"/>
          <w:lang w:val="en-US"/>
        </w:rPr>
        <w:t>present ci</w:t>
      </w:r>
      <w:r w:rsidR="00C50699" w:rsidRPr="007A37E1">
        <w:rPr>
          <w:rFonts w:ascii="Arial" w:hAnsi="Arial" w:cs="Arial"/>
          <w:lang w:val="en-US"/>
        </w:rPr>
        <w:t>r</w:t>
      </w:r>
      <w:r w:rsidR="005A0141" w:rsidRPr="007A37E1">
        <w:rPr>
          <w:rFonts w:ascii="Arial" w:hAnsi="Arial" w:cs="Arial"/>
          <w:lang w:val="en-US"/>
        </w:rPr>
        <w:t>c</w:t>
      </w:r>
      <w:r w:rsidR="00C50699" w:rsidRPr="007A37E1">
        <w:rPr>
          <w:rFonts w:ascii="Arial" w:hAnsi="Arial" w:cs="Arial"/>
          <w:lang w:val="en-US"/>
        </w:rPr>
        <w:t>umstances, w</w:t>
      </w:r>
      <w:r w:rsidR="007E3468" w:rsidRPr="007A37E1">
        <w:rPr>
          <w:rFonts w:ascii="Arial" w:hAnsi="Arial" w:cs="Arial"/>
          <w:lang w:val="en-US"/>
        </w:rPr>
        <w:t>e can discern no reason why a virtual hearing for the purposes of hearing oral argument</w:t>
      </w:r>
      <w:r w:rsidR="006202F4" w:rsidRPr="007A37E1">
        <w:rPr>
          <w:rFonts w:ascii="Arial" w:hAnsi="Arial" w:cs="Arial"/>
          <w:lang w:val="en-US"/>
        </w:rPr>
        <w:t xml:space="preserve"> on any aspect of</w:t>
      </w:r>
      <w:r w:rsidR="007E3468" w:rsidRPr="007A37E1">
        <w:rPr>
          <w:rFonts w:ascii="Arial" w:hAnsi="Arial" w:cs="Arial"/>
          <w:lang w:val="en-US"/>
        </w:rPr>
        <w:t xml:space="preserve"> this appeal</w:t>
      </w:r>
      <w:r w:rsidR="005A0141" w:rsidRPr="007A37E1">
        <w:rPr>
          <w:rFonts w:ascii="Arial" w:hAnsi="Arial" w:cs="Arial"/>
          <w:lang w:val="en-US"/>
        </w:rPr>
        <w:t xml:space="preserve"> </w:t>
      </w:r>
      <w:r w:rsidR="00C50699" w:rsidRPr="007A37E1">
        <w:rPr>
          <w:rFonts w:ascii="Arial" w:hAnsi="Arial" w:cs="Arial"/>
          <w:lang w:val="en-US"/>
        </w:rPr>
        <w:t xml:space="preserve">would attenuate the </w:t>
      </w:r>
      <w:r w:rsidR="00C50699" w:rsidRPr="007A37E1">
        <w:rPr>
          <w:rFonts w:ascii="Arial" w:hAnsi="Arial" w:cs="Arial"/>
          <w:lang w:val="en-US"/>
        </w:rPr>
        <w:lastRenderedPageBreak/>
        <w:t>open justice principle</w:t>
      </w:r>
      <w:r w:rsidR="007E3468" w:rsidRPr="007A37E1">
        <w:rPr>
          <w:rFonts w:ascii="Arial" w:hAnsi="Arial" w:cs="Arial"/>
          <w:lang w:val="en-US"/>
        </w:rPr>
        <w:t>. Neither the respondents nor the H</w:t>
      </w:r>
      <w:r w:rsidR="00025A4F" w:rsidRPr="007A37E1">
        <w:rPr>
          <w:rFonts w:ascii="Arial" w:hAnsi="Arial" w:cs="Arial"/>
          <w:lang w:val="en-US"/>
        </w:rPr>
        <w:t>BF</w:t>
      </w:r>
      <w:r w:rsidR="007E3468" w:rsidRPr="007A37E1">
        <w:rPr>
          <w:rFonts w:ascii="Arial" w:hAnsi="Arial" w:cs="Arial"/>
          <w:lang w:val="en-US"/>
        </w:rPr>
        <w:t xml:space="preserve"> referenced any prejudice they would suffer. No </w:t>
      </w:r>
      <w:r w:rsidR="009D2A8A" w:rsidRPr="007A37E1">
        <w:rPr>
          <w:rFonts w:ascii="Arial" w:hAnsi="Arial" w:cs="Arial"/>
          <w:lang w:val="en-US"/>
        </w:rPr>
        <w:t>basis was offered as to why a deviation from the directives issued by the Chief Justice and the President of th</w:t>
      </w:r>
      <w:r w:rsidR="00EB04CD" w:rsidRPr="007A37E1">
        <w:rPr>
          <w:rFonts w:ascii="Arial" w:hAnsi="Arial" w:cs="Arial"/>
          <w:lang w:val="en-US"/>
        </w:rPr>
        <w:t>is C</w:t>
      </w:r>
      <w:r w:rsidR="009D2A8A" w:rsidRPr="007A37E1">
        <w:rPr>
          <w:rFonts w:ascii="Arial" w:hAnsi="Arial" w:cs="Arial"/>
          <w:lang w:val="en-US"/>
        </w:rPr>
        <w:t>ourt was warranted. Virtual hearings have been utili</w:t>
      </w:r>
      <w:r w:rsidR="00DF3EB0" w:rsidRPr="007A37E1">
        <w:rPr>
          <w:rFonts w:ascii="Arial" w:hAnsi="Arial" w:cs="Arial"/>
          <w:lang w:val="en-US"/>
        </w:rPr>
        <w:t>s</w:t>
      </w:r>
      <w:r w:rsidR="009D2A8A" w:rsidRPr="007A37E1">
        <w:rPr>
          <w:rFonts w:ascii="Arial" w:hAnsi="Arial" w:cs="Arial"/>
          <w:lang w:val="en-US"/>
        </w:rPr>
        <w:t xml:space="preserve">ed by this </w:t>
      </w:r>
      <w:r w:rsidR="00025A4F" w:rsidRPr="007A37E1">
        <w:rPr>
          <w:rFonts w:ascii="Arial" w:hAnsi="Arial" w:cs="Arial"/>
          <w:lang w:val="en-US"/>
        </w:rPr>
        <w:t>C</w:t>
      </w:r>
      <w:r w:rsidR="009D2A8A" w:rsidRPr="007A37E1">
        <w:rPr>
          <w:rFonts w:ascii="Arial" w:hAnsi="Arial" w:cs="Arial"/>
          <w:lang w:val="en-US"/>
        </w:rPr>
        <w:t>ourt for more than a year to hear oral argument, without any discernable detriment to fairness or open justice. We decided in consequence to proceed with the oral hearing on the virtual platform.</w:t>
      </w:r>
    </w:p>
    <w:p w14:paraId="4A9F20CD" w14:textId="77777777" w:rsidR="001D1D64" w:rsidRPr="007A37E1" w:rsidRDefault="001D1D64" w:rsidP="00CF4CDA">
      <w:pPr>
        <w:tabs>
          <w:tab w:val="left" w:pos="567"/>
          <w:tab w:val="left" w:pos="851"/>
        </w:tabs>
        <w:spacing w:line="360" w:lineRule="auto"/>
        <w:jc w:val="both"/>
        <w:rPr>
          <w:rFonts w:ascii="Arial" w:hAnsi="Arial" w:cs="Arial"/>
          <w:lang w:val="en-US"/>
        </w:rPr>
      </w:pPr>
    </w:p>
    <w:p w14:paraId="6A305E07" w14:textId="50E62D77" w:rsidR="00C70CE0" w:rsidRPr="007A37E1" w:rsidRDefault="00C70CE0" w:rsidP="00CF4CDA">
      <w:pPr>
        <w:tabs>
          <w:tab w:val="left" w:pos="567"/>
          <w:tab w:val="left" w:pos="851"/>
        </w:tabs>
        <w:spacing w:line="360" w:lineRule="auto"/>
        <w:jc w:val="both"/>
        <w:rPr>
          <w:rFonts w:ascii="Arial" w:hAnsi="Arial" w:cs="Arial"/>
          <w:lang w:val="en-US"/>
        </w:rPr>
      </w:pPr>
      <w:r w:rsidRPr="007A37E1">
        <w:rPr>
          <w:rFonts w:ascii="Arial" w:hAnsi="Arial" w:cs="Arial"/>
          <w:lang w:val="en-US"/>
        </w:rPr>
        <w:t>[</w:t>
      </w:r>
      <w:r w:rsidR="009E77E2" w:rsidRPr="007A37E1">
        <w:rPr>
          <w:rFonts w:ascii="Arial" w:hAnsi="Arial" w:cs="Arial"/>
          <w:lang w:val="en-US"/>
        </w:rPr>
        <w:t>7</w:t>
      </w:r>
      <w:r w:rsidR="00904BAC" w:rsidRPr="007A37E1">
        <w:rPr>
          <w:rFonts w:ascii="Arial" w:hAnsi="Arial" w:cs="Arial"/>
          <w:lang w:val="en-US"/>
        </w:rPr>
        <w:t>1</w:t>
      </w:r>
      <w:r w:rsidR="00CF4CDA" w:rsidRPr="007A37E1">
        <w:rPr>
          <w:rFonts w:ascii="Arial" w:hAnsi="Arial" w:cs="Arial"/>
          <w:lang w:val="en-US"/>
        </w:rPr>
        <w:t>]</w:t>
      </w:r>
      <w:r w:rsidR="00CF4CDA" w:rsidRPr="007A37E1">
        <w:rPr>
          <w:rFonts w:ascii="Arial" w:hAnsi="Arial" w:cs="Arial"/>
          <w:lang w:val="en-US"/>
        </w:rPr>
        <w:tab/>
      </w:r>
      <w:r w:rsidR="00003076" w:rsidRPr="007A37E1">
        <w:rPr>
          <w:rFonts w:ascii="Arial" w:hAnsi="Arial" w:cs="Arial"/>
          <w:lang w:val="en-US"/>
        </w:rPr>
        <w:tab/>
      </w:r>
      <w:r w:rsidR="005F33C3" w:rsidRPr="007A37E1">
        <w:rPr>
          <w:rFonts w:ascii="Arial" w:hAnsi="Arial" w:cs="Arial"/>
          <w:lang w:val="en-US"/>
        </w:rPr>
        <w:t>T</w:t>
      </w:r>
      <w:r w:rsidRPr="007A37E1">
        <w:rPr>
          <w:rFonts w:ascii="Arial" w:hAnsi="Arial" w:cs="Arial"/>
          <w:lang w:val="en-US"/>
        </w:rPr>
        <w:t>he respondents and the H</w:t>
      </w:r>
      <w:r w:rsidR="00025A4F" w:rsidRPr="007A37E1">
        <w:rPr>
          <w:rFonts w:ascii="Arial" w:hAnsi="Arial" w:cs="Arial"/>
          <w:lang w:val="en-US"/>
        </w:rPr>
        <w:t>BF</w:t>
      </w:r>
      <w:r w:rsidRPr="007A37E1">
        <w:rPr>
          <w:rFonts w:ascii="Arial" w:hAnsi="Arial" w:cs="Arial"/>
          <w:lang w:val="en-US"/>
        </w:rPr>
        <w:t xml:space="preserve"> </w:t>
      </w:r>
      <w:r w:rsidR="00FF1F44" w:rsidRPr="007A37E1">
        <w:rPr>
          <w:rFonts w:ascii="Arial" w:hAnsi="Arial" w:cs="Arial"/>
          <w:lang w:val="en-US"/>
        </w:rPr>
        <w:t xml:space="preserve">having </w:t>
      </w:r>
      <w:r w:rsidRPr="007A37E1">
        <w:rPr>
          <w:rFonts w:ascii="Arial" w:hAnsi="Arial" w:cs="Arial"/>
          <w:lang w:val="en-US"/>
        </w:rPr>
        <w:t>b</w:t>
      </w:r>
      <w:r w:rsidR="00FF1F44" w:rsidRPr="007A37E1">
        <w:rPr>
          <w:rFonts w:ascii="Arial" w:hAnsi="Arial" w:cs="Arial"/>
          <w:lang w:val="en-US"/>
        </w:rPr>
        <w:t xml:space="preserve">een </w:t>
      </w:r>
      <w:r w:rsidRPr="007A37E1">
        <w:rPr>
          <w:rFonts w:ascii="Arial" w:hAnsi="Arial" w:cs="Arial"/>
          <w:lang w:val="en-US"/>
        </w:rPr>
        <w:t>excused</w:t>
      </w:r>
      <w:r w:rsidR="004E1DB1" w:rsidRPr="007A37E1">
        <w:rPr>
          <w:rFonts w:ascii="Arial" w:hAnsi="Arial" w:cs="Arial"/>
          <w:lang w:val="en-US"/>
        </w:rPr>
        <w:t xml:space="preserve">, since they declined to address this </w:t>
      </w:r>
      <w:r w:rsidR="00025A4F" w:rsidRPr="007A37E1">
        <w:rPr>
          <w:rFonts w:ascii="Arial" w:hAnsi="Arial" w:cs="Arial"/>
          <w:lang w:val="en-US"/>
        </w:rPr>
        <w:t>C</w:t>
      </w:r>
      <w:r w:rsidR="004E1DB1" w:rsidRPr="007A37E1">
        <w:rPr>
          <w:rFonts w:ascii="Arial" w:hAnsi="Arial" w:cs="Arial"/>
          <w:lang w:val="en-US"/>
        </w:rPr>
        <w:t>ourt on any issue, even under reservation of their rights,</w:t>
      </w:r>
      <w:r w:rsidRPr="007A37E1">
        <w:rPr>
          <w:rFonts w:ascii="Arial" w:hAnsi="Arial" w:cs="Arial"/>
          <w:lang w:val="en-US"/>
        </w:rPr>
        <w:t xml:space="preserve"> the Minister and CASAC</w:t>
      </w:r>
      <w:r w:rsidR="004E1DB1" w:rsidRPr="007A37E1">
        <w:rPr>
          <w:rFonts w:ascii="Arial" w:hAnsi="Arial" w:cs="Arial"/>
          <w:lang w:val="en-US"/>
        </w:rPr>
        <w:t xml:space="preserve"> were</w:t>
      </w:r>
      <w:r w:rsidRPr="007A37E1">
        <w:rPr>
          <w:rFonts w:ascii="Arial" w:hAnsi="Arial" w:cs="Arial"/>
          <w:lang w:val="en-US"/>
        </w:rPr>
        <w:t xml:space="preserve"> ready to make submissions </w:t>
      </w:r>
      <w:r w:rsidR="004E1DB1" w:rsidRPr="007A37E1">
        <w:rPr>
          <w:rFonts w:ascii="Arial" w:hAnsi="Arial" w:cs="Arial"/>
          <w:lang w:val="en-US"/>
        </w:rPr>
        <w:t xml:space="preserve">and </w:t>
      </w:r>
      <w:r w:rsidRPr="007A37E1">
        <w:rPr>
          <w:rFonts w:ascii="Arial" w:hAnsi="Arial" w:cs="Arial"/>
          <w:lang w:val="en-US"/>
        </w:rPr>
        <w:t>we conducted the appeal virtually</w:t>
      </w:r>
      <w:r w:rsidR="003C2663" w:rsidRPr="007A37E1">
        <w:rPr>
          <w:rFonts w:ascii="Arial" w:hAnsi="Arial" w:cs="Arial"/>
          <w:lang w:val="en-US"/>
        </w:rPr>
        <w:t xml:space="preserve"> and received </w:t>
      </w:r>
      <w:r w:rsidR="00F70E93" w:rsidRPr="007A37E1">
        <w:rPr>
          <w:rFonts w:ascii="Arial" w:hAnsi="Arial" w:cs="Arial"/>
          <w:lang w:val="en-US"/>
        </w:rPr>
        <w:t xml:space="preserve">their </w:t>
      </w:r>
      <w:r w:rsidR="004E1DB1" w:rsidRPr="007A37E1">
        <w:rPr>
          <w:rFonts w:ascii="Arial" w:hAnsi="Arial" w:cs="Arial"/>
          <w:lang w:val="en-US"/>
        </w:rPr>
        <w:t xml:space="preserve">oral </w:t>
      </w:r>
      <w:r w:rsidR="003C2663" w:rsidRPr="007A37E1">
        <w:rPr>
          <w:rFonts w:ascii="Arial" w:hAnsi="Arial" w:cs="Arial"/>
          <w:lang w:val="en-US"/>
        </w:rPr>
        <w:t>submissions</w:t>
      </w:r>
      <w:r w:rsidR="00F70E93" w:rsidRPr="007A37E1">
        <w:rPr>
          <w:rFonts w:ascii="Arial" w:hAnsi="Arial" w:cs="Arial"/>
          <w:lang w:val="en-US"/>
        </w:rPr>
        <w:t>.</w:t>
      </w:r>
    </w:p>
    <w:p w14:paraId="7D09DDDC" w14:textId="77777777" w:rsidR="00CF4CDA" w:rsidRPr="007A37E1" w:rsidRDefault="00CF4CDA" w:rsidP="00652E87">
      <w:pPr>
        <w:tabs>
          <w:tab w:val="left" w:pos="567"/>
        </w:tabs>
        <w:spacing w:line="360" w:lineRule="auto"/>
        <w:jc w:val="both"/>
        <w:rPr>
          <w:rFonts w:ascii="Arial" w:hAnsi="Arial" w:cs="Arial"/>
          <w:b/>
          <w:bCs/>
          <w:lang w:val="en-US"/>
        </w:rPr>
      </w:pPr>
    </w:p>
    <w:p w14:paraId="3E98F099" w14:textId="3CE6CB16" w:rsidR="0070445B" w:rsidRPr="007A37E1" w:rsidRDefault="00F70E93" w:rsidP="00652E87">
      <w:pPr>
        <w:tabs>
          <w:tab w:val="left" w:pos="567"/>
        </w:tabs>
        <w:spacing w:line="360" w:lineRule="auto"/>
        <w:jc w:val="both"/>
        <w:rPr>
          <w:rFonts w:ascii="Arial" w:hAnsi="Arial" w:cs="Arial"/>
          <w:b/>
          <w:bCs/>
          <w:i/>
          <w:iCs/>
          <w:lang w:val="en-US"/>
        </w:rPr>
      </w:pPr>
      <w:r w:rsidRPr="007A37E1">
        <w:rPr>
          <w:rFonts w:ascii="Arial" w:hAnsi="Arial" w:cs="Arial"/>
          <w:b/>
          <w:bCs/>
          <w:lang w:val="en-US"/>
        </w:rPr>
        <w:t xml:space="preserve">Points </w:t>
      </w:r>
      <w:r w:rsidR="0070445B" w:rsidRPr="007A37E1">
        <w:rPr>
          <w:rFonts w:ascii="Arial" w:hAnsi="Arial" w:cs="Arial"/>
          <w:b/>
          <w:bCs/>
          <w:i/>
          <w:iCs/>
          <w:lang w:val="en-US"/>
        </w:rPr>
        <w:t>in limine</w:t>
      </w:r>
    </w:p>
    <w:p w14:paraId="10D9010D" w14:textId="57E7C43A" w:rsidR="00F70E93" w:rsidRPr="007A37E1" w:rsidRDefault="007F7397" w:rsidP="00AF488F">
      <w:pPr>
        <w:tabs>
          <w:tab w:val="left" w:pos="567"/>
          <w:tab w:val="left" w:pos="851"/>
        </w:tabs>
        <w:spacing w:line="360" w:lineRule="auto"/>
        <w:jc w:val="both"/>
        <w:rPr>
          <w:rFonts w:ascii="Arial" w:hAnsi="Arial" w:cs="Arial"/>
          <w:lang w:val="en-US"/>
        </w:rPr>
      </w:pPr>
      <w:r w:rsidRPr="007A37E1">
        <w:rPr>
          <w:rFonts w:ascii="Arial" w:hAnsi="Arial" w:cs="Arial"/>
          <w:lang w:val="en-US"/>
        </w:rPr>
        <w:t>[</w:t>
      </w:r>
      <w:r w:rsidR="009E77E2" w:rsidRPr="007A37E1">
        <w:rPr>
          <w:rFonts w:ascii="Arial" w:hAnsi="Arial" w:cs="Arial"/>
          <w:lang w:val="en-US"/>
        </w:rPr>
        <w:t>7</w:t>
      </w:r>
      <w:r w:rsidR="00904BAC" w:rsidRPr="007A37E1">
        <w:rPr>
          <w:rFonts w:ascii="Arial" w:hAnsi="Arial" w:cs="Arial"/>
          <w:lang w:val="en-US"/>
        </w:rPr>
        <w:t>2</w:t>
      </w:r>
      <w:r w:rsidRPr="007A37E1">
        <w:rPr>
          <w:rFonts w:ascii="Arial" w:hAnsi="Arial" w:cs="Arial"/>
          <w:lang w:val="en-US"/>
        </w:rPr>
        <w:t>]</w:t>
      </w:r>
      <w:r w:rsidRPr="007A37E1">
        <w:rPr>
          <w:rFonts w:ascii="Arial" w:hAnsi="Arial" w:cs="Arial"/>
          <w:lang w:val="en-US"/>
        </w:rPr>
        <w:tab/>
      </w:r>
      <w:r w:rsidR="00003076" w:rsidRPr="007A37E1">
        <w:rPr>
          <w:rFonts w:ascii="Arial" w:hAnsi="Arial" w:cs="Arial"/>
          <w:lang w:val="en-US"/>
        </w:rPr>
        <w:tab/>
      </w:r>
      <w:r w:rsidR="00112566" w:rsidRPr="007A37E1">
        <w:rPr>
          <w:rFonts w:ascii="Arial" w:hAnsi="Arial" w:cs="Arial"/>
          <w:lang w:val="en-US"/>
        </w:rPr>
        <w:t xml:space="preserve">Before turning to the substantive merits of the appeal, it is necessary first </w:t>
      </w:r>
      <w:r w:rsidR="004E1DB1" w:rsidRPr="007A37E1">
        <w:rPr>
          <w:rFonts w:ascii="Arial" w:hAnsi="Arial" w:cs="Arial"/>
          <w:lang w:val="en-US"/>
        </w:rPr>
        <w:t xml:space="preserve">to </w:t>
      </w:r>
      <w:r w:rsidR="00112566" w:rsidRPr="007A37E1">
        <w:rPr>
          <w:rFonts w:ascii="Arial" w:hAnsi="Arial" w:cs="Arial"/>
          <w:lang w:val="en-US"/>
        </w:rPr>
        <w:t xml:space="preserve">turn to a consideration of four points </w:t>
      </w:r>
      <w:r w:rsidR="00112566" w:rsidRPr="007A37E1">
        <w:rPr>
          <w:rFonts w:ascii="Arial" w:hAnsi="Arial" w:cs="Arial"/>
          <w:i/>
          <w:lang w:val="en-US"/>
        </w:rPr>
        <w:t>in limine</w:t>
      </w:r>
      <w:r w:rsidR="00112566" w:rsidRPr="007A37E1">
        <w:rPr>
          <w:rFonts w:ascii="Arial" w:hAnsi="Arial" w:cs="Arial"/>
          <w:lang w:val="en-US"/>
        </w:rPr>
        <w:t xml:space="preserve"> raised by the respondents</w:t>
      </w:r>
      <w:r w:rsidR="009B0065" w:rsidRPr="007A37E1">
        <w:rPr>
          <w:rFonts w:ascii="Arial" w:hAnsi="Arial" w:cs="Arial"/>
          <w:lang w:val="en-US"/>
        </w:rPr>
        <w:t xml:space="preserve"> in their heads of argument</w:t>
      </w:r>
      <w:r w:rsidR="00D316FC" w:rsidRPr="007A37E1">
        <w:rPr>
          <w:rFonts w:ascii="Arial" w:hAnsi="Arial" w:cs="Arial"/>
          <w:lang w:val="en-US"/>
        </w:rPr>
        <w:t xml:space="preserve">. </w:t>
      </w:r>
      <w:r w:rsidR="00112566" w:rsidRPr="007A37E1">
        <w:rPr>
          <w:rFonts w:ascii="Arial" w:hAnsi="Arial" w:cs="Arial"/>
          <w:lang w:val="en-US"/>
        </w:rPr>
        <w:t xml:space="preserve">First, </w:t>
      </w:r>
      <w:r w:rsidR="00652E87" w:rsidRPr="007A37E1">
        <w:rPr>
          <w:rFonts w:ascii="Arial" w:hAnsi="Arial" w:cs="Arial"/>
          <w:lang w:val="en-US"/>
        </w:rPr>
        <w:t>it will be recalled that the Minister obtained limited leave to appeal from the high court. The scope of the appeal was expanded by the grant</w:t>
      </w:r>
      <w:r w:rsidR="000238E6" w:rsidRPr="007A37E1">
        <w:rPr>
          <w:rFonts w:ascii="Arial" w:hAnsi="Arial" w:cs="Arial"/>
          <w:lang w:val="en-US"/>
        </w:rPr>
        <w:t>ing</w:t>
      </w:r>
      <w:r w:rsidR="00652E87" w:rsidRPr="007A37E1">
        <w:rPr>
          <w:rFonts w:ascii="Arial" w:hAnsi="Arial" w:cs="Arial"/>
          <w:lang w:val="en-US"/>
        </w:rPr>
        <w:t xml:space="preserve"> of leave by this </w:t>
      </w:r>
      <w:r w:rsidR="00025A4F" w:rsidRPr="007A37E1">
        <w:rPr>
          <w:rFonts w:ascii="Arial" w:hAnsi="Arial" w:cs="Arial"/>
          <w:lang w:val="en-US"/>
        </w:rPr>
        <w:t>C</w:t>
      </w:r>
      <w:r w:rsidR="00652E87" w:rsidRPr="007A37E1">
        <w:rPr>
          <w:rFonts w:ascii="Arial" w:hAnsi="Arial" w:cs="Arial"/>
          <w:lang w:val="en-US"/>
        </w:rPr>
        <w:t>ourt on petition to it. I</w:t>
      </w:r>
      <w:r w:rsidR="00112566" w:rsidRPr="007A37E1">
        <w:rPr>
          <w:rFonts w:ascii="Arial" w:hAnsi="Arial" w:cs="Arial"/>
          <w:lang w:val="en-US"/>
        </w:rPr>
        <w:t>t is contended that</w:t>
      </w:r>
      <w:r w:rsidR="00652E87" w:rsidRPr="007A37E1">
        <w:rPr>
          <w:rFonts w:ascii="Arial" w:hAnsi="Arial" w:cs="Arial"/>
          <w:lang w:val="en-US"/>
        </w:rPr>
        <w:t>,</w:t>
      </w:r>
      <w:r w:rsidR="00112566" w:rsidRPr="007A37E1">
        <w:rPr>
          <w:rFonts w:ascii="Arial" w:hAnsi="Arial" w:cs="Arial"/>
          <w:lang w:val="en-US"/>
        </w:rPr>
        <w:t xml:space="preserve"> </w:t>
      </w:r>
      <w:r w:rsidR="00652E87" w:rsidRPr="007A37E1">
        <w:rPr>
          <w:rFonts w:ascii="Arial" w:hAnsi="Arial" w:cs="Arial"/>
          <w:lang w:val="en-US"/>
        </w:rPr>
        <w:t xml:space="preserve">having obtained leave to appeal from this </w:t>
      </w:r>
      <w:r w:rsidR="00142152" w:rsidRPr="007A37E1">
        <w:rPr>
          <w:rFonts w:ascii="Arial" w:hAnsi="Arial" w:cs="Arial"/>
          <w:lang w:val="en-US"/>
        </w:rPr>
        <w:t>C</w:t>
      </w:r>
      <w:r w:rsidR="00652E87" w:rsidRPr="007A37E1">
        <w:rPr>
          <w:rFonts w:ascii="Arial" w:hAnsi="Arial" w:cs="Arial"/>
          <w:lang w:val="en-US"/>
        </w:rPr>
        <w:t xml:space="preserve">ourt on 11 September 2020, the Minister failed </w:t>
      </w:r>
      <w:r w:rsidR="00142152" w:rsidRPr="007A37E1">
        <w:rPr>
          <w:rFonts w:ascii="Arial" w:hAnsi="Arial" w:cs="Arial"/>
          <w:lang w:val="en-US"/>
        </w:rPr>
        <w:t xml:space="preserve">to </w:t>
      </w:r>
      <w:r w:rsidR="004E1DB1" w:rsidRPr="007A37E1">
        <w:rPr>
          <w:rFonts w:ascii="Arial" w:hAnsi="Arial" w:cs="Arial"/>
          <w:lang w:val="en-US"/>
        </w:rPr>
        <w:t>timeously file</w:t>
      </w:r>
      <w:r w:rsidR="00652E87" w:rsidRPr="007A37E1">
        <w:rPr>
          <w:rFonts w:ascii="Arial" w:hAnsi="Arial" w:cs="Arial"/>
          <w:lang w:val="en-US"/>
        </w:rPr>
        <w:t xml:space="preserve"> her amended notice of appeal by 11 October 2020</w:t>
      </w:r>
      <w:r w:rsidR="00142152" w:rsidRPr="007A37E1">
        <w:rPr>
          <w:rFonts w:ascii="Arial" w:hAnsi="Arial" w:cs="Arial"/>
          <w:lang w:val="en-US"/>
        </w:rPr>
        <w:t>,</w:t>
      </w:r>
      <w:r w:rsidR="00652E87" w:rsidRPr="007A37E1">
        <w:rPr>
          <w:rFonts w:ascii="Arial" w:hAnsi="Arial" w:cs="Arial"/>
          <w:lang w:val="en-US"/>
        </w:rPr>
        <w:t xml:space="preserve"> in terms of rule 7(1)</w:t>
      </w:r>
      <w:r w:rsidR="00652E87" w:rsidRPr="007A37E1">
        <w:rPr>
          <w:rFonts w:ascii="Arial" w:hAnsi="Arial" w:cs="Arial"/>
          <w:i/>
          <w:lang w:val="en-US"/>
        </w:rPr>
        <w:t>(b)</w:t>
      </w:r>
      <w:r w:rsidR="00652E87" w:rsidRPr="007A37E1">
        <w:rPr>
          <w:rFonts w:ascii="Arial" w:hAnsi="Arial" w:cs="Arial"/>
          <w:lang w:val="en-US"/>
        </w:rPr>
        <w:t xml:space="preserve"> of this </w:t>
      </w:r>
      <w:r w:rsidR="00025A4F" w:rsidRPr="007A37E1">
        <w:rPr>
          <w:rFonts w:ascii="Arial" w:hAnsi="Arial" w:cs="Arial"/>
          <w:lang w:val="en-US"/>
        </w:rPr>
        <w:t>C</w:t>
      </w:r>
      <w:r w:rsidR="00652E87" w:rsidRPr="007A37E1">
        <w:rPr>
          <w:rFonts w:ascii="Arial" w:hAnsi="Arial" w:cs="Arial"/>
          <w:lang w:val="en-US"/>
        </w:rPr>
        <w:t>ourt</w:t>
      </w:r>
      <w:r w:rsidR="00025A4F" w:rsidRPr="007A37E1">
        <w:rPr>
          <w:rFonts w:ascii="Arial" w:hAnsi="Arial" w:cs="Arial"/>
          <w:lang w:val="en-US"/>
        </w:rPr>
        <w:t>’s rules</w:t>
      </w:r>
      <w:r w:rsidR="00652E87" w:rsidRPr="007A37E1">
        <w:rPr>
          <w:rFonts w:ascii="Arial" w:hAnsi="Arial" w:cs="Arial"/>
          <w:lang w:val="en-US"/>
        </w:rPr>
        <w:t xml:space="preserve">. Accordingly, so the contention proceeded, the appeal against those parts of the order had lapsed. To cure the failure, the Minister sought condonation. </w:t>
      </w:r>
      <w:r w:rsidR="00652E87" w:rsidRPr="007A37E1">
        <w:rPr>
          <w:rFonts w:ascii="Arial" w:hAnsi="Arial" w:cs="Arial"/>
        </w:rPr>
        <w:t>It was submitted on her behalf that</w:t>
      </w:r>
      <w:r w:rsidR="009D27F9" w:rsidRPr="007A37E1">
        <w:rPr>
          <w:rFonts w:ascii="Arial" w:hAnsi="Arial" w:cs="Arial"/>
        </w:rPr>
        <w:t xml:space="preserve"> the</w:t>
      </w:r>
      <w:r w:rsidR="00652E87" w:rsidRPr="007A37E1">
        <w:rPr>
          <w:rFonts w:ascii="Arial" w:hAnsi="Arial" w:cs="Arial"/>
        </w:rPr>
        <w:t xml:space="preserve"> oversight was fully cured on 4 November 2020 by the filing of heads of argument that covered the entirety of the orders granted by the high court</w:t>
      </w:r>
      <w:r w:rsidR="00161818" w:rsidRPr="007A37E1">
        <w:rPr>
          <w:rFonts w:ascii="Arial" w:hAnsi="Arial" w:cs="Arial"/>
        </w:rPr>
        <w:t>. T</w:t>
      </w:r>
      <w:r w:rsidR="00652E87" w:rsidRPr="007A37E1">
        <w:rPr>
          <w:rFonts w:ascii="Arial" w:hAnsi="Arial" w:cs="Arial"/>
        </w:rPr>
        <w:t>he respondent</w:t>
      </w:r>
      <w:r w:rsidR="00161818" w:rsidRPr="007A37E1">
        <w:rPr>
          <w:rFonts w:ascii="Arial" w:hAnsi="Arial" w:cs="Arial"/>
        </w:rPr>
        <w:t>s</w:t>
      </w:r>
      <w:r w:rsidR="00652E87" w:rsidRPr="007A37E1">
        <w:rPr>
          <w:rFonts w:ascii="Arial" w:hAnsi="Arial" w:cs="Arial"/>
        </w:rPr>
        <w:t xml:space="preserve"> </w:t>
      </w:r>
      <w:r w:rsidR="00161818" w:rsidRPr="007A37E1">
        <w:rPr>
          <w:rFonts w:ascii="Arial" w:hAnsi="Arial" w:cs="Arial"/>
        </w:rPr>
        <w:t>could thus not have been under any illusion as to the full extent of the appeal. In any event, they</w:t>
      </w:r>
      <w:r w:rsidR="00652E87" w:rsidRPr="007A37E1">
        <w:rPr>
          <w:rFonts w:ascii="Arial" w:hAnsi="Arial" w:cs="Arial"/>
        </w:rPr>
        <w:t xml:space="preserve"> responded thereto.</w:t>
      </w:r>
    </w:p>
    <w:p w14:paraId="1D69316B" w14:textId="3A52BD7D" w:rsidR="00F70E93" w:rsidRPr="007A37E1" w:rsidRDefault="00F70E93" w:rsidP="00652E87">
      <w:pPr>
        <w:tabs>
          <w:tab w:val="left" w:pos="567"/>
        </w:tabs>
        <w:spacing w:line="360" w:lineRule="auto"/>
        <w:jc w:val="both"/>
        <w:rPr>
          <w:rFonts w:ascii="Arial" w:hAnsi="Arial" w:cs="Arial"/>
        </w:rPr>
      </w:pPr>
    </w:p>
    <w:p w14:paraId="7899FEC8" w14:textId="5EBAFF8C" w:rsidR="00F70E93" w:rsidRPr="007A37E1" w:rsidRDefault="00161818" w:rsidP="00AF488F">
      <w:pPr>
        <w:tabs>
          <w:tab w:val="left" w:pos="567"/>
          <w:tab w:val="left" w:pos="851"/>
        </w:tabs>
        <w:spacing w:line="360" w:lineRule="auto"/>
        <w:jc w:val="both"/>
        <w:rPr>
          <w:rFonts w:ascii="Arial" w:hAnsi="Arial" w:cs="Arial"/>
        </w:rPr>
      </w:pPr>
      <w:r w:rsidRPr="007A37E1">
        <w:rPr>
          <w:rFonts w:ascii="Arial" w:hAnsi="Arial" w:cs="Arial"/>
        </w:rPr>
        <w:t>[</w:t>
      </w:r>
      <w:r w:rsidR="009E77E2" w:rsidRPr="007A37E1">
        <w:rPr>
          <w:rFonts w:ascii="Arial" w:hAnsi="Arial" w:cs="Arial"/>
        </w:rPr>
        <w:t>7</w:t>
      </w:r>
      <w:r w:rsidR="00904BAC" w:rsidRPr="007A37E1">
        <w:rPr>
          <w:rFonts w:ascii="Arial" w:hAnsi="Arial" w:cs="Arial"/>
        </w:rPr>
        <w:t>3</w:t>
      </w:r>
      <w:r w:rsidRPr="007A37E1">
        <w:rPr>
          <w:rFonts w:ascii="Arial" w:hAnsi="Arial" w:cs="Arial"/>
        </w:rPr>
        <w:t>]</w:t>
      </w:r>
      <w:r w:rsidRPr="007A37E1">
        <w:rPr>
          <w:rFonts w:ascii="Arial" w:hAnsi="Arial" w:cs="Arial"/>
        </w:rPr>
        <w:tab/>
      </w:r>
      <w:r w:rsidR="00003076" w:rsidRPr="007A37E1">
        <w:rPr>
          <w:rFonts w:ascii="Arial" w:hAnsi="Arial" w:cs="Arial"/>
        </w:rPr>
        <w:tab/>
      </w:r>
      <w:r w:rsidR="00652E87" w:rsidRPr="007A37E1">
        <w:rPr>
          <w:rFonts w:ascii="Arial" w:hAnsi="Arial" w:cs="Arial"/>
        </w:rPr>
        <w:t>In the exercise of this Court’s discretion</w:t>
      </w:r>
      <w:r w:rsidR="004E1DB1" w:rsidRPr="007A37E1">
        <w:rPr>
          <w:rFonts w:ascii="Arial" w:hAnsi="Arial" w:cs="Arial"/>
        </w:rPr>
        <w:t>,</w:t>
      </w:r>
      <w:r w:rsidR="00652E87" w:rsidRPr="007A37E1">
        <w:rPr>
          <w:rFonts w:ascii="Arial" w:hAnsi="Arial" w:cs="Arial"/>
        </w:rPr>
        <w:t xml:space="preserve"> consideration has been given to all the relevant factors, including the degree of non-compliance with the rules, the explanation for the failure to comply with the rules, the prospects of success on appeal, prejudice to </w:t>
      </w:r>
      <w:r w:rsidR="00652E87" w:rsidRPr="007A37E1">
        <w:rPr>
          <w:rFonts w:ascii="Arial" w:hAnsi="Arial" w:cs="Arial"/>
        </w:rPr>
        <w:lastRenderedPageBreak/>
        <w:t>the respondent and the importance of the case.</w:t>
      </w:r>
      <w:r w:rsidR="00CA6056" w:rsidRPr="007A37E1">
        <w:rPr>
          <w:rStyle w:val="FootnoteReference"/>
          <w:rFonts w:ascii="Arial" w:hAnsi="Arial" w:cs="Arial"/>
        </w:rPr>
        <w:footnoteReference w:id="14"/>
      </w:r>
      <w:r w:rsidR="00652E87" w:rsidRPr="007A37E1">
        <w:rPr>
          <w:rFonts w:ascii="Arial" w:hAnsi="Arial" w:cs="Arial"/>
        </w:rPr>
        <w:t xml:space="preserve"> Upon consideration of the relevant factors, condonation is granted.</w:t>
      </w:r>
    </w:p>
    <w:p w14:paraId="06F98846" w14:textId="2DED9A8E" w:rsidR="00F70E93" w:rsidRPr="007A37E1" w:rsidRDefault="00F70E93" w:rsidP="00652E87">
      <w:pPr>
        <w:tabs>
          <w:tab w:val="left" w:pos="567"/>
        </w:tabs>
        <w:spacing w:line="360" w:lineRule="auto"/>
        <w:jc w:val="both"/>
        <w:rPr>
          <w:rFonts w:ascii="Arial" w:hAnsi="Arial" w:cs="Arial"/>
        </w:rPr>
      </w:pPr>
    </w:p>
    <w:p w14:paraId="0F4F0B1C" w14:textId="0E9693E1" w:rsidR="00F70E93" w:rsidRPr="007A37E1" w:rsidRDefault="00DE5973" w:rsidP="007B7D4C">
      <w:pPr>
        <w:tabs>
          <w:tab w:val="left" w:pos="567"/>
          <w:tab w:val="left" w:pos="851"/>
        </w:tabs>
        <w:spacing w:line="360" w:lineRule="auto"/>
        <w:jc w:val="both"/>
        <w:rPr>
          <w:rFonts w:ascii="Arial" w:hAnsi="Arial" w:cs="Arial"/>
        </w:rPr>
      </w:pPr>
      <w:r w:rsidRPr="007A37E1">
        <w:rPr>
          <w:rFonts w:ascii="Arial" w:hAnsi="Arial" w:cs="Arial"/>
        </w:rPr>
        <w:t>[</w:t>
      </w:r>
      <w:r w:rsidR="007A549D" w:rsidRPr="007A37E1">
        <w:rPr>
          <w:rFonts w:ascii="Arial" w:hAnsi="Arial" w:cs="Arial"/>
        </w:rPr>
        <w:t>7</w:t>
      </w:r>
      <w:r w:rsidR="00904BAC" w:rsidRPr="007A37E1">
        <w:rPr>
          <w:rFonts w:ascii="Arial" w:hAnsi="Arial" w:cs="Arial"/>
        </w:rPr>
        <w:t>4</w:t>
      </w:r>
      <w:r w:rsidRPr="007A37E1">
        <w:rPr>
          <w:rFonts w:ascii="Arial" w:hAnsi="Arial" w:cs="Arial"/>
        </w:rPr>
        <w:t>]</w:t>
      </w:r>
      <w:r w:rsidR="00AF488F" w:rsidRPr="007A37E1">
        <w:rPr>
          <w:rFonts w:ascii="Arial" w:hAnsi="Arial" w:cs="Arial"/>
        </w:rPr>
        <w:tab/>
      </w:r>
      <w:r w:rsidR="00003076" w:rsidRPr="007A37E1">
        <w:rPr>
          <w:rFonts w:ascii="Arial" w:hAnsi="Arial" w:cs="Arial"/>
        </w:rPr>
        <w:tab/>
      </w:r>
      <w:r w:rsidR="004457ED" w:rsidRPr="007A37E1">
        <w:rPr>
          <w:rFonts w:ascii="Arial" w:hAnsi="Arial" w:cs="Arial"/>
        </w:rPr>
        <w:t>The respondents</w:t>
      </w:r>
      <w:r w:rsidR="0070445B" w:rsidRPr="007A37E1">
        <w:rPr>
          <w:rFonts w:ascii="Arial" w:hAnsi="Arial" w:cs="Arial"/>
        </w:rPr>
        <w:t>’</w:t>
      </w:r>
      <w:r w:rsidR="004457ED" w:rsidRPr="007A37E1">
        <w:rPr>
          <w:rFonts w:ascii="Arial" w:hAnsi="Arial" w:cs="Arial"/>
        </w:rPr>
        <w:t xml:space="preserve"> second point </w:t>
      </w:r>
      <w:r w:rsidR="004457ED" w:rsidRPr="007A37E1">
        <w:rPr>
          <w:rFonts w:ascii="Arial" w:hAnsi="Arial" w:cs="Arial"/>
          <w:i/>
          <w:iCs/>
        </w:rPr>
        <w:t>in limine</w:t>
      </w:r>
      <w:r w:rsidR="004457ED" w:rsidRPr="007A37E1">
        <w:rPr>
          <w:rFonts w:ascii="Arial" w:hAnsi="Arial" w:cs="Arial"/>
        </w:rPr>
        <w:t xml:space="preserve"> was cast as follows. The high court declared the regulations unconstitutional and invalid. The high court suspended its declaration of invalidity until </w:t>
      </w:r>
      <w:r w:rsidR="00076F30" w:rsidRPr="007A37E1">
        <w:rPr>
          <w:rFonts w:ascii="Arial" w:hAnsi="Arial" w:cs="Arial"/>
        </w:rPr>
        <w:t>such time as the Minister reviewed, amended and republished the regulations, ‘with due consideration to the limitation each regulation has on the rights guaranteed in the Bill of Rights contained in the Constitution</w:t>
      </w:r>
      <w:r w:rsidR="002E6494" w:rsidRPr="007A37E1">
        <w:rPr>
          <w:rFonts w:ascii="Arial" w:hAnsi="Arial" w:cs="Arial"/>
        </w:rPr>
        <w:t>’</w:t>
      </w:r>
      <w:r w:rsidR="00025A4F" w:rsidRPr="007A37E1">
        <w:rPr>
          <w:rFonts w:ascii="Arial" w:hAnsi="Arial" w:cs="Arial"/>
        </w:rPr>
        <w:t>.</w:t>
      </w:r>
      <w:r w:rsidR="002E6494" w:rsidRPr="007A37E1">
        <w:rPr>
          <w:rFonts w:ascii="Arial" w:hAnsi="Arial" w:cs="Arial"/>
        </w:rPr>
        <w:t xml:space="preserve"> </w:t>
      </w:r>
      <w:r w:rsidR="00076F30" w:rsidRPr="007A37E1">
        <w:rPr>
          <w:rFonts w:ascii="Arial" w:hAnsi="Arial" w:cs="Arial"/>
        </w:rPr>
        <w:t>The Min</w:t>
      </w:r>
      <w:r w:rsidR="00A8608F" w:rsidRPr="007A37E1">
        <w:rPr>
          <w:rFonts w:ascii="Arial" w:hAnsi="Arial" w:cs="Arial"/>
        </w:rPr>
        <w:t>i</w:t>
      </w:r>
      <w:r w:rsidR="00076F30" w:rsidRPr="007A37E1">
        <w:rPr>
          <w:rFonts w:ascii="Arial" w:hAnsi="Arial" w:cs="Arial"/>
        </w:rPr>
        <w:t>ster was afforded</w:t>
      </w:r>
      <w:r w:rsidR="00A8608F" w:rsidRPr="007A37E1">
        <w:rPr>
          <w:rFonts w:ascii="Arial" w:hAnsi="Arial" w:cs="Arial"/>
        </w:rPr>
        <w:t xml:space="preserve"> 14 business days from the date of the high court’s order to comply with th</w:t>
      </w:r>
      <w:r w:rsidR="00F71CB2" w:rsidRPr="007A37E1">
        <w:rPr>
          <w:rFonts w:ascii="Arial" w:hAnsi="Arial" w:cs="Arial"/>
        </w:rPr>
        <w:t xml:space="preserve">e </w:t>
      </w:r>
      <w:r w:rsidR="00A8608F" w:rsidRPr="007A37E1">
        <w:rPr>
          <w:rFonts w:ascii="Arial" w:hAnsi="Arial" w:cs="Arial"/>
        </w:rPr>
        <w:t>direction to review, amend and republish the regulations.</w:t>
      </w:r>
      <w:r w:rsidR="002E6494" w:rsidRPr="007A37E1">
        <w:rPr>
          <w:rFonts w:ascii="Arial" w:hAnsi="Arial" w:cs="Arial"/>
        </w:rPr>
        <w:t xml:space="preserve"> The respondents contend</w:t>
      </w:r>
      <w:r w:rsidR="00F71CB2" w:rsidRPr="007A37E1">
        <w:rPr>
          <w:rFonts w:ascii="Arial" w:hAnsi="Arial" w:cs="Arial"/>
        </w:rPr>
        <w:t>ed</w:t>
      </w:r>
      <w:r w:rsidR="002E6494" w:rsidRPr="007A37E1">
        <w:rPr>
          <w:rFonts w:ascii="Arial" w:hAnsi="Arial" w:cs="Arial"/>
        </w:rPr>
        <w:t xml:space="preserve"> that the Minister’s application for leave to appeal and the grant of that application did not suspend the order of invalidity made by the high court. Proceeding from this premise, the 14</w:t>
      </w:r>
      <w:r w:rsidR="001E2935" w:rsidRPr="007A37E1">
        <w:rPr>
          <w:rFonts w:ascii="Arial" w:hAnsi="Arial" w:cs="Arial"/>
        </w:rPr>
        <w:t>-</w:t>
      </w:r>
      <w:r w:rsidR="002E6494" w:rsidRPr="007A37E1">
        <w:rPr>
          <w:rFonts w:ascii="Arial" w:hAnsi="Arial" w:cs="Arial"/>
        </w:rPr>
        <w:t>business</w:t>
      </w:r>
      <w:r w:rsidR="001E2935" w:rsidRPr="007A37E1">
        <w:rPr>
          <w:rFonts w:ascii="Arial" w:hAnsi="Arial" w:cs="Arial"/>
        </w:rPr>
        <w:t>-</w:t>
      </w:r>
      <w:r w:rsidR="002E6494" w:rsidRPr="007A37E1">
        <w:rPr>
          <w:rFonts w:ascii="Arial" w:hAnsi="Arial" w:cs="Arial"/>
        </w:rPr>
        <w:t>day</w:t>
      </w:r>
      <w:r w:rsidR="00F71CB2" w:rsidRPr="007A37E1">
        <w:rPr>
          <w:rFonts w:ascii="Arial" w:hAnsi="Arial" w:cs="Arial"/>
        </w:rPr>
        <w:t xml:space="preserve"> period</w:t>
      </w:r>
      <w:r w:rsidR="002E6494" w:rsidRPr="007A37E1">
        <w:rPr>
          <w:rFonts w:ascii="Arial" w:hAnsi="Arial" w:cs="Arial"/>
        </w:rPr>
        <w:t xml:space="preserve"> permitted by the high court</w:t>
      </w:r>
      <w:r w:rsidR="00F71CB2" w:rsidRPr="007A37E1">
        <w:rPr>
          <w:rFonts w:ascii="Arial" w:hAnsi="Arial" w:cs="Arial"/>
        </w:rPr>
        <w:t xml:space="preserve"> </w:t>
      </w:r>
      <w:r w:rsidR="002E6494" w:rsidRPr="007A37E1">
        <w:rPr>
          <w:rFonts w:ascii="Arial" w:hAnsi="Arial" w:cs="Arial"/>
        </w:rPr>
        <w:t>hav</w:t>
      </w:r>
      <w:r w:rsidR="00C40E00" w:rsidRPr="007A37E1">
        <w:rPr>
          <w:rFonts w:ascii="Arial" w:hAnsi="Arial" w:cs="Arial"/>
        </w:rPr>
        <w:t>ing</w:t>
      </w:r>
      <w:r w:rsidR="002E6494" w:rsidRPr="007A37E1">
        <w:rPr>
          <w:rFonts w:ascii="Arial" w:hAnsi="Arial" w:cs="Arial"/>
        </w:rPr>
        <w:t xml:space="preserve"> run out, the suspension of the </w:t>
      </w:r>
      <w:r w:rsidR="00C40E00" w:rsidRPr="007A37E1">
        <w:rPr>
          <w:rFonts w:ascii="Arial" w:hAnsi="Arial" w:cs="Arial"/>
        </w:rPr>
        <w:t xml:space="preserve">order of invalidity came to an end. Consequently, by reason of the doctrine of objective constitutional invalidity, the regulations are invalid </w:t>
      </w:r>
      <w:r w:rsidR="009C5B69" w:rsidRPr="007A37E1">
        <w:rPr>
          <w:rFonts w:ascii="Arial" w:hAnsi="Arial" w:cs="Arial"/>
        </w:rPr>
        <w:t>and must be taken to be a nullity</w:t>
      </w:r>
      <w:r w:rsidR="00C40E00" w:rsidRPr="007A37E1">
        <w:rPr>
          <w:rFonts w:ascii="Arial" w:hAnsi="Arial" w:cs="Arial"/>
        </w:rPr>
        <w:t>. Without regulations, the order appealed against has no content, and the appeal is rendered moot.</w:t>
      </w:r>
    </w:p>
    <w:p w14:paraId="710F76C0" w14:textId="794B92DE" w:rsidR="00C40E00" w:rsidRPr="007A37E1" w:rsidRDefault="00C40E00" w:rsidP="00652E87">
      <w:pPr>
        <w:tabs>
          <w:tab w:val="left" w:pos="567"/>
        </w:tabs>
        <w:spacing w:line="360" w:lineRule="auto"/>
        <w:jc w:val="both"/>
        <w:rPr>
          <w:rFonts w:ascii="Arial" w:hAnsi="Arial" w:cs="Arial"/>
        </w:rPr>
      </w:pPr>
    </w:p>
    <w:p w14:paraId="634E4269" w14:textId="47EFD9D1" w:rsidR="00C40E00" w:rsidRPr="007A37E1" w:rsidRDefault="0010782B" w:rsidP="00AF488F">
      <w:pPr>
        <w:tabs>
          <w:tab w:val="left" w:pos="567"/>
          <w:tab w:val="left" w:pos="851"/>
        </w:tabs>
        <w:spacing w:line="360" w:lineRule="auto"/>
        <w:jc w:val="both"/>
        <w:rPr>
          <w:rFonts w:ascii="Arial" w:hAnsi="Arial" w:cs="Arial"/>
        </w:rPr>
      </w:pPr>
      <w:r w:rsidRPr="007A37E1">
        <w:rPr>
          <w:rFonts w:ascii="Arial" w:hAnsi="Arial" w:cs="Arial"/>
        </w:rPr>
        <w:t>[</w:t>
      </w:r>
      <w:r w:rsidR="007A549D" w:rsidRPr="007A37E1">
        <w:rPr>
          <w:rFonts w:ascii="Arial" w:hAnsi="Arial" w:cs="Arial"/>
        </w:rPr>
        <w:t>7</w:t>
      </w:r>
      <w:r w:rsidR="00904BAC" w:rsidRPr="007A37E1">
        <w:rPr>
          <w:rFonts w:ascii="Arial" w:hAnsi="Arial" w:cs="Arial"/>
        </w:rPr>
        <w:t>5</w:t>
      </w:r>
      <w:r w:rsidR="00C40E00" w:rsidRPr="007A37E1">
        <w:rPr>
          <w:rFonts w:ascii="Arial" w:hAnsi="Arial" w:cs="Arial"/>
        </w:rPr>
        <w:t>]</w:t>
      </w:r>
      <w:r w:rsidR="00AF488F" w:rsidRPr="007A37E1">
        <w:rPr>
          <w:rFonts w:ascii="Arial" w:hAnsi="Arial" w:cs="Arial"/>
        </w:rPr>
        <w:tab/>
      </w:r>
      <w:r w:rsidR="00003076" w:rsidRPr="007A37E1">
        <w:rPr>
          <w:rFonts w:ascii="Arial" w:hAnsi="Arial" w:cs="Arial"/>
        </w:rPr>
        <w:tab/>
      </w:r>
      <w:r w:rsidR="00C15E57" w:rsidRPr="007A37E1">
        <w:rPr>
          <w:rFonts w:ascii="Arial" w:hAnsi="Arial" w:cs="Arial"/>
        </w:rPr>
        <w:t>The place of th</w:t>
      </w:r>
      <w:r w:rsidR="009C5B69" w:rsidRPr="007A37E1">
        <w:rPr>
          <w:rFonts w:ascii="Arial" w:hAnsi="Arial" w:cs="Arial"/>
        </w:rPr>
        <w:t>e</w:t>
      </w:r>
      <w:r w:rsidR="00C15E57" w:rsidRPr="007A37E1">
        <w:rPr>
          <w:rFonts w:ascii="Arial" w:hAnsi="Arial" w:cs="Arial"/>
        </w:rPr>
        <w:t xml:space="preserve"> doctrine</w:t>
      </w:r>
      <w:r w:rsidR="009C5B69" w:rsidRPr="007A37E1">
        <w:rPr>
          <w:rFonts w:ascii="Arial" w:hAnsi="Arial" w:cs="Arial"/>
        </w:rPr>
        <w:t xml:space="preserve"> of objective constitutional invalidity</w:t>
      </w:r>
      <w:r w:rsidR="00C15E57" w:rsidRPr="007A37E1">
        <w:rPr>
          <w:rFonts w:ascii="Arial" w:hAnsi="Arial" w:cs="Arial"/>
        </w:rPr>
        <w:t xml:space="preserve"> in our law does not admit of simple application</w:t>
      </w:r>
      <w:r w:rsidR="00F576DF" w:rsidRPr="007A37E1">
        <w:rPr>
          <w:rFonts w:ascii="Arial" w:hAnsi="Arial" w:cs="Arial"/>
        </w:rPr>
        <w:t>,</w:t>
      </w:r>
      <w:r w:rsidR="00C15E57" w:rsidRPr="007A37E1">
        <w:rPr>
          <w:rFonts w:ascii="Arial" w:hAnsi="Arial" w:cs="Arial"/>
        </w:rPr>
        <w:t xml:space="preserve"> because</w:t>
      </w:r>
      <w:r w:rsidR="009C5B69" w:rsidRPr="007A37E1">
        <w:rPr>
          <w:rFonts w:ascii="Arial" w:hAnsi="Arial" w:cs="Arial"/>
        </w:rPr>
        <w:t xml:space="preserve"> </w:t>
      </w:r>
      <w:r w:rsidR="00C15E57" w:rsidRPr="007A37E1">
        <w:rPr>
          <w:rFonts w:ascii="Arial" w:hAnsi="Arial" w:cs="Arial"/>
        </w:rPr>
        <w:t xml:space="preserve">the Constitutional Court </w:t>
      </w:r>
      <w:r w:rsidR="009C1DCB" w:rsidRPr="007A37E1">
        <w:rPr>
          <w:rFonts w:ascii="Arial" w:hAnsi="Arial" w:cs="Arial"/>
        </w:rPr>
        <w:t>has recognised that what is done before a law or an executive or administrative action is set aside exists and cannot be ignored on the basis of its invalidity.</w:t>
      </w:r>
      <w:r w:rsidR="009C1DCB" w:rsidRPr="007A37E1">
        <w:rPr>
          <w:rStyle w:val="FootnoteReference"/>
          <w:rFonts w:ascii="Arial" w:hAnsi="Arial" w:cs="Arial"/>
        </w:rPr>
        <w:footnoteReference w:id="15"/>
      </w:r>
      <w:r w:rsidR="00A44E09" w:rsidRPr="007A37E1">
        <w:rPr>
          <w:rFonts w:ascii="Arial" w:hAnsi="Arial" w:cs="Arial"/>
        </w:rPr>
        <w:t xml:space="preserve"> </w:t>
      </w:r>
      <w:r w:rsidR="009C5B69" w:rsidRPr="007A37E1">
        <w:rPr>
          <w:rFonts w:ascii="Arial" w:hAnsi="Arial" w:cs="Arial"/>
        </w:rPr>
        <w:t>These complexities do not require further consideration in this matter. Whether</w:t>
      </w:r>
      <w:r w:rsidR="006F52CE" w:rsidRPr="007A37E1">
        <w:rPr>
          <w:rFonts w:ascii="Arial" w:hAnsi="Arial" w:cs="Arial"/>
        </w:rPr>
        <w:t xml:space="preserve"> </w:t>
      </w:r>
      <w:r w:rsidR="009C5B69" w:rsidRPr="007A37E1">
        <w:rPr>
          <w:rFonts w:ascii="Arial" w:hAnsi="Arial" w:cs="Arial"/>
        </w:rPr>
        <w:t>the application for leave to appeal and its grant suspended the declaration of invalidity</w:t>
      </w:r>
      <w:r w:rsidR="00A26C3A" w:rsidRPr="007A37E1">
        <w:rPr>
          <w:rFonts w:ascii="Arial" w:hAnsi="Arial" w:cs="Arial"/>
        </w:rPr>
        <w:t>,</w:t>
      </w:r>
      <w:r w:rsidR="009C5B69" w:rsidRPr="007A37E1">
        <w:rPr>
          <w:rFonts w:ascii="Arial" w:hAnsi="Arial" w:cs="Arial"/>
        </w:rPr>
        <w:t xml:space="preserve"> pending the determination of the appeal</w:t>
      </w:r>
      <w:r w:rsidR="00A26C3A" w:rsidRPr="007A37E1">
        <w:rPr>
          <w:rFonts w:ascii="Arial" w:hAnsi="Arial" w:cs="Arial"/>
        </w:rPr>
        <w:t>, is not a matter we need to decide.</w:t>
      </w:r>
      <w:r w:rsidR="009C5B69" w:rsidRPr="007A37E1">
        <w:rPr>
          <w:rFonts w:ascii="Arial" w:hAnsi="Arial" w:cs="Arial"/>
        </w:rPr>
        <w:t xml:space="preserve"> </w:t>
      </w:r>
      <w:r w:rsidR="00A26C3A" w:rsidRPr="007A37E1">
        <w:rPr>
          <w:rFonts w:ascii="Arial" w:hAnsi="Arial" w:cs="Arial"/>
        </w:rPr>
        <w:t>E</w:t>
      </w:r>
      <w:r w:rsidR="009C5B69" w:rsidRPr="007A37E1">
        <w:rPr>
          <w:rFonts w:ascii="Arial" w:hAnsi="Arial" w:cs="Arial"/>
        </w:rPr>
        <w:t xml:space="preserve">ven if the respondents were correct, </w:t>
      </w:r>
      <w:r w:rsidR="009C5B69" w:rsidRPr="007A37E1">
        <w:rPr>
          <w:rFonts w:ascii="Arial" w:hAnsi="Arial" w:cs="Arial"/>
          <w:i/>
          <w:iCs/>
        </w:rPr>
        <w:t xml:space="preserve">arguendo, </w:t>
      </w:r>
      <w:r w:rsidR="00F17E68" w:rsidRPr="007A37E1">
        <w:rPr>
          <w:rFonts w:ascii="Arial" w:hAnsi="Arial" w:cs="Arial"/>
        </w:rPr>
        <w:t>that once the Minister failed to take advantage of the suspension granted under the order of the high court, the declaration of invalidity stood, that does not vacate the Minister’s right to have the questi</w:t>
      </w:r>
      <w:r w:rsidR="00EB04CD" w:rsidRPr="007A37E1">
        <w:rPr>
          <w:rFonts w:ascii="Arial" w:hAnsi="Arial" w:cs="Arial"/>
        </w:rPr>
        <w:t>on of validity decided by this C</w:t>
      </w:r>
      <w:r w:rsidR="00F17E68" w:rsidRPr="007A37E1">
        <w:rPr>
          <w:rFonts w:ascii="Arial" w:hAnsi="Arial" w:cs="Arial"/>
        </w:rPr>
        <w:t>ourt on appeal. It is the out</w:t>
      </w:r>
      <w:r w:rsidR="00EB04CD" w:rsidRPr="007A37E1">
        <w:rPr>
          <w:rFonts w:ascii="Arial" w:hAnsi="Arial" w:cs="Arial"/>
        </w:rPr>
        <w:t xml:space="preserve">come of the appeal </w:t>
      </w:r>
      <w:r w:rsidR="00EB04CD" w:rsidRPr="007A37E1">
        <w:rPr>
          <w:rFonts w:ascii="Arial" w:hAnsi="Arial" w:cs="Arial"/>
        </w:rPr>
        <w:lastRenderedPageBreak/>
        <w:t>before this C</w:t>
      </w:r>
      <w:r w:rsidR="00F17E68" w:rsidRPr="007A37E1">
        <w:rPr>
          <w:rFonts w:ascii="Arial" w:hAnsi="Arial" w:cs="Arial"/>
        </w:rPr>
        <w:t>ourt that will ultimately determine the validity of the regulations. If we should find that the high court’s order of invalidity was granted in error, then the effect of our order will be to recognise t</w:t>
      </w:r>
      <w:r w:rsidR="00A7379D" w:rsidRPr="007A37E1">
        <w:rPr>
          <w:rFonts w:ascii="Arial" w:hAnsi="Arial" w:cs="Arial"/>
        </w:rPr>
        <w:t xml:space="preserve">he validity of the regulations </w:t>
      </w:r>
      <w:r w:rsidR="00A7379D" w:rsidRPr="007A37E1">
        <w:rPr>
          <w:rFonts w:ascii="Arial" w:hAnsi="Arial" w:cs="Arial"/>
          <w:i/>
        </w:rPr>
        <w:t>ex tunc</w:t>
      </w:r>
      <w:r w:rsidR="00A7379D" w:rsidRPr="007A37E1">
        <w:rPr>
          <w:rFonts w:ascii="Arial" w:hAnsi="Arial" w:cs="Arial"/>
        </w:rPr>
        <w:t xml:space="preserve">. </w:t>
      </w:r>
      <w:r w:rsidR="001E215C" w:rsidRPr="007A37E1">
        <w:rPr>
          <w:rFonts w:ascii="Arial" w:hAnsi="Arial" w:cs="Arial"/>
        </w:rPr>
        <w:t>The effect of such an order by t</w:t>
      </w:r>
      <w:r w:rsidR="00F17E68" w:rsidRPr="007A37E1">
        <w:rPr>
          <w:rFonts w:ascii="Arial" w:hAnsi="Arial" w:cs="Arial"/>
        </w:rPr>
        <w:t xml:space="preserve">his </w:t>
      </w:r>
      <w:r w:rsidR="001E215C" w:rsidRPr="007A37E1">
        <w:rPr>
          <w:rFonts w:ascii="Arial" w:hAnsi="Arial" w:cs="Arial"/>
        </w:rPr>
        <w:t>C</w:t>
      </w:r>
      <w:r w:rsidR="00F17E68" w:rsidRPr="007A37E1">
        <w:rPr>
          <w:rFonts w:ascii="Arial" w:hAnsi="Arial" w:cs="Arial"/>
        </w:rPr>
        <w:t>ourt will not thereby resuscitate regulations that were, since the declaration of the high court</w:t>
      </w:r>
      <w:r w:rsidR="00B7033A" w:rsidRPr="007A37E1">
        <w:rPr>
          <w:rFonts w:ascii="Arial" w:hAnsi="Arial" w:cs="Arial"/>
        </w:rPr>
        <w:t xml:space="preserve">, invalid. </w:t>
      </w:r>
      <w:r w:rsidR="001E215C" w:rsidRPr="007A37E1">
        <w:rPr>
          <w:rFonts w:ascii="Arial" w:hAnsi="Arial" w:cs="Arial"/>
        </w:rPr>
        <w:t>Such an</w:t>
      </w:r>
      <w:r w:rsidR="00B7033A" w:rsidRPr="007A37E1">
        <w:rPr>
          <w:rFonts w:ascii="Arial" w:hAnsi="Arial" w:cs="Arial"/>
        </w:rPr>
        <w:t xml:space="preserve"> order will determine that the regulations have always been valid. The issue as to the validity of the regulations thus remains very</w:t>
      </w:r>
      <w:r w:rsidR="00EB04CD" w:rsidRPr="007A37E1">
        <w:rPr>
          <w:rFonts w:ascii="Arial" w:hAnsi="Arial" w:cs="Arial"/>
        </w:rPr>
        <w:t xml:space="preserve"> much a live issue before this C</w:t>
      </w:r>
      <w:r w:rsidR="00B7033A" w:rsidRPr="007A37E1">
        <w:rPr>
          <w:rFonts w:ascii="Arial" w:hAnsi="Arial" w:cs="Arial"/>
        </w:rPr>
        <w:t xml:space="preserve">ourt. The appeal before us is not moot. </w:t>
      </w:r>
    </w:p>
    <w:p w14:paraId="15A98EFE" w14:textId="24DF6058" w:rsidR="008F0F68" w:rsidRPr="007A37E1" w:rsidRDefault="008F0F68" w:rsidP="00652E87">
      <w:pPr>
        <w:tabs>
          <w:tab w:val="left" w:pos="567"/>
        </w:tabs>
        <w:spacing w:line="360" w:lineRule="auto"/>
        <w:jc w:val="both"/>
        <w:rPr>
          <w:rFonts w:ascii="Arial" w:hAnsi="Arial" w:cs="Arial"/>
        </w:rPr>
      </w:pPr>
    </w:p>
    <w:p w14:paraId="287FE10B" w14:textId="5215CEB6" w:rsidR="008F0F68" w:rsidRPr="007A37E1" w:rsidRDefault="008F0F68" w:rsidP="00AF488F">
      <w:pPr>
        <w:tabs>
          <w:tab w:val="left" w:pos="567"/>
          <w:tab w:val="left" w:pos="851"/>
        </w:tabs>
        <w:spacing w:line="360" w:lineRule="auto"/>
        <w:jc w:val="both"/>
        <w:rPr>
          <w:rFonts w:ascii="Arial" w:hAnsi="Arial" w:cs="Arial"/>
        </w:rPr>
      </w:pPr>
      <w:r w:rsidRPr="007A37E1">
        <w:rPr>
          <w:rFonts w:ascii="Arial" w:hAnsi="Arial" w:cs="Arial"/>
        </w:rPr>
        <w:t>[</w:t>
      </w:r>
      <w:r w:rsidR="007A549D" w:rsidRPr="007A37E1">
        <w:rPr>
          <w:rFonts w:ascii="Arial" w:hAnsi="Arial" w:cs="Arial"/>
        </w:rPr>
        <w:t>7</w:t>
      </w:r>
      <w:r w:rsidR="00904BAC" w:rsidRPr="007A37E1">
        <w:rPr>
          <w:rFonts w:ascii="Arial" w:hAnsi="Arial" w:cs="Arial"/>
        </w:rPr>
        <w:t>6</w:t>
      </w:r>
      <w:r w:rsidRPr="007A37E1">
        <w:rPr>
          <w:rFonts w:ascii="Arial" w:hAnsi="Arial" w:cs="Arial"/>
        </w:rPr>
        <w:t>]</w:t>
      </w:r>
      <w:r w:rsidRPr="007A37E1">
        <w:rPr>
          <w:rFonts w:ascii="Arial" w:hAnsi="Arial" w:cs="Arial"/>
        </w:rPr>
        <w:tab/>
      </w:r>
      <w:r w:rsidR="00003076" w:rsidRPr="007A37E1">
        <w:rPr>
          <w:rFonts w:ascii="Arial" w:hAnsi="Arial" w:cs="Arial"/>
        </w:rPr>
        <w:tab/>
      </w:r>
      <w:r w:rsidRPr="007A37E1">
        <w:rPr>
          <w:rFonts w:ascii="Arial" w:hAnsi="Arial" w:cs="Arial"/>
        </w:rPr>
        <w:t>The respondents</w:t>
      </w:r>
      <w:r w:rsidR="0070445B" w:rsidRPr="007A37E1">
        <w:rPr>
          <w:rFonts w:ascii="Arial" w:hAnsi="Arial" w:cs="Arial"/>
        </w:rPr>
        <w:t>’</w:t>
      </w:r>
      <w:r w:rsidRPr="007A37E1">
        <w:rPr>
          <w:rFonts w:ascii="Arial" w:hAnsi="Arial" w:cs="Arial"/>
        </w:rPr>
        <w:t xml:space="preserve"> third point </w:t>
      </w:r>
      <w:r w:rsidRPr="007A37E1">
        <w:rPr>
          <w:rFonts w:ascii="Arial" w:hAnsi="Arial" w:cs="Arial"/>
          <w:i/>
          <w:iCs/>
        </w:rPr>
        <w:t>in limine</w:t>
      </w:r>
      <w:r w:rsidRPr="007A37E1">
        <w:rPr>
          <w:rFonts w:ascii="Arial" w:hAnsi="Arial" w:cs="Arial"/>
        </w:rPr>
        <w:t xml:space="preserve"> </w:t>
      </w:r>
      <w:r w:rsidR="009D0155" w:rsidRPr="007A37E1">
        <w:rPr>
          <w:rFonts w:ascii="Arial" w:hAnsi="Arial" w:cs="Arial"/>
        </w:rPr>
        <w:t>was</w:t>
      </w:r>
      <w:r w:rsidRPr="007A37E1">
        <w:rPr>
          <w:rFonts w:ascii="Arial" w:hAnsi="Arial" w:cs="Arial"/>
        </w:rPr>
        <w:t xml:space="preserve"> that the M</w:t>
      </w:r>
      <w:r w:rsidR="00573568" w:rsidRPr="007A37E1">
        <w:rPr>
          <w:rFonts w:ascii="Arial" w:hAnsi="Arial" w:cs="Arial"/>
        </w:rPr>
        <w:t>inister could not appeal the high court</w:t>
      </w:r>
      <w:r w:rsidR="009D2A8A" w:rsidRPr="007A37E1">
        <w:rPr>
          <w:rFonts w:ascii="Arial" w:hAnsi="Arial" w:cs="Arial"/>
        </w:rPr>
        <w:t>’s</w:t>
      </w:r>
      <w:r w:rsidR="00573568" w:rsidRPr="007A37E1">
        <w:rPr>
          <w:rFonts w:ascii="Arial" w:hAnsi="Arial" w:cs="Arial"/>
        </w:rPr>
        <w:t xml:space="preserve"> order</w:t>
      </w:r>
      <w:r w:rsidR="009C4052" w:rsidRPr="007A37E1">
        <w:rPr>
          <w:rFonts w:ascii="Arial" w:hAnsi="Arial" w:cs="Arial"/>
        </w:rPr>
        <w:t>,</w:t>
      </w:r>
      <w:r w:rsidR="00573568" w:rsidRPr="007A37E1">
        <w:rPr>
          <w:rFonts w:ascii="Arial" w:hAnsi="Arial" w:cs="Arial"/>
        </w:rPr>
        <w:t xml:space="preserve"> because it is an interim order, and hence it is not appealable. </w:t>
      </w:r>
      <w:r w:rsidR="0056447C">
        <w:rPr>
          <w:rFonts w:ascii="Arial" w:hAnsi="Arial" w:cs="Arial"/>
        </w:rPr>
        <w:t xml:space="preserve">              </w:t>
      </w:r>
      <w:r w:rsidR="00573568" w:rsidRPr="007A37E1">
        <w:rPr>
          <w:rFonts w:ascii="Arial" w:hAnsi="Arial" w:cs="Arial"/>
        </w:rPr>
        <w:t xml:space="preserve">The declaration of invalidity was conjoined, so it was argued, to an order that the Minister review and amend the regulations, and then report </w:t>
      </w:r>
      <w:r w:rsidR="00F71CB2" w:rsidRPr="007A37E1">
        <w:rPr>
          <w:rFonts w:ascii="Arial" w:hAnsi="Arial" w:cs="Arial"/>
        </w:rPr>
        <w:t xml:space="preserve">upon </w:t>
      </w:r>
      <w:r w:rsidR="00573568" w:rsidRPr="007A37E1">
        <w:rPr>
          <w:rFonts w:ascii="Arial" w:hAnsi="Arial" w:cs="Arial"/>
        </w:rPr>
        <w:t>her compliance</w:t>
      </w:r>
      <w:r w:rsidR="00D55D12" w:rsidRPr="007A37E1">
        <w:rPr>
          <w:rFonts w:ascii="Arial" w:hAnsi="Arial" w:cs="Arial"/>
        </w:rPr>
        <w:t xml:space="preserve"> to the high court</w:t>
      </w:r>
      <w:r w:rsidR="00573568" w:rsidRPr="007A37E1">
        <w:rPr>
          <w:rFonts w:ascii="Arial" w:hAnsi="Arial" w:cs="Arial"/>
        </w:rPr>
        <w:t xml:space="preserve">. Until such time as the court </w:t>
      </w:r>
      <w:r w:rsidR="009D2A8A" w:rsidRPr="007A37E1">
        <w:rPr>
          <w:rFonts w:ascii="Arial" w:hAnsi="Arial" w:cs="Arial"/>
        </w:rPr>
        <w:t>had</w:t>
      </w:r>
      <w:r w:rsidR="00573568" w:rsidRPr="007A37E1">
        <w:rPr>
          <w:rFonts w:ascii="Arial" w:hAnsi="Arial" w:cs="Arial"/>
        </w:rPr>
        <w:t xml:space="preserve"> discharged its supervisory competence as to compliance,</w:t>
      </w:r>
      <w:r w:rsidR="00F71CB2" w:rsidRPr="007A37E1">
        <w:rPr>
          <w:rFonts w:ascii="Arial" w:hAnsi="Arial" w:cs="Arial"/>
        </w:rPr>
        <w:t xml:space="preserve"> so it was contended,</w:t>
      </w:r>
      <w:r w:rsidR="00573568" w:rsidRPr="007A37E1">
        <w:rPr>
          <w:rFonts w:ascii="Arial" w:hAnsi="Arial" w:cs="Arial"/>
        </w:rPr>
        <w:t xml:space="preserve"> the high court’s order is not final</w:t>
      </w:r>
      <w:r w:rsidR="00F71CB2" w:rsidRPr="007A37E1">
        <w:rPr>
          <w:rFonts w:ascii="Arial" w:hAnsi="Arial" w:cs="Arial"/>
        </w:rPr>
        <w:t>, cannot be appealed and</w:t>
      </w:r>
      <w:r w:rsidR="00573568" w:rsidRPr="007A37E1">
        <w:rPr>
          <w:rFonts w:ascii="Arial" w:hAnsi="Arial" w:cs="Arial"/>
        </w:rPr>
        <w:t xml:space="preserve"> </w:t>
      </w:r>
      <w:r w:rsidR="00F71CB2" w:rsidRPr="007A37E1">
        <w:rPr>
          <w:rFonts w:ascii="Arial" w:hAnsi="Arial" w:cs="Arial"/>
        </w:rPr>
        <w:t>t</w:t>
      </w:r>
      <w:r w:rsidR="00573568" w:rsidRPr="007A37E1">
        <w:rPr>
          <w:rFonts w:ascii="Arial" w:hAnsi="Arial" w:cs="Arial"/>
        </w:rPr>
        <w:t>he Minister’s appeal is thus premature.</w:t>
      </w:r>
    </w:p>
    <w:p w14:paraId="7165AEB0" w14:textId="77777777" w:rsidR="009B0065" w:rsidRPr="007A37E1" w:rsidRDefault="009B0065" w:rsidP="00AF488F">
      <w:pPr>
        <w:tabs>
          <w:tab w:val="left" w:pos="567"/>
          <w:tab w:val="left" w:pos="851"/>
        </w:tabs>
        <w:spacing w:line="360" w:lineRule="auto"/>
        <w:jc w:val="both"/>
        <w:rPr>
          <w:rFonts w:ascii="Arial" w:hAnsi="Arial" w:cs="Arial"/>
        </w:rPr>
      </w:pPr>
    </w:p>
    <w:p w14:paraId="59F0056C" w14:textId="279B1A7C" w:rsidR="00D55D12" w:rsidRPr="007A37E1" w:rsidRDefault="00D55D12" w:rsidP="00652E87">
      <w:pPr>
        <w:tabs>
          <w:tab w:val="left" w:pos="567"/>
        </w:tabs>
        <w:spacing w:line="360" w:lineRule="auto"/>
        <w:jc w:val="both"/>
        <w:rPr>
          <w:rFonts w:ascii="Arial" w:hAnsi="Arial" w:cs="Arial"/>
        </w:rPr>
      </w:pPr>
      <w:r w:rsidRPr="007A37E1">
        <w:rPr>
          <w:rFonts w:ascii="Arial" w:hAnsi="Arial" w:cs="Arial"/>
        </w:rPr>
        <w:t>[</w:t>
      </w:r>
      <w:r w:rsidR="007A549D" w:rsidRPr="007A37E1">
        <w:rPr>
          <w:rFonts w:ascii="Arial" w:hAnsi="Arial" w:cs="Arial"/>
        </w:rPr>
        <w:t>7</w:t>
      </w:r>
      <w:r w:rsidR="00904BAC" w:rsidRPr="007A37E1">
        <w:rPr>
          <w:rFonts w:ascii="Arial" w:hAnsi="Arial" w:cs="Arial"/>
        </w:rPr>
        <w:t>7</w:t>
      </w:r>
      <w:r w:rsidRPr="007A37E1">
        <w:rPr>
          <w:rFonts w:ascii="Arial" w:hAnsi="Arial" w:cs="Arial"/>
        </w:rPr>
        <w:t>]</w:t>
      </w:r>
      <w:r w:rsidRPr="007A37E1">
        <w:rPr>
          <w:rFonts w:ascii="Arial" w:hAnsi="Arial" w:cs="Arial"/>
        </w:rPr>
        <w:tab/>
      </w:r>
      <w:r w:rsidR="00003076" w:rsidRPr="007A37E1">
        <w:rPr>
          <w:rFonts w:ascii="Arial" w:hAnsi="Arial" w:cs="Arial"/>
        </w:rPr>
        <w:tab/>
      </w:r>
      <w:r w:rsidRPr="007A37E1">
        <w:rPr>
          <w:rFonts w:ascii="Arial" w:hAnsi="Arial" w:cs="Arial"/>
        </w:rPr>
        <w:t xml:space="preserve">The order of the high court cannot be interpreted as an interim order. </w:t>
      </w:r>
      <w:r w:rsidR="0056447C">
        <w:rPr>
          <w:rFonts w:ascii="Arial" w:hAnsi="Arial" w:cs="Arial"/>
        </w:rPr>
        <w:t xml:space="preserve">                   </w:t>
      </w:r>
      <w:r w:rsidRPr="007A37E1">
        <w:rPr>
          <w:rFonts w:ascii="Arial" w:hAnsi="Arial" w:cs="Arial"/>
        </w:rPr>
        <w:t xml:space="preserve">The declaration of invalidity is final. The effect of the order is to strike down the regulations. The </w:t>
      </w:r>
      <w:r w:rsidR="00D61514" w:rsidRPr="007A37E1">
        <w:rPr>
          <w:rFonts w:ascii="Arial" w:hAnsi="Arial" w:cs="Arial"/>
        </w:rPr>
        <w:t>declaratory order</w:t>
      </w:r>
      <w:r w:rsidR="009D2A8A" w:rsidRPr="007A37E1">
        <w:rPr>
          <w:rFonts w:ascii="Arial" w:hAnsi="Arial" w:cs="Arial"/>
        </w:rPr>
        <w:t xml:space="preserve"> of invalidity</w:t>
      </w:r>
      <w:r w:rsidR="00D61514" w:rsidRPr="007A37E1">
        <w:rPr>
          <w:rFonts w:ascii="Arial" w:hAnsi="Arial" w:cs="Arial"/>
        </w:rPr>
        <w:t xml:space="preserve"> </w:t>
      </w:r>
      <w:r w:rsidR="009D2A8A" w:rsidRPr="007A37E1">
        <w:rPr>
          <w:rFonts w:ascii="Arial" w:hAnsi="Arial" w:cs="Arial"/>
        </w:rPr>
        <w:t>was</w:t>
      </w:r>
      <w:r w:rsidR="00D61514" w:rsidRPr="007A37E1">
        <w:rPr>
          <w:rFonts w:ascii="Arial" w:hAnsi="Arial" w:cs="Arial"/>
        </w:rPr>
        <w:t xml:space="preserve"> not framed so as to render it subject to reconsideration by the high court</w:t>
      </w:r>
      <w:r w:rsidR="0070445B" w:rsidRPr="007A37E1">
        <w:rPr>
          <w:rFonts w:ascii="Arial" w:hAnsi="Arial" w:cs="Arial"/>
        </w:rPr>
        <w:t>.</w:t>
      </w:r>
      <w:r w:rsidR="00D61514" w:rsidRPr="007A37E1">
        <w:rPr>
          <w:rFonts w:ascii="Arial" w:hAnsi="Arial" w:cs="Arial"/>
        </w:rPr>
        <w:t xml:space="preserve"> What the high court endeavoured to do was to regulate the consequence of its final declaration of invalidity. This it did by combining a regime of suspension with an obligation upon the Minister to review, amend and publish </w:t>
      </w:r>
      <w:r w:rsidR="00D43B22" w:rsidRPr="007A37E1">
        <w:rPr>
          <w:rFonts w:ascii="Arial" w:hAnsi="Arial" w:cs="Arial"/>
        </w:rPr>
        <w:t xml:space="preserve">the </w:t>
      </w:r>
      <w:r w:rsidR="009C4052" w:rsidRPr="007A37E1">
        <w:rPr>
          <w:rFonts w:ascii="Arial" w:hAnsi="Arial" w:cs="Arial"/>
        </w:rPr>
        <w:t xml:space="preserve">regulations anew </w:t>
      </w:r>
      <w:r w:rsidR="00D61514" w:rsidRPr="007A37E1">
        <w:rPr>
          <w:rFonts w:ascii="Arial" w:hAnsi="Arial" w:cs="Arial"/>
        </w:rPr>
        <w:t>within 14 business days, and then report upon her compliance to the high court. The coherence and validity of such a regime is doubtful</w:t>
      </w:r>
      <w:r w:rsidR="0070445B" w:rsidRPr="007A37E1">
        <w:rPr>
          <w:rFonts w:ascii="Arial" w:hAnsi="Arial" w:cs="Arial"/>
        </w:rPr>
        <w:t>, even under the wide remit of s</w:t>
      </w:r>
      <w:r w:rsidR="000F3155" w:rsidRPr="007A37E1">
        <w:rPr>
          <w:rFonts w:ascii="Arial" w:hAnsi="Arial" w:cs="Arial"/>
        </w:rPr>
        <w:t xml:space="preserve"> </w:t>
      </w:r>
      <w:r w:rsidR="0070445B" w:rsidRPr="007A37E1">
        <w:rPr>
          <w:rFonts w:ascii="Arial" w:hAnsi="Arial" w:cs="Arial"/>
        </w:rPr>
        <w:t>172(1)</w:t>
      </w:r>
      <w:r w:rsidR="0070445B" w:rsidRPr="007A37E1">
        <w:rPr>
          <w:rFonts w:ascii="Arial" w:hAnsi="Arial" w:cs="Arial"/>
          <w:i/>
        </w:rPr>
        <w:t>(b)</w:t>
      </w:r>
      <w:r w:rsidR="0070445B" w:rsidRPr="007A37E1">
        <w:rPr>
          <w:rFonts w:ascii="Arial" w:hAnsi="Arial" w:cs="Arial"/>
        </w:rPr>
        <w:t xml:space="preserve"> of the Constitution. But nothing of that regime renders the declaration</w:t>
      </w:r>
      <w:r w:rsidR="00D61514" w:rsidRPr="007A37E1">
        <w:rPr>
          <w:rFonts w:ascii="Arial" w:hAnsi="Arial" w:cs="Arial"/>
        </w:rPr>
        <w:t xml:space="preserve"> </w:t>
      </w:r>
      <w:r w:rsidR="0070445B" w:rsidRPr="007A37E1">
        <w:rPr>
          <w:rFonts w:ascii="Arial" w:hAnsi="Arial" w:cs="Arial"/>
        </w:rPr>
        <w:t xml:space="preserve">of invalidity an interim order. It is a final order that was permissibly appealed to this </w:t>
      </w:r>
      <w:r w:rsidR="002F580C" w:rsidRPr="007A37E1">
        <w:rPr>
          <w:rFonts w:ascii="Arial" w:hAnsi="Arial" w:cs="Arial"/>
        </w:rPr>
        <w:t>C</w:t>
      </w:r>
      <w:r w:rsidR="0070445B" w:rsidRPr="007A37E1">
        <w:rPr>
          <w:rFonts w:ascii="Arial" w:hAnsi="Arial" w:cs="Arial"/>
        </w:rPr>
        <w:t>ourt.</w:t>
      </w:r>
      <w:r w:rsidR="004A32A5" w:rsidRPr="007A37E1">
        <w:rPr>
          <w:rFonts w:ascii="Arial" w:hAnsi="Arial" w:cs="Arial"/>
        </w:rPr>
        <w:t xml:space="preserve"> The orders requiring the Minister to review the regulations and to report thereon to the high court were premised on the invalidity of the impugned regulations. </w:t>
      </w:r>
      <w:r w:rsidR="0056447C">
        <w:rPr>
          <w:rFonts w:ascii="Arial" w:hAnsi="Arial" w:cs="Arial"/>
        </w:rPr>
        <w:t xml:space="preserve">     </w:t>
      </w:r>
      <w:r w:rsidR="004A32A5" w:rsidRPr="007A37E1">
        <w:rPr>
          <w:rFonts w:ascii="Arial" w:hAnsi="Arial" w:cs="Arial"/>
        </w:rPr>
        <w:t xml:space="preserve">A successful appeal against the order of invalidity would necessarily lead to a setting aside of the </w:t>
      </w:r>
      <w:r w:rsidR="00A7379D" w:rsidRPr="007A37E1">
        <w:rPr>
          <w:rFonts w:ascii="Arial" w:hAnsi="Arial" w:cs="Arial"/>
        </w:rPr>
        <w:t>order as a whole.</w:t>
      </w:r>
    </w:p>
    <w:p w14:paraId="4CC0FDD0" w14:textId="22D60362" w:rsidR="0070445B" w:rsidRPr="007A37E1" w:rsidRDefault="0070445B" w:rsidP="00652E87">
      <w:pPr>
        <w:tabs>
          <w:tab w:val="left" w:pos="567"/>
        </w:tabs>
        <w:spacing w:line="360" w:lineRule="auto"/>
        <w:jc w:val="both"/>
        <w:rPr>
          <w:rFonts w:ascii="Arial" w:hAnsi="Arial" w:cs="Arial"/>
        </w:rPr>
      </w:pPr>
    </w:p>
    <w:p w14:paraId="074C92E2" w14:textId="2316AB44" w:rsidR="0070445B" w:rsidRPr="007A37E1" w:rsidRDefault="0070445B" w:rsidP="00AF488F">
      <w:pPr>
        <w:tabs>
          <w:tab w:val="left" w:pos="567"/>
          <w:tab w:val="left" w:pos="851"/>
        </w:tabs>
        <w:spacing w:line="360" w:lineRule="auto"/>
        <w:jc w:val="both"/>
        <w:rPr>
          <w:rFonts w:ascii="Arial" w:hAnsi="Arial" w:cs="Arial"/>
        </w:rPr>
      </w:pPr>
      <w:r w:rsidRPr="007A37E1">
        <w:rPr>
          <w:rFonts w:ascii="Arial" w:hAnsi="Arial" w:cs="Arial"/>
        </w:rPr>
        <w:lastRenderedPageBreak/>
        <w:t>[</w:t>
      </w:r>
      <w:r w:rsidR="007A549D" w:rsidRPr="007A37E1">
        <w:rPr>
          <w:rFonts w:ascii="Arial" w:hAnsi="Arial" w:cs="Arial"/>
        </w:rPr>
        <w:t>7</w:t>
      </w:r>
      <w:r w:rsidR="00904BAC" w:rsidRPr="007A37E1">
        <w:rPr>
          <w:rFonts w:ascii="Arial" w:hAnsi="Arial" w:cs="Arial"/>
        </w:rPr>
        <w:t>8</w:t>
      </w:r>
      <w:r w:rsidR="00AF488F" w:rsidRPr="007A37E1">
        <w:rPr>
          <w:rFonts w:ascii="Arial" w:hAnsi="Arial" w:cs="Arial"/>
        </w:rPr>
        <w:t>]</w:t>
      </w:r>
      <w:r w:rsidR="0010782B" w:rsidRPr="007A37E1">
        <w:rPr>
          <w:rFonts w:ascii="Arial" w:hAnsi="Arial" w:cs="Arial"/>
        </w:rPr>
        <w:tab/>
      </w:r>
      <w:r w:rsidR="00003076" w:rsidRPr="007A37E1">
        <w:rPr>
          <w:rFonts w:ascii="Arial" w:hAnsi="Arial" w:cs="Arial"/>
        </w:rPr>
        <w:tab/>
      </w:r>
      <w:r w:rsidRPr="007A37E1">
        <w:rPr>
          <w:rFonts w:ascii="Arial" w:hAnsi="Arial" w:cs="Arial"/>
        </w:rPr>
        <w:t xml:space="preserve">The respondents’ fourth point </w:t>
      </w:r>
      <w:r w:rsidRPr="007A37E1">
        <w:rPr>
          <w:rFonts w:ascii="Arial" w:hAnsi="Arial" w:cs="Arial"/>
          <w:i/>
          <w:iCs/>
        </w:rPr>
        <w:t>in limine</w:t>
      </w:r>
      <w:r w:rsidRPr="007A37E1">
        <w:rPr>
          <w:rFonts w:ascii="Arial" w:hAnsi="Arial" w:cs="Arial"/>
        </w:rPr>
        <w:t xml:space="preserve"> </w:t>
      </w:r>
      <w:r w:rsidR="009D0155" w:rsidRPr="007A37E1">
        <w:rPr>
          <w:rFonts w:ascii="Arial" w:hAnsi="Arial" w:cs="Arial"/>
        </w:rPr>
        <w:t xml:space="preserve">was that the Minister acquiesced </w:t>
      </w:r>
      <w:r w:rsidR="00343260" w:rsidRPr="007A37E1">
        <w:rPr>
          <w:rFonts w:ascii="Arial" w:hAnsi="Arial" w:cs="Arial"/>
        </w:rPr>
        <w:t xml:space="preserve">in </w:t>
      </w:r>
      <w:r w:rsidR="00B645BA" w:rsidRPr="007A37E1">
        <w:rPr>
          <w:rFonts w:ascii="Arial" w:hAnsi="Arial" w:cs="Arial"/>
        </w:rPr>
        <w:t xml:space="preserve">the high court’s order and her appeal, as a result, is subject to </w:t>
      </w:r>
      <w:r w:rsidR="00970F55" w:rsidRPr="007A37E1">
        <w:rPr>
          <w:rFonts w:ascii="Arial" w:hAnsi="Arial" w:cs="Arial"/>
        </w:rPr>
        <w:t>pre-emption</w:t>
      </w:r>
      <w:r w:rsidR="00B645BA" w:rsidRPr="007A37E1">
        <w:rPr>
          <w:rFonts w:ascii="Arial" w:hAnsi="Arial" w:cs="Arial"/>
        </w:rPr>
        <w:t>. The respondents rely upon submissions in the Minister’s</w:t>
      </w:r>
      <w:r w:rsidR="00EB04CD" w:rsidRPr="007A37E1">
        <w:rPr>
          <w:rFonts w:ascii="Arial" w:hAnsi="Arial" w:cs="Arial"/>
        </w:rPr>
        <w:t xml:space="preserve"> heads of argument before this C</w:t>
      </w:r>
      <w:r w:rsidR="00B645BA" w:rsidRPr="007A37E1">
        <w:rPr>
          <w:rFonts w:ascii="Arial" w:hAnsi="Arial" w:cs="Arial"/>
        </w:rPr>
        <w:t>ourt that the regulations</w:t>
      </w:r>
      <w:r w:rsidR="002D74C6" w:rsidRPr="007A37E1">
        <w:rPr>
          <w:rFonts w:ascii="Arial" w:hAnsi="Arial" w:cs="Arial"/>
        </w:rPr>
        <w:t>,</w:t>
      </w:r>
      <w:r w:rsidR="00B645BA" w:rsidRPr="007A37E1">
        <w:rPr>
          <w:rFonts w:ascii="Arial" w:hAnsi="Arial" w:cs="Arial"/>
        </w:rPr>
        <w:t xml:space="preserve"> that were the subject of the high court’s order</w:t>
      </w:r>
      <w:r w:rsidR="002D74C6" w:rsidRPr="007A37E1">
        <w:rPr>
          <w:rFonts w:ascii="Arial" w:hAnsi="Arial" w:cs="Arial"/>
        </w:rPr>
        <w:t>,</w:t>
      </w:r>
      <w:r w:rsidR="00B645BA" w:rsidRPr="007A37E1">
        <w:rPr>
          <w:rFonts w:ascii="Arial" w:hAnsi="Arial" w:cs="Arial"/>
        </w:rPr>
        <w:t xml:space="preserve"> have since been revised and amended. It is explained </w:t>
      </w:r>
      <w:r w:rsidR="009D2A8A" w:rsidRPr="007A37E1">
        <w:rPr>
          <w:rFonts w:ascii="Arial" w:hAnsi="Arial" w:cs="Arial"/>
        </w:rPr>
        <w:t>in the Minister’s heads of argu</w:t>
      </w:r>
      <w:r w:rsidR="00686E95" w:rsidRPr="007A37E1">
        <w:rPr>
          <w:rFonts w:ascii="Arial" w:hAnsi="Arial" w:cs="Arial"/>
        </w:rPr>
        <w:t xml:space="preserve">ment </w:t>
      </w:r>
      <w:r w:rsidR="00B645BA" w:rsidRPr="007A37E1">
        <w:rPr>
          <w:rFonts w:ascii="Arial" w:hAnsi="Arial" w:cs="Arial"/>
        </w:rPr>
        <w:t xml:space="preserve">that the effect of the </w:t>
      </w:r>
      <w:r w:rsidR="00D84EF3" w:rsidRPr="007A37E1">
        <w:rPr>
          <w:rFonts w:ascii="Arial" w:hAnsi="Arial" w:cs="Arial"/>
        </w:rPr>
        <w:t xml:space="preserve">most recent </w:t>
      </w:r>
      <w:r w:rsidR="00B645BA" w:rsidRPr="007A37E1">
        <w:rPr>
          <w:rFonts w:ascii="Arial" w:hAnsi="Arial" w:cs="Arial"/>
        </w:rPr>
        <w:t xml:space="preserve">amendments was to place the country on </w:t>
      </w:r>
      <w:r w:rsidR="000F3155" w:rsidRPr="007A37E1">
        <w:rPr>
          <w:rFonts w:ascii="Arial" w:hAnsi="Arial" w:cs="Arial"/>
        </w:rPr>
        <w:t>A</w:t>
      </w:r>
      <w:r w:rsidR="00B645BA" w:rsidRPr="007A37E1">
        <w:rPr>
          <w:rFonts w:ascii="Arial" w:hAnsi="Arial" w:cs="Arial"/>
        </w:rPr>
        <w:t xml:space="preserve">lert </w:t>
      </w:r>
      <w:r w:rsidR="000F3155" w:rsidRPr="007A37E1">
        <w:rPr>
          <w:rFonts w:ascii="Arial" w:hAnsi="Arial" w:cs="Arial"/>
        </w:rPr>
        <w:t>L</w:t>
      </w:r>
      <w:r w:rsidR="00B645BA" w:rsidRPr="007A37E1">
        <w:rPr>
          <w:rFonts w:ascii="Arial" w:hAnsi="Arial" w:cs="Arial"/>
        </w:rPr>
        <w:t xml:space="preserve">evel 1, and the majority </w:t>
      </w:r>
      <w:r w:rsidR="00F71CB2" w:rsidRPr="007A37E1">
        <w:rPr>
          <w:rFonts w:ascii="Arial" w:hAnsi="Arial" w:cs="Arial"/>
        </w:rPr>
        <w:t>of</w:t>
      </w:r>
      <w:r w:rsidR="00B645BA" w:rsidRPr="007A37E1">
        <w:rPr>
          <w:rFonts w:ascii="Arial" w:hAnsi="Arial" w:cs="Arial"/>
        </w:rPr>
        <w:t xml:space="preserve"> the regulations that the high court declared invalid are no longer in force.</w:t>
      </w:r>
    </w:p>
    <w:p w14:paraId="6959485C" w14:textId="77777777" w:rsidR="00362387" w:rsidRPr="007A37E1" w:rsidRDefault="00362387" w:rsidP="00AF488F">
      <w:pPr>
        <w:tabs>
          <w:tab w:val="left" w:pos="567"/>
          <w:tab w:val="left" w:pos="851"/>
        </w:tabs>
        <w:spacing w:line="360" w:lineRule="auto"/>
        <w:jc w:val="both"/>
        <w:rPr>
          <w:rFonts w:ascii="Arial" w:hAnsi="Arial" w:cs="Arial"/>
        </w:rPr>
      </w:pPr>
    </w:p>
    <w:p w14:paraId="251B43C7" w14:textId="528ACD6A" w:rsidR="00701B37" w:rsidRPr="007A37E1" w:rsidRDefault="00701B37" w:rsidP="00652E87">
      <w:pPr>
        <w:tabs>
          <w:tab w:val="left" w:pos="567"/>
        </w:tabs>
        <w:spacing w:line="360" w:lineRule="auto"/>
        <w:jc w:val="both"/>
        <w:rPr>
          <w:rFonts w:ascii="Arial" w:hAnsi="Arial" w:cs="Arial"/>
        </w:rPr>
      </w:pPr>
      <w:r w:rsidRPr="007A37E1">
        <w:rPr>
          <w:rFonts w:ascii="Arial" w:hAnsi="Arial" w:cs="Arial"/>
        </w:rPr>
        <w:t>[</w:t>
      </w:r>
      <w:r w:rsidR="007A549D" w:rsidRPr="007A37E1">
        <w:rPr>
          <w:rFonts w:ascii="Arial" w:hAnsi="Arial" w:cs="Arial"/>
        </w:rPr>
        <w:t>7</w:t>
      </w:r>
      <w:r w:rsidR="00904BAC" w:rsidRPr="007A37E1">
        <w:rPr>
          <w:rFonts w:ascii="Arial" w:hAnsi="Arial" w:cs="Arial"/>
        </w:rPr>
        <w:t>9</w:t>
      </w:r>
      <w:r w:rsidR="00AF488F" w:rsidRPr="007A37E1">
        <w:rPr>
          <w:rFonts w:ascii="Arial" w:hAnsi="Arial" w:cs="Arial"/>
        </w:rPr>
        <w:t>]</w:t>
      </w:r>
      <w:r w:rsidR="0010782B" w:rsidRPr="007A37E1">
        <w:rPr>
          <w:rFonts w:ascii="Arial" w:hAnsi="Arial" w:cs="Arial"/>
        </w:rPr>
        <w:tab/>
      </w:r>
      <w:r w:rsidR="00003076" w:rsidRPr="007A37E1">
        <w:rPr>
          <w:rFonts w:ascii="Arial" w:hAnsi="Arial" w:cs="Arial"/>
        </w:rPr>
        <w:tab/>
      </w:r>
      <w:r w:rsidRPr="007A37E1">
        <w:rPr>
          <w:rFonts w:ascii="Arial" w:hAnsi="Arial" w:cs="Arial"/>
        </w:rPr>
        <w:t xml:space="preserve">In </w:t>
      </w:r>
      <w:r w:rsidRPr="007A37E1">
        <w:rPr>
          <w:rFonts w:ascii="Arial" w:hAnsi="Arial" w:cs="Arial"/>
          <w:i/>
          <w:iCs/>
        </w:rPr>
        <w:t>Avusa Publishing</w:t>
      </w:r>
      <w:r w:rsidR="00612004" w:rsidRPr="007A37E1">
        <w:rPr>
          <w:rFonts w:ascii="Arial" w:hAnsi="Arial" w:cs="Arial"/>
          <w:i/>
          <w:iCs/>
        </w:rPr>
        <w:t>,</w:t>
      </w:r>
      <w:r w:rsidRPr="007A37E1">
        <w:rPr>
          <w:rStyle w:val="FootnoteReference"/>
          <w:rFonts w:ascii="Arial" w:hAnsi="Arial" w:cs="Arial"/>
          <w:iCs/>
        </w:rPr>
        <w:footnoteReference w:id="16"/>
      </w:r>
      <w:r w:rsidR="00EB04CD" w:rsidRPr="007A37E1">
        <w:rPr>
          <w:rFonts w:ascii="Arial" w:hAnsi="Arial" w:cs="Arial"/>
        </w:rPr>
        <w:t xml:space="preserve"> this C</w:t>
      </w:r>
      <w:r w:rsidRPr="007A37E1">
        <w:rPr>
          <w:rFonts w:ascii="Arial" w:hAnsi="Arial" w:cs="Arial"/>
        </w:rPr>
        <w:t xml:space="preserve">ourt reiterated the well-established principle that a party who unequivocally conveys an intention to be bound by a judgment abandons their right to appeal. The Minister however did no such thing. The amendment of the regulations was </w:t>
      </w:r>
      <w:r w:rsidR="00D84EF3" w:rsidRPr="007A37E1">
        <w:rPr>
          <w:rFonts w:ascii="Arial" w:hAnsi="Arial" w:cs="Arial"/>
        </w:rPr>
        <w:t xml:space="preserve">motivated </w:t>
      </w:r>
      <w:r w:rsidRPr="007A37E1">
        <w:rPr>
          <w:rFonts w:ascii="Arial" w:hAnsi="Arial" w:cs="Arial"/>
        </w:rPr>
        <w:t>by the changes required in response to the C</w:t>
      </w:r>
      <w:r w:rsidR="000F3155" w:rsidRPr="007A37E1">
        <w:rPr>
          <w:rFonts w:ascii="Arial" w:hAnsi="Arial" w:cs="Arial"/>
        </w:rPr>
        <w:t>OVID-19</w:t>
      </w:r>
      <w:r w:rsidRPr="007A37E1">
        <w:rPr>
          <w:rFonts w:ascii="Arial" w:hAnsi="Arial" w:cs="Arial"/>
        </w:rPr>
        <w:t xml:space="preserve"> pandemic</w:t>
      </w:r>
      <w:r w:rsidR="00F71CB2" w:rsidRPr="007A37E1">
        <w:rPr>
          <w:rFonts w:ascii="Arial" w:hAnsi="Arial" w:cs="Arial"/>
        </w:rPr>
        <w:t xml:space="preserve"> in the country</w:t>
      </w:r>
      <w:r w:rsidRPr="007A37E1">
        <w:rPr>
          <w:rFonts w:ascii="Arial" w:hAnsi="Arial" w:cs="Arial"/>
        </w:rPr>
        <w:t>. The amendments did not take place in compliance with the high court’s order. It follows</w:t>
      </w:r>
      <w:r w:rsidR="009A0DB3" w:rsidRPr="007A37E1">
        <w:rPr>
          <w:rFonts w:ascii="Arial" w:hAnsi="Arial" w:cs="Arial"/>
        </w:rPr>
        <w:t xml:space="preserve"> that there was no acquiescence on the part of the Minister, and hence no </w:t>
      </w:r>
      <w:r w:rsidR="00970F55" w:rsidRPr="007A37E1">
        <w:rPr>
          <w:rFonts w:ascii="Arial" w:hAnsi="Arial" w:cs="Arial"/>
        </w:rPr>
        <w:t>pre-emption</w:t>
      </w:r>
      <w:r w:rsidR="00F71CB2" w:rsidRPr="007A37E1">
        <w:rPr>
          <w:rFonts w:ascii="Arial" w:hAnsi="Arial" w:cs="Arial"/>
        </w:rPr>
        <w:t xml:space="preserve"> of the appeal.</w:t>
      </w:r>
    </w:p>
    <w:p w14:paraId="62E8D581" w14:textId="77777777" w:rsidR="00255AA0" w:rsidRPr="007A37E1" w:rsidRDefault="00255AA0" w:rsidP="00652E87">
      <w:pPr>
        <w:tabs>
          <w:tab w:val="left" w:pos="567"/>
        </w:tabs>
        <w:spacing w:line="360" w:lineRule="auto"/>
        <w:jc w:val="both"/>
        <w:rPr>
          <w:rFonts w:ascii="Arial" w:hAnsi="Arial" w:cs="Arial"/>
        </w:rPr>
      </w:pPr>
    </w:p>
    <w:p w14:paraId="5C44C010" w14:textId="31F74A55" w:rsidR="007161C4" w:rsidRPr="007A37E1" w:rsidRDefault="00F71CB2" w:rsidP="00652E87">
      <w:pPr>
        <w:tabs>
          <w:tab w:val="left" w:pos="567"/>
        </w:tabs>
        <w:spacing w:line="360" w:lineRule="auto"/>
        <w:jc w:val="both"/>
        <w:rPr>
          <w:rFonts w:ascii="Arial" w:hAnsi="Arial" w:cs="Arial"/>
        </w:rPr>
      </w:pPr>
      <w:r w:rsidRPr="007A37E1">
        <w:rPr>
          <w:rFonts w:ascii="Arial" w:hAnsi="Arial" w:cs="Arial"/>
        </w:rPr>
        <w:t>[</w:t>
      </w:r>
      <w:r w:rsidR="00904BAC" w:rsidRPr="007A37E1">
        <w:rPr>
          <w:rFonts w:ascii="Arial" w:hAnsi="Arial" w:cs="Arial"/>
        </w:rPr>
        <w:t>80</w:t>
      </w:r>
      <w:r w:rsidR="00AF488F" w:rsidRPr="007A37E1">
        <w:rPr>
          <w:rFonts w:ascii="Arial" w:hAnsi="Arial" w:cs="Arial"/>
        </w:rPr>
        <w:t>]</w:t>
      </w:r>
      <w:r w:rsidR="0010782B" w:rsidRPr="007A37E1">
        <w:rPr>
          <w:rFonts w:ascii="Arial" w:hAnsi="Arial" w:cs="Arial"/>
        </w:rPr>
        <w:tab/>
      </w:r>
      <w:r w:rsidR="00003076" w:rsidRPr="007A37E1">
        <w:rPr>
          <w:rFonts w:ascii="Arial" w:hAnsi="Arial" w:cs="Arial"/>
        </w:rPr>
        <w:tab/>
      </w:r>
      <w:r w:rsidRPr="007A37E1">
        <w:rPr>
          <w:rFonts w:ascii="Arial" w:hAnsi="Arial" w:cs="Arial"/>
        </w:rPr>
        <w:t>The respondents</w:t>
      </w:r>
      <w:r w:rsidR="0057589E" w:rsidRPr="007A37E1">
        <w:rPr>
          <w:rFonts w:ascii="Arial" w:hAnsi="Arial" w:cs="Arial"/>
        </w:rPr>
        <w:t>’</w:t>
      </w:r>
      <w:r w:rsidRPr="007A37E1">
        <w:rPr>
          <w:rFonts w:ascii="Arial" w:hAnsi="Arial" w:cs="Arial"/>
        </w:rPr>
        <w:t xml:space="preserve"> points </w:t>
      </w:r>
      <w:r w:rsidRPr="007A37E1">
        <w:rPr>
          <w:rFonts w:ascii="Arial" w:hAnsi="Arial" w:cs="Arial"/>
          <w:i/>
          <w:iCs/>
        </w:rPr>
        <w:t>in limine</w:t>
      </w:r>
      <w:r w:rsidRPr="007A37E1">
        <w:rPr>
          <w:rFonts w:ascii="Arial" w:hAnsi="Arial" w:cs="Arial"/>
        </w:rPr>
        <w:t xml:space="preserve"> </w:t>
      </w:r>
      <w:r w:rsidR="00DF7400" w:rsidRPr="007A37E1">
        <w:rPr>
          <w:rFonts w:ascii="Arial" w:hAnsi="Arial" w:cs="Arial"/>
        </w:rPr>
        <w:t xml:space="preserve">therefore </w:t>
      </w:r>
      <w:r w:rsidRPr="007A37E1">
        <w:rPr>
          <w:rFonts w:ascii="Arial" w:hAnsi="Arial" w:cs="Arial"/>
        </w:rPr>
        <w:t>cannot be sustained. We proceed to consider the merits of the appeal.</w:t>
      </w:r>
    </w:p>
    <w:p w14:paraId="57AC2E16" w14:textId="7EEE4513" w:rsidR="007B7D4C" w:rsidRPr="007A37E1" w:rsidRDefault="007B7D4C" w:rsidP="00652E87">
      <w:pPr>
        <w:tabs>
          <w:tab w:val="left" w:pos="567"/>
        </w:tabs>
        <w:spacing w:line="360" w:lineRule="auto"/>
        <w:jc w:val="both"/>
        <w:rPr>
          <w:rFonts w:ascii="Arial" w:hAnsi="Arial" w:cs="Arial"/>
        </w:rPr>
      </w:pPr>
    </w:p>
    <w:p w14:paraId="1523F2E5" w14:textId="5CC4A39B" w:rsidR="00112566" w:rsidRPr="007A37E1" w:rsidRDefault="007161C4" w:rsidP="003C2663">
      <w:pPr>
        <w:tabs>
          <w:tab w:val="left" w:pos="567"/>
        </w:tabs>
        <w:spacing w:line="360" w:lineRule="auto"/>
        <w:jc w:val="both"/>
        <w:rPr>
          <w:rFonts w:ascii="Arial" w:hAnsi="Arial" w:cs="Arial"/>
          <w:b/>
          <w:bCs/>
          <w:lang w:val="en-US"/>
        </w:rPr>
      </w:pPr>
      <w:r w:rsidRPr="007A37E1">
        <w:rPr>
          <w:rFonts w:ascii="Arial" w:hAnsi="Arial" w:cs="Arial"/>
          <w:b/>
          <w:bCs/>
          <w:lang w:val="en-US"/>
        </w:rPr>
        <w:t>The merits</w:t>
      </w:r>
    </w:p>
    <w:p w14:paraId="19D9DACF" w14:textId="7277C0A9" w:rsidR="007F7397" w:rsidRPr="007A37E1" w:rsidRDefault="0010782B" w:rsidP="00AF488F">
      <w:pPr>
        <w:tabs>
          <w:tab w:val="left" w:pos="567"/>
        </w:tabs>
        <w:spacing w:line="360" w:lineRule="auto"/>
        <w:jc w:val="both"/>
        <w:rPr>
          <w:rFonts w:ascii="Arial" w:hAnsi="Arial" w:cs="Arial"/>
          <w:sz w:val="22"/>
          <w:szCs w:val="22"/>
          <w:lang w:val="en-US"/>
        </w:rPr>
      </w:pPr>
      <w:r w:rsidRPr="007A37E1">
        <w:rPr>
          <w:rFonts w:ascii="Arial" w:hAnsi="Arial" w:cs="Arial"/>
          <w:lang w:val="en-US"/>
        </w:rPr>
        <w:t>[</w:t>
      </w:r>
      <w:r w:rsidR="007B7D4C" w:rsidRPr="007A37E1">
        <w:rPr>
          <w:rFonts w:ascii="Arial" w:hAnsi="Arial" w:cs="Arial"/>
          <w:lang w:val="en-US"/>
        </w:rPr>
        <w:t>8</w:t>
      </w:r>
      <w:r w:rsidR="00904BAC" w:rsidRPr="007A37E1">
        <w:rPr>
          <w:rFonts w:ascii="Arial" w:hAnsi="Arial" w:cs="Arial"/>
          <w:lang w:val="en-US"/>
        </w:rPr>
        <w:t>1</w:t>
      </w:r>
      <w:r w:rsidRPr="007A37E1">
        <w:rPr>
          <w:rFonts w:ascii="Arial" w:hAnsi="Arial" w:cs="Arial"/>
          <w:lang w:val="en-US"/>
        </w:rPr>
        <w:t>]</w:t>
      </w:r>
      <w:r w:rsidRPr="007A37E1">
        <w:rPr>
          <w:rFonts w:ascii="Arial" w:hAnsi="Arial" w:cs="Arial"/>
          <w:lang w:val="en-US"/>
        </w:rPr>
        <w:tab/>
      </w:r>
      <w:r w:rsidR="00003076" w:rsidRPr="007A37E1">
        <w:rPr>
          <w:rFonts w:ascii="Arial" w:hAnsi="Arial" w:cs="Arial"/>
          <w:lang w:val="en-US"/>
        </w:rPr>
        <w:tab/>
      </w:r>
      <w:r w:rsidR="007F7397" w:rsidRPr="007A37E1">
        <w:rPr>
          <w:rFonts w:ascii="Arial" w:hAnsi="Arial" w:cs="Arial"/>
          <w:lang w:val="en-US"/>
        </w:rPr>
        <w:t>On appeal, the Minister c</w:t>
      </w:r>
      <w:r w:rsidR="00360C75" w:rsidRPr="007A37E1">
        <w:rPr>
          <w:rFonts w:ascii="Arial" w:hAnsi="Arial" w:cs="Arial"/>
          <w:lang w:val="en-US"/>
        </w:rPr>
        <w:t>ontend</w:t>
      </w:r>
      <w:r w:rsidR="00A7379D" w:rsidRPr="007A37E1">
        <w:rPr>
          <w:rFonts w:ascii="Arial" w:hAnsi="Arial" w:cs="Arial"/>
          <w:lang w:val="en-US"/>
        </w:rPr>
        <w:t>ed</w:t>
      </w:r>
      <w:r w:rsidR="006C49FB" w:rsidRPr="007A37E1">
        <w:rPr>
          <w:rFonts w:ascii="Arial" w:hAnsi="Arial" w:cs="Arial"/>
          <w:lang w:val="en-US"/>
        </w:rPr>
        <w:t xml:space="preserve"> that</w:t>
      </w:r>
      <w:r w:rsidR="00360C75" w:rsidRPr="007A37E1">
        <w:rPr>
          <w:rFonts w:ascii="Arial" w:hAnsi="Arial" w:cs="Arial"/>
          <w:lang w:val="en-US"/>
        </w:rPr>
        <w:t>: first, the high court</w:t>
      </w:r>
      <w:r w:rsidR="007F7397" w:rsidRPr="007A37E1">
        <w:rPr>
          <w:rFonts w:ascii="Arial" w:hAnsi="Arial" w:cs="Arial"/>
          <w:lang w:val="en-US"/>
        </w:rPr>
        <w:t xml:space="preserve"> strayed be</w:t>
      </w:r>
      <w:r w:rsidR="00360C75" w:rsidRPr="007A37E1">
        <w:rPr>
          <w:rFonts w:ascii="Arial" w:hAnsi="Arial" w:cs="Arial"/>
          <w:lang w:val="en-US"/>
        </w:rPr>
        <w:t>yond the pleadings</w:t>
      </w:r>
      <w:r w:rsidR="007F7397" w:rsidRPr="007A37E1">
        <w:rPr>
          <w:rFonts w:ascii="Arial" w:hAnsi="Arial" w:cs="Arial"/>
          <w:lang w:val="en-US"/>
        </w:rPr>
        <w:t xml:space="preserve">; alternatively, second, the respondents </w:t>
      </w:r>
      <w:r w:rsidR="00D84EF3" w:rsidRPr="007A37E1">
        <w:rPr>
          <w:rFonts w:ascii="Arial" w:hAnsi="Arial" w:cs="Arial"/>
          <w:lang w:val="en-US"/>
        </w:rPr>
        <w:t xml:space="preserve">had </w:t>
      </w:r>
      <w:r w:rsidR="007F7397" w:rsidRPr="007A37E1">
        <w:rPr>
          <w:rFonts w:ascii="Arial" w:hAnsi="Arial" w:cs="Arial"/>
          <w:lang w:val="en-US"/>
        </w:rPr>
        <w:t>not properly plead</w:t>
      </w:r>
      <w:r w:rsidR="00D84EF3" w:rsidRPr="007A37E1">
        <w:rPr>
          <w:rFonts w:ascii="Arial" w:hAnsi="Arial" w:cs="Arial"/>
          <w:lang w:val="en-US"/>
        </w:rPr>
        <w:t>ed</w:t>
      </w:r>
      <w:r w:rsidR="007F7397" w:rsidRPr="007A37E1">
        <w:rPr>
          <w:rFonts w:ascii="Arial" w:hAnsi="Arial" w:cs="Arial"/>
          <w:lang w:val="en-US"/>
        </w:rPr>
        <w:t xml:space="preserve"> the constitutional attack, which was upheld by the high court</w:t>
      </w:r>
      <w:r w:rsidR="00204A47" w:rsidRPr="007A37E1">
        <w:rPr>
          <w:rFonts w:ascii="Arial" w:hAnsi="Arial" w:cs="Arial"/>
          <w:lang w:val="en-US"/>
        </w:rPr>
        <w:t xml:space="preserve"> and the attack based on the Bill of Rights was too vague for the Minister to answer</w:t>
      </w:r>
      <w:r w:rsidR="007F7397" w:rsidRPr="007A37E1">
        <w:rPr>
          <w:rFonts w:ascii="Arial" w:hAnsi="Arial" w:cs="Arial"/>
          <w:lang w:val="en-US"/>
        </w:rPr>
        <w:t xml:space="preserve">; third, the respondents </w:t>
      </w:r>
      <w:r w:rsidR="006C49FB" w:rsidRPr="007A37E1">
        <w:rPr>
          <w:rFonts w:ascii="Arial" w:hAnsi="Arial" w:cs="Arial"/>
          <w:lang w:val="en-US"/>
        </w:rPr>
        <w:t>had</w:t>
      </w:r>
      <w:r w:rsidR="00656453" w:rsidRPr="007A37E1">
        <w:rPr>
          <w:rFonts w:ascii="Arial" w:hAnsi="Arial" w:cs="Arial"/>
          <w:lang w:val="en-US"/>
        </w:rPr>
        <w:t xml:space="preserve"> </w:t>
      </w:r>
      <w:r w:rsidR="007F7397" w:rsidRPr="007A37E1">
        <w:rPr>
          <w:rFonts w:ascii="Arial" w:hAnsi="Arial" w:cs="Arial"/>
          <w:lang w:val="en-US"/>
        </w:rPr>
        <w:t>not raise</w:t>
      </w:r>
      <w:r w:rsidR="00656453" w:rsidRPr="007A37E1">
        <w:rPr>
          <w:rFonts w:ascii="Arial" w:hAnsi="Arial" w:cs="Arial"/>
          <w:lang w:val="en-US"/>
        </w:rPr>
        <w:t>d</w:t>
      </w:r>
      <w:r w:rsidR="007F7397" w:rsidRPr="007A37E1">
        <w:rPr>
          <w:rFonts w:ascii="Arial" w:hAnsi="Arial" w:cs="Arial"/>
          <w:lang w:val="en-US"/>
        </w:rPr>
        <w:t xml:space="preserve"> a proper rationality attack and, in any event, the high court’s application of the rationality test was fundamentally flawed; </w:t>
      </w:r>
      <w:r w:rsidR="00204A47" w:rsidRPr="007A37E1">
        <w:rPr>
          <w:rFonts w:ascii="Arial" w:hAnsi="Arial" w:cs="Arial"/>
          <w:lang w:val="en-US"/>
        </w:rPr>
        <w:t xml:space="preserve">and, </w:t>
      </w:r>
      <w:r w:rsidR="007F7397" w:rsidRPr="007A37E1">
        <w:rPr>
          <w:rFonts w:ascii="Arial" w:hAnsi="Arial" w:cs="Arial"/>
          <w:lang w:val="en-US"/>
        </w:rPr>
        <w:t>fourth,</w:t>
      </w:r>
      <w:r w:rsidR="00204A47" w:rsidRPr="007A37E1">
        <w:rPr>
          <w:rFonts w:ascii="Arial" w:hAnsi="Arial" w:cs="Arial"/>
          <w:lang w:val="en-US"/>
        </w:rPr>
        <w:t xml:space="preserve"> </w:t>
      </w:r>
      <w:r w:rsidR="007F7397" w:rsidRPr="007A37E1">
        <w:rPr>
          <w:rFonts w:ascii="Arial" w:hAnsi="Arial" w:cs="Arial"/>
          <w:lang w:val="en-US"/>
        </w:rPr>
        <w:t xml:space="preserve">the high court’s orders </w:t>
      </w:r>
      <w:r w:rsidR="006C49FB" w:rsidRPr="007A37E1">
        <w:rPr>
          <w:rFonts w:ascii="Arial" w:hAnsi="Arial" w:cs="Arial"/>
          <w:lang w:val="en-US"/>
        </w:rPr>
        <w:t>we</w:t>
      </w:r>
      <w:r w:rsidR="007F7397" w:rsidRPr="007A37E1">
        <w:rPr>
          <w:rFonts w:ascii="Arial" w:hAnsi="Arial" w:cs="Arial"/>
          <w:lang w:val="en-US"/>
        </w:rPr>
        <w:t>re impermissibly vague.</w:t>
      </w:r>
    </w:p>
    <w:p w14:paraId="55AC0486" w14:textId="77777777" w:rsidR="007F7397" w:rsidRPr="007A37E1" w:rsidRDefault="007F7397" w:rsidP="00AF488F">
      <w:pPr>
        <w:spacing w:line="360" w:lineRule="auto"/>
        <w:jc w:val="both"/>
        <w:rPr>
          <w:rFonts w:ascii="Arial" w:hAnsi="Arial" w:cs="Arial"/>
          <w:lang w:val="en-US"/>
        </w:rPr>
      </w:pPr>
    </w:p>
    <w:p w14:paraId="15CC7962" w14:textId="77777777" w:rsidR="008301A3" w:rsidRPr="007A37E1" w:rsidRDefault="008301A3" w:rsidP="00AF488F">
      <w:pPr>
        <w:spacing w:line="360" w:lineRule="auto"/>
        <w:jc w:val="both"/>
        <w:rPr>
          <w:rFonts w:ascii="Arial" w:hAnsi="Arial" w:cs="Arial"/>
          <w:lang w:val="en-US"/>
        </w:rPr>
      </w:pPr>
    </w:p>
    <w:p w14:paraId="433673E7" w14:textId="772700C9" w:rsidR="007F7397" w:rsidRPr="007A37E1" w:rsidRDefault="007F7397" w:rsidP="00AF488F">
      <w:pPr>
        <w:spacing w:line="360" w:lineRule="auto"/>
        <w:jc w:val="both"/>
        <w:rPr>
          <w:rFonts w:ascii="Arial" w:hAnsi="Arial" w:cs="Arial"/>
          <w:b/>
          <w:bCs/>
          <w:i/>
          <w:lang w:val="en-US"/>
        </w:rPr>
      </w:pPr>
      <w:r w:rsidRPr="007A37E1">
        <w:rPr>
          <w:rFonts w:ascii="Arial" w:hAnsi="Arial" w:cs="Arial"/>
          <w:b/>
          <w:bCs/>
          <w:i/>
          <w:lang w:val="en-US"/>
        </w:rPr>
        <w:lastRenderedPageBreak/>
        <w:t>As to the first</w:t>
      </w:r>
    </w:p>
    <w:p w14:paraId="1B093BFD" w14:textId="2CB8B72A" w:rsidR="007F7397" w:rsidRPr="007A37E1" w:rsidRDefault="00EC0808" w:rsidP="00AF488F">
      <w:pPr>
        <w:spacing w:line="360" w:lineRule="auto"/>
        <w:jc w:val="both"/>
        <w:rPr>
          <w:rFonts w:ascii="Arial" w:hAnsi="Arial" w:cs="Arial"/>
          <w:lang w:val="en-US"/>
        </w:rPr>
      </w:pPr>
      <w:r w:rsidRPr="007A37E1">
        <w:rPr>
          <w:rFonts w:ascii="Arial" w:hAnsi="Arial" w:cs="Arial"/>
          <w:lang w:val="en-US"/>
        </w:rPr>
        <w:t>[</w:t>
      </w:r>
      <w:r w:rsidR="007B7D4C" w:rsidRPr="007A37E1">
        <w:rPr>
          <w:rFonts w:ascii="Arial" w:hAnsi="Arial" w:cs="Arial"/>
          <w:lang w:val="en-US"/>
        </w:rPr>
        <w:t>8</w:t>
      </w:r>
      <w:r w:rsidR="00904BAC" w:rsidRPr="007A37E1">
        <w:rPr>
          <w:rFonts w:ascii="Arial" w:hAnsi="Arial" w:cs="Arial"/>
          <w:lang w:val="en-US"/>
        </w:rPr>
        <w:t>2</w:t>
      </w:r>
      <w:r w:rsidR="007F7397" w:rsidRPr="007A37E1">
        <w:rPr>
          <w:rFonts w:ascii="Arial" w:hAnsi="Arial" w:cs="Arial"/>
          <w:lang w:val="en-US"/>
        </w:rPr>
        <w:t>]</w:t>
      </w:r>
      <w:r w:rsidR="002D74C6" w:rsidRPr="007A37E1">
        <w:rPr>
          <w:rFonts w:ascii="Arial" w:hAnsi="Arial" w:cs="Arial"/>
          <w:lang w:val="en-US"/>
        </w:rPr>
        <w:tab/>
      </w:r>
      <w:r w:rsidR="00DD33C8" w:rsidRPr="007A37E1">
        <w:rPr>
          <w:rFonts w:ascii="Arial" w:hAnsi="Arial" w:cs="Arial"/>
          <w:lang w:val="en-US"/>
        </w:rPr>
        <w:t xml:space="preserve">In the notice of motion, a prayer was sought that the proclamation of the national state of disaster was unconstitutional, unlawful and invalid. The high court </w:t>
      </w:r>
      <w:r w:rsidR="00B62428" w:rsidRPr="007A37E1">
        <w:rPr>
          <w:rFonts w:ascii="Arial" w:hAnsi="Arial" w:cs="Arial"/>
          <w:lang w:val="en-US"/>
        </w:rPr>
        <w:t xml:space="preserve">dismissed that challenge. The respondents </w:t>
      </w:r>
      <w:r w:rsidR="004A32A5" w:rsidRPr="007A37E1">
        <w:rPr>
          <w:rFonts w:ascii="Arial" w:hAnsi="Arial" w:cs="Arial"/>
          <w:lang w:val="en-US"/>
        </w:rPr>
        <w:t>were refused leave to cross-appeal against the high court’s decision in this respect</w:t>
      </w:r>
      <w:r w:rsidR="00255AA0" w:rsidRPr="007A37E1">
        <w:rPr>
          <w:rFonts w:ascii="Arial" w:hAnsi="Arial" w:cs="Arial"/>
          <w:lang w:val="en-US"/>
        </w:rPr>
        <w:t>.</w:t>
      </w:r>
      <w:r w:rsidR="003F0AE4" w:rsidRPr="007A37E1">
        <w:rPr>
          <w:rFonts w:ascii="Arial" w:hAnsi="Arial" w:cs="Arial"/>
          <w:lang w:val="en-US"/>
        </w:rPr>
        <w:t xml:space="preserve"> </w:t>
      </w:r>
      <w:r w:rsidR="00B62428" w:rsidRPr="007A37E1">
        <w:rPr>
          <w:rFonts w:ascii="Arial" w:hAnsi="Arial" w:cs="Arial"/>
          <w:lang w:val="en-US"/>
        </w:rPr>
        <w:t xml:space="preserve">They </w:t>
      </w:r>
      <w:r w:rsidR="00255AA0" w:rsidRPr="007A37E1">
        <w:rPr>
          <w:rFonts w:ascii="Arial" w:hAnsi="Arial" w:cs="Arial"/>
          <w:lang w:val="en-US"/>
        </w:rPr>
        <w:t xml:space="preserve">were thus </w:t>
      </w:r>
      <w:r w:rsidR="00B62428" w:rsidRPr="007A37E1">
        <w:rPr>
          <w:rFonts w:ascii="Arial" w:hAnsi="Arial" w:cs="Arial"/>
          <w:lang w:val="en-US"/>
        </w:rPr>
        <w:t xml:space="preserve">confined </w:t>
      </w:r>
      <w:r w:rsidR="00255AA0" w:rsidRPr="007A37E1">
        <w:rPr>
          <w:rFonts w:ascii="Arial" w:hAnsi="Arial" w:cs="Arial"/>
          <w:lang w:val="en-US"/>
        </w:rPr>
        <w:t xml:space="preserve">to the </w:t>
      </w:r>
      <w:r w:rsidR="00B62428" w:rsidRPr="007A37E1">
        <w:rPr>
          <w:rFonts w:ascii="Arial" w:hAnsi="Arial" w:cs="Arial"/>
          <w:lang w:val="en-US"/>
        </w:rPr>
        <w:t>submissions</w:t>
      </w:r>
      <w:r w:rsidR="00255AA0" w:rsidRPr="007A37E1">
        <w:rPr>
          <w:rFonts w:ascii="Arial" w:hAnsi="Arial" w:cs="Arial"/>
          <w:lang w:val="en-US"/>
        </w:rPr>
        <w:t xml:space="preserve"> made in their heads of argument concerning the validity of the regulations that followed.</w:t>
      </w:r>
      <w:r w:rsidR="00B62428" w:rsidRPr="007A37E1">
        <w:rPr>
          <w:rFonts w:ascii="Arial" w:hAnsi="Arial" w:cs="Arial"/>
          <w:lang w:val="en-US"/>
        </w:rPr>
        <w:t xml:space="preserve"> It is to the appeal of </w:t>
      </w:r>
      <w:r w:rsidR="00255AA0" w:rsidRPr="007A37E1">
        <w:rPr>
          <w:rFonts w:ascii="Arial" w:hAnsi="Arial" w:cs="Arial"/>
          <w:lang w:val="en-US"/>
        </w:rPr>
        <w:t xml:space="preserve">the high court’s </w:t>
      </w:r>
      <w:r w:rsidR="00B62428" w:rsidRPr="007A37E1">
        <w:rPr>
          <w:rFonts w:ascii="Arial" w:hAnsi="Arial" w:cs="Arial"/>
          <w:lang w:val="en-US"/>
        </w:rPr>
        <w:t xml:space="preserve">order </w:t>
      </w:r>
      <w:r w:rsidR="00255AA0" w:rsidRPr="007A37E1">
        <w:rPr>
          <w:rFonts w:ascii="Arial" w:hAnsi="Arial" w:cs="Arial"/>
          <w:lang w:val="en-US"/>
        </w:rPr>
        <w:t xml:space="preserve">in that regard </w:t>
      </w:r>
      <w:r w:rsidR="00B62428" w:rsidRPr="007A37E1">
        <w:rPr>
          <w:rFonts w:ascii="Arial" w:hAnsi="Arial" w:cs="Arial"/>
          <w:lang w:val="en-US"/>
        </w:rPr>
        <w:t xml:space="preserve">that we now turn. </w:t>
      </w:r>
      <w:r w:rsidR="007F7397" w:rsidRPr="007A37E1">
        <w:rPr>
          <w:rFonts w:ascii="Arial" w:hAnsi="Arial" w:cs="Arial"/>
          <w:lang w:val="en-US"/>
        </w:rPr>
        <w:t>Although the Minister first issued regulations on 18 March 2020, those were amended a number of times</w:t>
      </w:r>
      <w:r w:rsidR="004A32A5" w:rsidRPr="007A37E1">
        <w:rPr>
          <w:rFonts w:ascii="Arial" w:hAnsi="Arial" w:cs="Arial"/>
          <w:lang w:val="en-US"/>
        </w:rPr>
        <w:t xml:space="preserve"> and were then repealed</w:t>
      </w:r>
      <w:r w:rsidR="007F7397" w:rsidRPr="007A37E1">
        <w:rPr>
          <w:rFonts w:ascii="Arial" w:hAnsi="Arial" w:cs="Arial"/>
          <w:lang w:val="en-US"/>
        </w:rPr>
        <w:t xml:space="preserve"> on 29 April 2020</w:t>
      </w:r>
      <w:r w:rsidR="006A7ABC" w:rsidRPr="007A37E1">
        <w:rPr>
          <w:rFonts w:ascii="Arial" w:hAnsi="Arial" w:cs="Arial"/>
          <w:lang w:val="en-US"/>
        </w:rPr>
        <w:t>,</w:t>
      </w:r>
      <w:r w:rsidR="007F7397" w:rsidRPr="007A37E1">
        <w:rPr>
          <w:rFonts w:ascii="Arial" w:hAnsi="Arial" w:cs="Arial"/>
          <w:lang w:val="en-US"/>
        </w:rPr>
        <w:t xml:space="preserve"> </w:t>
      </w:r>
      <w:r w:rsidR="004A32A5" w:rsidRPr="007A37E1">
        <w:rPr>
          <w:rFonts w:ascii="Arial" w:hAnsi="Arial" w:cs="Arial"/>
          <w:lang w:val="en-US"/>
        </w:rPr>
        <w:t xml:space="preserve">when </w:t>
      </w:r>
      <w:r w:rsidR="007F7397" w:rsidRPr="007A37E1">
        <w:rPr>
          <w:rFonts w:ascii="Arial" w:hAnsi="Arial" w:cs="Arial"/>
          <w:lang w:val="en-US"/>
        </w:rPr>
        <w:t xml:space="preserve">the Minister published </w:t>
      </w:r>
      <w:r w:rsidR="004A32A5" w:rsidRPr="007A37E1">
        <w:rPr>
          <w:rFonts w:ascii="Arial" w:hAnsi="Arial" w:cs="Arial"/>
          <w:lang w:val="en-US"/>
        </w:rPr>
        <w:t xml:space="preserve">the Level 4 </w:t>
      </w:r>
      <w:r w:rsidR="007F7397" w:rsidRPr="007A37E1">
        <w:rPr>
          <w:rFonts w:ascii="Arial" w:hAnsi="Arial" w:cs="Arial"/>
          <w:lang w:val="en-US"/>
        </w:rPr>
        <w:t>regulations</w:t>
      </w:r>
      <w:r w:rsidR="003F0AE4" w:rsidRPr="007A37E1">
        <w:rPr>
          <w:rFonts w:ascii="Arial" w:hAnsi="Arial" w:cs="Arial"/>
          <w:lang w:val="en-US"/>
        </w:rPr>
        <w:t xml:space="preserve">. </w:t>
      </w:r>
      <w:r w:rsidR="007F7397" w:rsidRPr="007A37E1">
        <w:rPr>
          <w:rFonts w:ascii="Arial" w:hAnsi="Arial" w:cs="Arial"/>
          <w:lang w:val="en-US"/>
        </w:rPr>
        <w:t xml:space="preserve">On 28 May 2020, the very day on which the matter was argued before the </w:t>
      </w:r>
      <w:r w:rsidR="004A32A5" w:rsidRPr="007A37E1">
        <w:rPr>
          <w:rFonts w:ascii="Arial" w:hAnsi="Arial" w:cs="Arial"/>
          <w:lang w:val="en-US"/>
        </w:rPr>
        <w:t>h</w:t>
      </w:r>
      <w:r w:rsidR="007F7397" w:rsidRPr="007A37E1">
        <w:rPr>
          <w:rFonts w:ascii="Arial" w:hAnsi="Arial" w:cs="Arial"/>
          <w:lang w:val="en-US"/>
        </w:rPr>
        <w:t xml:space="preserve">igh </w:t>
      </w:r>
      <w:r w:rsidR="004A32A5" w:rsidRPr="007A37E1">
        <w:rPr>
          <w:rFonts w:ascii="Arial" w:hAnsi="Arial" w:cs="Arial"/>
          <w:lang w:val="en-US"/>
        </w:rPr>
        <w:t>c</w:t>
      </w:r>
      <w:r w:rsidR="007F7397" w:rsidRPr="007A37E1">
        <w:rPr>
          <w:rFonts w:ascii="Arial" w:hAnsi="Arial" w:cs="Arial"/>
          <w:lang w:val="en-US"/>
        </w:rPr>
        <w:t xml:space="preserve">ourt, the Minister once again amended the regulations to include a new chapter 4 to govern </w:t>
      </w:r>
      <w:r w:rsidR="00C71739" w:rsidRPr="007A37E1">
        <w:rPr>
          <w:rFonts w:ascii="Arial" w:hAnsi="Arial" w:cs="Arial"/>
          <w:lang w:val="en-US"/>
        </w:rPr>
        <w:t>A</w:t>
      </w:r>
      <w:r w:rsidR="007F7397" w:rsidRPr="007A37E1">
        <w:rPr>
          <w:rFonts w:ascii="Arial" w:hAnsi="Arial" w:cs="Arial"/>
          <w:lang w:val="en-US"/>
        </w:rPr>
        <w:t xml:space="preserve">lert </w:t>
      </w:r>
      <w:r w:rsidR="00C71739" w:rsidRPr="007A37E1">
        <w:rPr>
          <w:rFonts w:ascii="Arial" w:hAnsi="Arial" w:cs="Arial"/>
          <w:lang w:val="en-US"/>
        </w:rPr>
        <w:t>L</w:t>
      </w:r>
      <w:r w:rsidR="007F7397" w:rsidRPr="007A37E1">
        <w:rPr>
          <w:rFonts w:ascii="Arial" w:hAnsi="Arial" w:cs="Arial"/>
          <w:lang w:val="en-US"/>
        </w:rPr>
        <w:t>evel 3 (t</w:t>
      </w:r>
      <w:r w:rsidR="00360C75" w:rsidRPr="007A37E1">
        <w:rPr>
          <w:rFonts w:ascii="Arial" w:hAnsi="Arial" w:cs="Arial"/>
          <w:lang w:val="en-US"/>
        </w:rPr>
        <w:t xml:space="preserve">he </w:t>
      </w:r>
      <w:r w:rsidR="00C71739" w:rsidRPr="007A37E1">
        <w:rPr>
          <w:rFonts w:ascii="Arial" w:hAnsi="Arial" w:cs="Arial"/>
          <w:lang w:val="en-US"/>
        </w:rPr>
        <w:t>L</w:t>
      </w:r>
      <w:r w:rsidR="00360C75" w:rsidRPr="007A37E1">
        <w:rPr>
          <w:rFonts w:ascii="Arial" w:hAnsi="Arial" w:cs="Arial"/>
          <w:lang w:val="en-US"/>
        </w:rPr>
        <w:t xml:space="preserve">evel 3 regulations). When the application </w:t>
      </w:r>
      <w:r w:rsidR="007161C4" w:rsidRPr="007A37E1">
        <w:rPr>
          <w:rFonts w:ascii="Arial" w:hAnsi="Arial" w:cs="Arial"/>
          <w:lang w:val="en-US"/>
        </w:rPr>
        <w:t>was</w:t>
      </w:r>
      <w:r w:rsidR="007F7397" w:rsidRPr="007A37E1">
        <w:rPr>
          <w:rFonts w:ascii="Arial" w:hAnsi="Arial" w:cs="Arial"/>
          <w:lang w:val="en-US"/>
        </w:rPr>
        <w:t xml:space="preserve"> launched</w:t>
      </w:r>
      <w:r w:rsidR="007161C4" w:rsidRPr="007A37E1">
        <w:rPr>
          <w:rFonts w:ascii="Arial" w:hAnsi="Arial" w:cs="Arial"/>
          <w:lang w:val="en-US"/>
        </w:rPr>
        <w:t>,</w:t>
      </w:r>
      <w:r w:rsidR="007F7397" w:rsidRPr="007A37E1">
        <w:rPr>
          <w:rFonts w:ascii="Arial" w:hAnsi="Arial" w:cs="Arial"/>
          <w:lang w:val="en-US"/>
        </w:rPr>
        <w:t xml:space="preserve"> the </w:t>
      </w:r>
      <w:r w:rsidR="000044A4" w:rsidRPr="007A37E1">
        <w:rPr>
          <w:rFonts w:ascii="Arial" w:hAnsi="Arial" w:cs="Arial"/>
          <w:lang w:val="en-US"/>
        </w:rPr>
        <w:t>L</w:t>
      </w:r>
      <w:r w:rsidR="007F7397" w:rsidRPr="007A37E1">
        <w:rPr>
          <w:rFonts w:ascii="Arial" w:hAnsi="Arial" w:cs="Arial"/>
          <w:lang w:val="en-US"/>
        </w:rPr>
        <w:t xml:space="preserve">evel 3 regulations had not yet been promulgated. Unsurprisingly therefore, the founding affidavit made no reference whatsoever to </w:t>
      </w:r>
      <w:r w:rsidR="007161C4" w:rsidRPr="007A37E1">
        <w:rPr>
          <w:rFonts w:ascii="Arial" w:hAnsi="Arial" w:cs="Arial"/>
          <w:lang w:val="en-US"/>
        </w:rPr>
        <w:t>them</w:t>
      </w:r>
      <w:r w:rsidR="007F7397" w:rsidRPr="007A37E1">
        <w:rPr>
          <w:rFonts w:ascii="Arial" w:hAnsi="Arial" w:cs="Arial"/>
          <w:lang w:val="en-US"/>
        </w:rPr>
        <w:t>. On the contrary, the founding affi</w:t>
      </w:r>
      <w:r w:rsidR="00360C75" w:rsidRPr="007A37E1">
        <w:rPr>
          <w:rFonts w:ascii="Arial" w:hAnsi="Arial" w:cs="Arial"/>
          <w:lang w:val="en-US"/>
        </w:rPr>
        <w:t xml:space="preserve">davit referred to the </w:t>
      </w:r>
      <w:r w:rsidR="00830D93" w:rsidRPr="007A37E1">
        <w:rPr>
          <w:rFonts w:ascii="Arial" w:hAnsi="Arial" w:cs="Arial"/>
          <w:lang w:val="en-US"/>
        </w:rPr>
        <w:t>L</w:t>
      </w:r>
      <w:r w:rsidR="00360C75" w:rsidRPr="007A37E1">
        <w:rPr>
          <w:rFonts w:ascii="Arial" w:hAnsi="Arial" w:cs="Arial"/>
          <w:lang w:val="en-US"/>
        </w:rPr>
        <w:t>evel 4</w:t>
      </w:r>
      <w:r w:rsidR="007F7397" w:rsidRPr="007A37E1">
        <w:rPr>
          <w:rFonts w:ascii="Arial" w:hAnsi="Arial" w:cs="Arial"/>
          <w:lang w:val="en-US"/>
        </w:rPr>
        <w:t xml:space="preserve"> regulations as the ‘new regulations’. Accordingly, </w:t>
      </w:r>
      <w:r w:rsidR="00360C75" w:rsidRPr="007A37E1">
        <w:rPr>
          <w:rFonts w:ascii="Arial" w:hAnsi="Arial" w:cs="Arial"/>
          <w:lang w:val="en-US"/>
        </w:rPr>
        <w:t>it was impermissible</w:t>
      </w:r>
      <w:r w:rsidR="007F7397" w:rsidRPr="007A37E1">
        <w:rPr>
          <w:rFonts w:ascii="Arial" w:hAnsi="Arial" w:cs="Arial"/>
          <w:lang w:val="en-US"/>
        </w:rPr>
        <w:t xml:space="preserve"> for the high court to have considered and made a determination </w:t>
      </w:r>
      <w:r w:rsidR="007161C4" w:rsidRPr="007A37E1">
        <w:rPr>
          <w:rFonts w:ascii="Arial" w:hAnsi="Arial" w:cs="Arial"/>
          <w:lang w:val="en-US"/>
        </w:rPr>
        <w:t>in respect of</w:t>
      </w:r>
      <w:r w:rsidR="007F7397" w:rsidRPr="007A37E1">
        <w:rPr>
          <w:rFonts w:ascii="Arial" w:hAnsi="Arial" w:cs="Arial"/>
          <w:lang w:val="en-US"/>
        </w:rPr>
        <w:t xml:space="preserve"> the </w:t>
      </w:r>
      <w:r w:rsidR="00830D93" w:rsidRPr="007A37E1">
        <w:rPr>
          <w:rFonts w:ascii="Arial" w:hAnsi="Arial" w:cs="Arial"/>
          <w:lang w:val="en-US"/>
        </w:rPr>
        <w:t>L</w:t>
      </w:r>
      <w:r w:rsidR="007F7397" w:rsidRPr="007A37E1">
        <w:rPr>
          <w:rFonts w:ascii="Arial" w:hAnsi="Arial" w:cs="Arial"/>
          <w:lang w:val="en-US"/>
        </w:rPr>
        <w:t>evel 3 regulations, which w</w:t>
      </w:r>
      <w:r w:rsidR="007161C4" w:rsidRPr="007A37E1">
        <w:rPr>
          <w:rFonts w:ascii="Arial" w:hAnsi="Arial" w:cs="Arial"/>
          <w:lang w:val="en-US"/>
        </w:rPr>
        <w:t>ere</w:t>
      </w:r>
      <w:r w:rsidR="007F7397" w:rsidRPr="007A37E1">
        <w:rPr>
          <w:rFonts w:ascii="Arial" w:hAnsi="Arial" w:cs="Arial"/>
          <w:lang w:val="en-US"/>
        </w:rPr>
        <w:t xml:space="preserve"> not properly before </w:t>
      </w:r>
      <w:r w:rsidR="007161C4" w:rsidRPr="007A37E1">
        <w:rPr>
          <w:rFonts w:ascii="Arial" w:hAnsi="Arial" w:cs="Arial"/>
          <w:lang w:val="en-US"/>
        </w:rPr>
        <w:t>the high court</w:t>
      </w:r>
      <w:r w:rsidR="007F7397" w:rsidRPr="007A37E1">
        <w:rPr>
          <w:rFonts w:ascii="Arial" w:hAnsi="Arial" w:cs="Arial"/>
          <w:lang w:val="en-US"/>
        </w:rPr>
        <w:t>.</w:t>
      </w:r>
      <w:r w:rsidRPr="007A37E1">
        <w:rPr>
          <w:rFonts w:ascii="Arial" w:hAnsi="Arial" w:cs="Arial"/>
          <w:lang w:val="en-US"/>
        </w:rPr>
        <w:t xml:space="preserve"> What is more, it arrived at its conclusion without affording the Minister an opportunity to be heard. The breach by the high court of something so fundamental as the </w:t>
      </w:r>
      <w:r w:rsidR="007B7D4C" w:rsidRPr="007A37E1">
        <w:rPr>
          <w:rFonts w:ascii="Arial" w:hAnsi="Arial" w:cs="Arial"/>
          <w:lang w:val="en-US"/>
        </w:rPr>
        <w:t xml:space="preserve">right to be heard </w:t>
      </w:r>
      <w:r w:rsidRPr="007A37E1">
        <w:rPr>
          <w:rFonts w:ascii="Arial" w:hAnsi="Arial" w:cs="Arial"/>
          <w:lang w:val="en-US"/>
        </w:rPr>
        <w:t>taint</w:t>
      </w:r>
      <w:r w:rsidR="007161C4" w:rsidRPr="007A37E1">
        <w:rPr>
          <w:rFonts w:ascii="Arial" w:hAnsi="Arial" w:cs="Arial"/>
          <w:lang w:val="en-US"/>
        </w:rPr>
        <w:t>s</w:t>
      </w:r>
      <w:r w:rsidRPr="007A37E1">
        <w:rPr>
          <w:rFonts w:ascii="Arial" w:hAnsi="Arial" w:cs="Arial"/>
          <w:lang w:val="en-US"/>
        </w:rPr>
        <w:t xml:space="preserve"> the high court’s judgment.</w:t>
      </w:r>
    </w:p>
    <w:p w14:paraId="4C4F0EEF" w14:textId="77777777" w:rsidR="007F7397" w:rsidRPr="007A37E1" w:rsidRDefault="007F7397" w:rsidP="00AF488F">
      <w:pPr>
        <w:spacing w:line="360" w:lineRule="auto"/>
        <w:jc w:val="both"/>
        <w:rPr>
          <w:rFonts w:ascii="Arial" w:hAnsi="Arial" w:cs="Arial"/>
          <w:lang w:val="en-US"/>
        </w:rPr>
      </w:pPr>
    </w:p>
    <w:p w14:paraId="0FFCBF3E" w14:textId="5EA38A41" w:rsidR="007F7397" w:rsidRPr="007A37E1" w:rsidRDefault="00EC0808" w:rsidP="00974860">
      <w:pPr>
        <w:tabs>
          <w:tab w:val="left" w:pos="851"/>
        </w:tabs>
        <w:spacing w:line="360" w:lineRule="auto"/>
        <w:jc w:val="both"/>
        <w:rPr>
          <w:rFonts w:ascii="Arial" w:hAnsi="Arial" w:cs="Arial"/>
          <w:lang w:val="en-US"/>
        </w:rPr>
      </w:pPr>
      <w:r w:rsidRPr="007A37E1">
        <w:rPr>
          <w:rFonts w:ascii="Arial" w:hAnsi="Arial" w:cs="Arial"/>
          <w:lang w:val="en-US"/>
        </w:rPr>
        <w:t>[</w:t>
      </w:r>
      <w:r w:rsidR="007B7D4C" w:rsidRPr="007A37E1">
        <w:rPr>
          <w:rFonts w:ascii="Arial" w:hAnsi="Arial" w:cs="Arial"/>
          <w:lang w:val="en-US"/>
        </w:rPr>
        <w:t>8</w:t>
      </w:r>
      <w:r w:rsidR="00904BAC" w:rsidRPr="007A37E1">
        <w:rPr>
          <w:rFonts w:ascii="Arial" w:hAnsi="Arial" w:cs="Arial"/>
          <w:lang w:val="en-US"/>
        </w:rPr>
        <w:t>3</w:t>
      </w:r>
      <w:r w:rsidR="007F7397" w:rsidRPr="007A37E1">
        <w:rPr>
          <w:rFonts w:ascii="Arial" w:hAnsi="Arial" w:cs="Arial"/>
          <w:lang w:val="en-US"/>
        </w:rPr>
        <w:t>]</w:t>
      </w:r>
      <w:r w:rsidR="007F7397" w:rsidRPr="007A37E1">
        <w:rPr>
          <w:rFonts w:ascii="Arial" w:hAnsi="Arial" w:cs="Arial"/>
          <w:lang w:val="en-US"/>
        </w:rPr>
        <w:tab/>
        <w:t xml:space="preserve">The high court specifically considered </w:t>
      </w:r>
      <w:r w:rsidR="00C86CDB" w:rsidRPr="007A37E1">
        <w:rPr>
          <w:rFonts w:ascii="Arial" w:hAnsi="Arial" w:cs="Arial"/>
          <w:lang w:val="en-US"/>
        </w:rPr>
        <w:t xml:space="preserve">the </w:t>
      </w:r>
      <w:r w:rsidR="007F7397" w:rsidRPr="007A37E1">
        <w:rPr>
          <w:rFonts w:ascii="Arial" w:hAnsi="Arial" w:cs="Arial"/>
          <w:lang w:val="en-US"/>
        </w:rPr>
        <w:t xml:space="preserve">six </w:t>
      </w:r>
      <w:r w:rsidR="00830D93" w:rsidRPr="007A37E1">
        <w:rPr>
          <w:rFonts w:ascii="Arial" w:hAnsi="Arial" w:cs="Arial"/>
          <w:lang w:val="en-US"/>
        </w:rPr>
        <w:t>L</w:t>
      </w:r>
      <w:r w:rsidR="00C86CDB" w:rsidRPr="007A37E1">
        <w:rPr>
          <w:rFonts w:ascii="Arial" w:hAnsi="Arial" w:cs="Arial"/>
          <w:lang w:val="en-US"/>
        </w:rPr>
        <w:t>evel 3 provisions mentioned earlier in this judgment</w:t>
      </w:r>
      <w:r w:rsidR="007F7397" w:rsidRPr="007A37E1">
        <w:rPr>
          <w:rFonts w:ascii="Arial" w:hAnsi="Arial" w:cs="Arial"/>
          <w:lang w:val="en-US"/>
        </w:rPr>
        <w:t xml:space="preserve">. It held that those six </w:t>
      </w:r>
      <w:r w:rsidR="00C86CDB" w:rsidRPr="007A37E1">
        <w:rPr>
          <w:rFonts w:ascii="Arial" w:hAnsi="Arial" w:cs="Arial"/>
          <w:lang w:val="en-US"/>
        </w:rPr>
        <w:t>provisions</w:t>
      </w:r>
      <w:r w:rsidR="007F7397" w:rsidRPr="007A37E1">
        <w:rPr>
          <w:rFonts w:ascii="Arial" w:hAnsi="Arial" w:cs="Arial"/>
          <w:lang w:val="en-US"/>
        </w:rPr>
        <w:t xml:space="preserve"> were unconstitutional and invalid on the grounds that they were irrational and unjustifiably limited fundamental rights. On the basis of these findings in respect of the six specific regulations, the high court declared invalid, not only those six regulations, but all the regulations promulgated until the date of judgment (save for </w:t>
      </w:r>
      <w:r w:rsidR="007161C4" w:rsidRPr="007A37E1">
        <w:rPr>
          <w:rFonts w:ascii="Arial" w:hAnsi="Arial" w:cs="Arial"/>
          <w:lang w:val="en-US"/>
        </w:rPr>
        <w:t>certain</w:t>
      </w:r>
      <w:r w:rsidR="0080621A" w:rsidRPr="007A37E1">
        <w:rPr>
          <w:rFonts w:ascii="Arial" w:hAnsi="Arial" w:cs="Arial"/>
          <w:lang w:val="en-US"/>
        </w:rPr>
        <w:t xml:space="preserve"> specified exceptions). </w:t>
      </w:r>
      <w:r w:rsidR="007F7397" w:rsidRPr="007A37E1">
        <w:rPr>
          <w:rFonts w:ascii="Arial" w:hAnsi="Arial" w:cs="Arial"/>
          <w:lang w:val="en-US"/>
        </w:rPr>
        <w:t xml:space="preserve">Extrapolating from its conclusion that the six specific </w:t>
      </w:r>
      <w:r w:rsidR="00C86CDB" w:rsidRPr="007A37E1">
        <w:rPr>
          <w:rFonts w:ascii="Arial" w:hAnsi="Arial" w:cs="Arial"/>
          <w:lang w:val="en-US"/>
        </w:rPr>
        <w:t>provisions</w:t>
      </w:r>
      <w:r w:rsidR="007F7397" w:rsidRPr="007A37E1">
        <w:rPr>
          <w:rFonts w:ascii="Arial" w:hAnsi="Arial" w:cs="Arial"/>
          <w:lang w:val="en-US"/>
        </w:rPr>
        <w:t xml:space="preserve"> did not survive scrutiny, the </w:t>
      </w:r>
      <w:r w:rsidR="00C86CDB" w:rsidRPr="007A37E1">
        <w:rPr>
          <w:rFonts w:ascii="Arial" w:hAnsi="Arial" w:cs="Arial"/>
          <w:lang w:val="en-US"/>
        </w:rPr>
        <w:t>h</w:t>
      </w:r>
      <w:r w:rsidR="007F7397" w:rsidRPr="007A37E1">
        <w:rPr>
          <w:rFonts w:ascii="Arial" w:hAnsi="Arial" w:cs="Arial"/>
          <w:lang w:val="en-US"/>
        </w:rPr>
        <w:t xml:space="preserve">igh </w:t>
      </w:r>
      <w:r w:rsidR="00C86CDB" w:rsidRPr="007A37E1">
        <w:rPr>
          <w:rFonts w:ascii="Arial" w:hAnsi="Arial" w:cs="Arial"/>
          <w:lang w:val="en-US"/>
        </w:rPr>
        <w:t>c</w:t>
      </w:r>
      <w:r w:rsidR="007F7397" w:rsidRPr="007A37E1">
        <w:rPr>
          <w:rFonts w:ascii="Arial" w:hAnsi="Arial" w:cs="Arial"/>
          <w:lang w:val="en-US"/>
        </w:rPr>
        <w:t xml:space="preserve">ourt proceeded to hold that all the regulations, including all of the </w:t>
      </w:r>
      <w:r w:rsidR="00830D93" w:rsidRPr="007A37E1">
        <w:rPr>
          <w:rFonts w:ascii="Arial" w:hAnsi="Arial" w:cs="Arial"/>
          <w:lang w:val="en-US"/>
        </w:rPr>
        <w:t>L</w:t>
      </w:r>
      <w:r w:rsidR="007F7397" w:rsidRPr="007A37E1">
        <w:rPr>
          <w:rFonts w:ascii="Arial" w:hAnsi="Arial" w:cs="Arial"/>
          <w:lang w:val="en-US"/>
        </w:rPr>
        <w:t>evel 3 regulations (save for the specified exceptions)</w:t>
      </w:r>
      <w:r w:rsidR="00C86CDB" w:rsidRPr="007A37E1">
        <w:rPr>
          <w:rFonts w:ascii="Arial" w:hAnsi="Arial" w:cs="Arial"/>
          <w:lang w:val="en-US"/>
        </w:rPr>
        <w:t>,</w:t>
      </w:r>
      <w:r w:rsidR="007F7397" w:rsidRPr="007A37E1">
        <w:rPr>
          <w:rFonts w:ascii="Arial" w:hAnsi="Arial" w:cs="Arial"/>
          <w:lang w:val="en-US"/>
        </w:rPr>
        <w:t xml:space="preserve"> fell to be</w:t>
      </w:r>
      <w:r w:rsidRPr="007A37E1">
        <w:rPr>
          <w:rFonts w:ascii="Arial" w:hAnsi="Arial" w:cs="Arial"/>
          <w:lang w:val="en-US"/>
        </w:rPr>
        <w:t xml:space="preserve"> struck down. </w:t>
      </w:r>
      <w:r w:rsidR="00360C75" w:rsidRPr="007A37E1">
        <w:rPr>
          <w:rFonts w:ascii="Arial" w:hAnsi="Arial" w:cs="Arial"/>
          <w:lang w:val="en-US"/>
        </w:rPr>
        <w:t xml:space="preserve">But, </w:t>
      </w:r>
      <w:r w:rsidRPr="007A37E1">
        <w:rPr>
          <w:rFonts w:ascii="Arial" w:hAnsi="Arial" w:cs="Arial"/>
          <w:lang w:val="en-US"/>
        </w:rPr>
        <w:t xml:space="preserve">the </w:t>
      </w:r>
      <w:r w:rsidR="00830D93" w:rsidRPr="007A37E1">
        <w:rPr>
          <w:rFonts w:ascii="Arial" w:hAnsi="Arial" w:cs="Arial"/>
          <w:lang w:val="en-US"/>
        </w:rPr>
        <w:t>L</w:t>
      </w:r>
      <w:r w:rsidRPr="007A37E1">
        <w:rPr>
          <w:rFonts w:ascii="Arial" w:hAnsi="Arial" w:cs="Arial"/>
          <w:lang w:val="en-US"/>
        </w:rPr>
        <w:t>evel 3</w:t>
      </w:r>
      <w:r w:rsidR="007F7397" w:rsidRPr="007A37E1">
        <w:rPr>
          <w:rFonts w:ascii="Arial" w:hAnsi="Arial" w:cs="Arial"/>
          <w:lang w:val="en-US"/>
        </w:rPr>
        <w:t xml:space="preserve"> regulations were not before the court at all. The application was confined to the regulations that were current when it was launched; namely, all of the regulations u</w:t>
      </w:r>
      <w:r w:rsidR="001C5C2D" w:rsidRPr="007A37E1">
        <w:rPr>
          <w:rFonts w:ascii="Arial" w:hAnsi="Arial" w:cs="Arial"/>
          <w:lang w:val="en-US"/>
        </w:rPr>
        <w:t xml:space="preserve">p to and including the </w:t>
      </w:r>
      <w:r w:rsidR="00830D93" w:rsidRPr="007A37E1">
        <w:rPr>
          <w:rFonts w:ascii="Arial" w:hAnsi="Arial" w:cs="Arial"/>
          <w:lang w:val="en-US"/>
        </w:rPr>
        <w:t>L</w:t>
      </w:r>
      <w:r w:rsidR="001C5C2D" w:rsidRPr="007A37E1">
        <w:rPr>
          <w:rFonts w:ascii="Arial" w:hAnsi="Arial" w:cs="Arial"/>
          <w:lang w:val="en-US"/>
        </w:rPr>
        <w:t>evel 4</w:t>
      </w:r>
      <w:r w:rsidR="007F7397" w:rsidRPr="007A37E1">
        <w:rPr>
          <w:rFonts w:ascii="Arial" w:hAnsi="Arial" w:cs="Arial"/>
          <w:lang w:val="en-US"/>
        </w:rPr>
        <w:t xml:space="preserve"> regulations promulgated on 29 April 2020. Those are the regulations that the Minister was called upon </w:t>
      </w:r>
      <w:r w:rsidR="007F7397" w:rsidRPr="007A37E1">
        <w:rPr>
          <w:rFonts w:ascii="Arial" w:hAnsi="Arial" w:cs="Arial"/>
          <w:lang w:val="en-US"/>
        </w:rPr>
        <w:lastRenderedPageBreak/>
        <w:t>to defend. The Minister’s answering affidavit was filed on 26 May 2020, before the promulgation o</w:t>
      </w:r>
      <w:r w:rsidR="001C5C2D" w:rsidRPr="007A37E1">
        <w:rPr>
          <w:rFonts w:ascii="Arial" w:hAnsi="Arial" w:cs="Arial"/>
          <w:lang w:val="en-US"/>
        </w:rPr>
        <w:t xml:space="preserve">f the </w:t>
      </w:r>
      <w:r w:rsidR="00830D93" w:rsidRPr="007A37E1">
        <w:rPr>
          <w:rFonts w:ascii="Arial" w:hAnsi="Arial" w:cs="Arial"/>
          <w:lang w:val="en-US"/>
        </w:rPr>
        <w:t>L</w:t>
      </w:r>
      <w:r w:rsidR="001C5C2D" w:rsidRPr="007A37E1">
        <w:rPr>
          <w:rFonts w:ascii="Arial" w:hAnsi="Arial" w:cs="Arial"/>
          <w:lang w:val="en-US"/>
        </w:rPr>
        <w:t>evel 3 regulations. The M</w:t>
      </w:r>
      <w:r w:rsidR="007F7397" w:rsidRPr="007A37E1">
        <w:rPr>
          <w:rFonts w:ascii="Arial" w:hAnsi="Arial" w:cs="Arial"/>
          <w:lang w:val="en-US"/>
        </w:rPr>
        <w:t xml:space="preserve">inister was accordingly never called upon to defend the </w:t>
      </w:r>
      <w:r w:rsidR="00830D93" w:rsidRPr="007A37E1">
        <w:rPr>
          <w:rFonts w:ascii="Arial" w:hAnsi="Arial" w:cs="Arial"/>
          <w:lang w:val="en-US"/>
        </w:rPr>
        <w:t>L</w:t>
      </w:r>
      <w:r w:rsidR="007F7397" w:rsidRPr="007A37E1">
        <w:rPr>
          <w:rFonts w:ascii="Arial" w:hAnsi="Arial" w:cs="Arial"/>
          <w:lang w:val="en-US"/>
        </w:rPr>
        <w:t xml:space="preserve">evel 3 regulations. </w:t>
      </w:r>
      <w:r w:rsidR="00686E95" w:rsidRPr="007A37E1">
        <w:rPr>
          <w:rFonts w:ascii="Arial" w:hAnsi="Arial" w:cs="Arial"/>
          <w:lang w:val="en-US"/>
        </w:rPr>
        <w:t>T</w:t>
      </w:r>
      <w:r w:rsidR="007F7397" w:rsidRPr="007A37E1">
        <w:rPr>
          <w:rFonts w:ascii="Arial" w:hAnsi="Arial" w:cs="Arial"/>
          <w:lang w:val="en-US"/>
        </w:rPr>
        <w:t xml:space="preserve">he </w:t>
      </w:r>
      <w:r w:rsidR="001C5C2D" w:rsidRPr="007A37E1">
        <w:rPr>
          <w:rFonts w:ascii="Arial" w:hAnsi="Arial" w:cs="Arial"/>
          <w:lang w:val="en-US"/>
        </w:rPr>
        <w:t xml:space="preserve">Minister </w:t>
      </w:r>
      <w:r w:rsidR="00686E95" w:rsidRPr="007A37E1">
        <w:rPr>
          <w:rFonts w:ascii="Arial" w:hAnsi="Arial" w:cs="Arial"/>
          <w:lang w:val="en-US"/>
        </w:rPr>
        <w:t xml:space="preserve">was not </w:t>
      </w:r>
      <w:r w:rsidR="007F7397" w:rsidRPr="007A37E1">
        <w:rPr>
          <w:rFonts w:ascii="Arial" w:hAnsi="Arial" w:cs="Arial"/>
          <w:lang w:val="en-US"/>
        </w:rPr>
        <w:t>afforded an opportunity to do so.</w:t>
      </w:r>
      <w:r w:rsidR="007161C4" w:rsidRPr="007A37E1">
        <w:rPr>
          <w:rFonts w:ascii="Arial" w:hAnsi="Arial" w:cs="Arial"/>
          <w:lang w:val="en-US"/>
        </w:rPr>
        <w:t xml:space="preserve"> Nor was it permissible for the high court to strike down regulations </w:t>
      </w:r>
      <w:r w:rsidR="00830D93" w:rsidRPr="007A37E1">
        <w:rPr>
          <w:rFonts w:ascii="Arial" w:hAnsi="Arial" w:cs="Arial"/>
          <w:lang w:val="en-US"/>
        </w:rPr>
        <w:t xml:space="preserve">which </w:t>
      </w:r>
      <w:r w:rsidR="007161C4" w:rsidRPr="007A37E1">
        <w:rPr>
          <w:rFonts w:ascii="Arial" w:hAnsi="Arial" w:cs="Arial"/>
          <w:lang w:val="en-US"/>
        </w:rPr>
        <w:t>it had not examined for want of legality. Extrapolation may take place in drawing factual conclusions on the basis of inference</w:t>
      </w:r>
      <w:r w:rsidR="008B6E07" w:rsidRPr="007A37E1">
        <w:rPr>
          <w:rFonts w:ascii="Arial" w:hAnsi="Arial" w:cs="Arial"/>
          <w:lang w:val="en-US"/>
        </w:rPr>
        <w:t>. The legal invalidity of a body of regulations cannot be determined on the basis that since certain specific regulations are found wanting, all such regulations stand condemned.</w:t>
      </w:r>
    </w:p>
    <w:p w14:paraId="0138AF7E" w14:textId="77777777" w:rsidR="00643EA4" w:rsidRPr="007A37E1" w:rsidRDefault="00643EA4" w:rsidP="00974860">
      <w:pPr>
        <w:spacing w:line="360" w:lineRule="auto"/>
        <w:jc w:val="both"/>
        <w:rPr>
          <w:rFonts w:ascii="Arial" w:hAnsi="Arial" w:cs="Arial"/>
          <w:lang w:val="en-US"/>
        </w:rPr>
      </w:pPr>
    </w:p>
    <w:p w14:paraId="6E416DE2" w14:textId="5685E542" w:rsidR="007F7397" w:rsidRPr="007A37E1" w:rsidRDefault="00360C75" w:rsidP="0048320A">
      <w:pPr>
        <w:tabs>
          <w:tab w:val="left" w:pos="851"/>
        </w:tabs>
        <w:spacing w:line="360" w:lineRule="auto"/>
        <w:jc w:val="both"/>
        <w:rPr>
          <w:rFonts w:ascii="Arial" w:hAnsi="Arial" w:cs="Arial"/>
          <w:lang w:val="en-US"/>
        </w:rPr>
      </w:pPr>
      <w:r w:rsidRPr="007A37E1">
        <w:rPr>
          <w:rFonts w:ascii="Arial" w:hAnsi="Arial" w:cs="Arial"/>
          <w:lang w:val="en-US"/>
        </w:rPr>
        <w:t>[</w:t>
      </w:r>
      <w:r w:rsidR="007A549D" w:rsidRPr="007A37E1">
        <w:rPr>
          <w:rFonts w:ascii="Arial" w:hAnsi="Arial" w:cs="Arial"/>
          <w:lang w:val="en-US"/>
        </w:rPr>
        <w:t>8</w:t>
      </w:r>
      <w:r w:rsidR="00904BAC" w:rsidRPr="007A37E1">
        <w:rPr>
          <w:rFonts w:ascii="Arial" w:hAnsi="Arial" w:cs="Arial"/>
          <w:lang w:val="en-US"/>
        </w:rPr>
        <w:t>4</w:t>
      </w:r>
      <w:r w:rsidRPr="007A37E1">
        <w:rPr>
          <w:rFonts w:ascii="Arial" w:hAnsi="Arial" w:cs="Arial"/>
          <w:lang w:val="en-US"/>
        </w:rPr>
        <w:t>]</w:t>
      </w:r>
      <w:r w:rsidRPr="007A37E1">
        <w:rPr>
          <w:rFonts w:ascii="Arial" w:hAnsi="Arial" w:cs="Arial"/>
          <w:lang w:val="en-US"/>
        </w:rPr>
        <w:tab/>
      </w:r>
      <w:r w:rsidR="007F7397" w:rsidRPr="007A37E1">
        <w:rPr>
          <w:rFonts w:ascii="Arial" w:hAnsi="Arial" w:cs="Arial"/>
          <w:lang w:val="en-US"/>
        </w:rPr>
        <w:t xml:space="preserve">At the hearing of the matter, neither the </w:t>
      </w:r>
      <w:r w:rsidR="00802C8E" w:rsidRPr="007A37E1">
        <w:rPr>
          <w:rFonts w:ascii="Arial" w:hAnsi="Arial" w:cs="Arial"/>
          <w:lang w:val="en-US"/>
        </w:rPr>
        <w:t xml:space="preserve">high </w:t>
      </w:r>
      <w:r w:rsidR="007F7397" w:rsidRPr="007A37E1">
        <w:rPr>
          <w:rFonts w:ascii="Arial" w:hAnsi="Arial" w:cs="Arial"/>
          <w:lang w:val="en-US"/>
        </w:rPr>
        <w:t xml:space="preserve">court nor the parties </w:t>
      </w:r>
      <w:r w:rsidR="001C5C2D" w:rsidRPr="007A37E1">
        <w:rPr>
          <w:rFonts w:ascii="Arial" w:hAnsi="Arial" w:cs="Arial"/>
          <w:lang w:val="en-US"/>
        </w:rPr>
        <w:t>ha</w:t>
      </w:r>
      <w:r w:rsidR="007F7397" w:rsidRPr="007A37E1">
        <w:rPr>
          <w:rFonts w:ascii="Arial" w:hAnsi="Arial" w:cs="Arial"/>
          <w:lang w:val="en-US"/>
        </w:rPr>
        <w:t xml:space="preserve">d even so much as seen the </w:t>
      </w:r>
      <w:r w:rsidR="00802C8E" w:rsidRPr="007A37E1">
        <w:rPr>
          <w:rFonts w:ascii="Arial" w:hAnsi="Arial" w:cs="Arial"/>
          <w:lang w:val="en-US"/>
        </w:rPr>
        <w:t>L</w:t>
      </w:r>
      <w:r w:rsidR="007F7397" w:rsidRPr="007A37E1">
        <w:rPr>
          <w:rFonts w:ascii="Arial" w:hAnsi="Arial" w:cs="Arial"/>
          <w:lang w:val="en-US"/>
        </w:rPr>
        <w:t xml:space="preserve">evel 3 regulations. Indeed, the </w:t>
      </w:r>
      <w:r w:rsidR="00802C8E" w:rsidRPr="007A37E1">
        <w:rPr>
          <w:rFonts w:ascii="Arial" w:hAnsi="Arial" w:cs="Arial"/>
          <w:lang w:val="en-US"/>
        </w:rPr>
        <w:t xml:space="preserve">high </w:t>
      </w:r>
      <w:r w:rsidR="007F7397" w:rsidRPr="007A37E1">
        <w:rPr>
          <w:rFonts w:ascii="Arial" w:hAnsi="Arial" w:cs="Arial"/>
          <w:lang w:val="en-US"/>
        </w:rPr>
        <w:t xml:space="preserve">court had observed that the </w:t>
      </w:r>
      <w:r w:rsidR="00802C8E" w:rsidRPr="007A37E1">
        <w:rPr>
          <w:rFonts w:ascii="Arial" w:hAnsi="Arial" w:cs="Arial"/>
          <w:lang w:val="en-US"/>
        </w:rPr>
        <w:t>L</w:t>
      </w:r>
      <w:r w:rsidR="007F7397" w:rsidRPr="007A37E1">
        <w:rPr>
          <w:rFonts w:ascii="Arial" w:hAnsi="Arial" w:cs="Arial"/>
          <w:lang w:val="en-US"/>
        </w:rPr>
        <w:t>evel 3 regulations ‘have neither been placed before me nor have the parties address</w:t>
      </w:r>
      <w:r w:rsidRPr="007A37E1">
        <w:rPr>
          <w:rFonts w:ascii="Arial" w:hAnsi="Arial" w:cs="Arial"/>
          <w:lang w:val="en-US"/>
        </w:rPr>
        <w:t>ed</w:t>
      </w:r>
      <w:r w:rsidR="007F7397" w:rsidRPr="007A37E1">
        <w:rPr>
          <w:rFonts w:ascii="Arial" w:hAnsi="Arial" w:cs="Arial"/>
          <w:lang w:val="en-US"/>
        </w:rPr>
        <w:t xml:space="preserve"> me on them’. That notwithstanding, the high court appropriated to itself the right to consider and make a determination on the six </w:t>
      </w:r>
      <w:r w:rsidR="00802C8E" w:rsidRPr="007A37E1">
        <w:rPr>
          <w:rFonts w:ascii="Arial" w:hAnsi="Arial" w:cs="Arial"/>
          <w:lang w:val="en-US"/>
        </w:rPr>
        <w:t>L</w:t>
      </w:r>
      <w:r w:rsidR="007F7397" w:rsidRPr="007A37E1">
        <w:rPr>
          <w:rFonts w:ascii="Arial" w:hAnsi="Arial" w:cs="Arial"/>
          <w:lang w:val="en-US"/>
        </w:rPr>
        <w:t xml:space="preserve">evel 3 </w:t>
      </w:r>
      <w:r w:rsidR="00C86CDB" w:rsidRPr="007A37E1">
        <w:rPr>
          <w:rFonts w:ascii="Arial" w:hAnsi="Arial" w:cs="Arial"/>
          <w:lang w:val="en-US"/>
        </w:rPr>
        <w:t>provisions</w:t>
      </w:r>
      <w:r w:rsidR="001C5C2D" w:rsidRPr="007A37E1">
        <w:rPr>
          <w:rFonts w:ascii="Arial" w:hAnsi="Arial" w:cs="Arial"/>
          <w:lang w:val="en-US"/>
        </w:rPr>
        <w:t xml:space="preserve">. The judgment thus went </w:t>
      </w:r>
      <w:r w:rsidR="007F7397" w:rsidRPr="007A37E1">
        <w:rPr>
          <w:rFonts w:ascii="Arial" w:hAnsi="Arial" w:cs="Arial"/>
          <w:lang w:val="en-US"/>
        </w:rPr>
        <w:t>beyond the respondent</w:t>
      </w:r>
      <w:r w:rsidR="001C5C2D" w:rsidRPr="007A37E1">
        <w:rPr>
          <w:rFonts w:ascii="Arial" w:hAnsi="Arial" w:cs="Arial"/>
          <w:lang w:val="en-US"/>
        </w:rPr>
        <w:t>’</w:t>
      </w:r>
      <w:r w:rsidR="007F7397" w:rsidRPr="007A37E1">
        <w:rPr>
          <w:rFonts w:ascii="Arial" w:hAnsi="Arial" w:cs="Arial"/>
          <w:lang w:val="en-US"/>
        </w:rPr>
        <w:t xml:space="preserve">s pleaded case. </w:t>
      </w:r>
      <w:r w:rsidR="0052708D" w:rsidRPr="007A37E1">
        <w:rPr>
          <w:rFonts w:ascii="Arial" w:hAnsi="Arial" w:cs="Arial"/>
          <w:lang w:val="en-US"/>
        </w:rPr>
        <w:t xml:space="preserve">It goes without saying that </w:t>
      </w:r>
      <w:r w:rsidR="0052708D" w:rsidRPr="007A37E1">
        <w:rPr>
          <w:rFonts w:ascii="Arial" w:hAnsi="Arial" w:cs="Arial"/>
        </w:rPr>
        <w:t>any judgment should be the product of thorough consideration of, </w:t>
      </w:r>
      <w:r w:rsidR="0052708D" w:rsidRPr="007A37E1">
        <w:rPr>
          <w:rFonts w:ascii="Arial" w:hAnsi="Arial" w:cs="Arial"/>
          <w:i/>
          <w:iCs/>
        </w:rPr>
        <w:t>inter alia</w:t>
      </w:r>
      <w:r w:rsidR="0052708D" w:rsidRPr="007A37E1">
        <w:rPr>
          <w:rFonts w:ascii="Arial" w:hAnsi="Arial" w:cs="Arial"/>
        </w:rPr>
        <w:t xml:space="preserve">, forensically tested argument from both sides on </w:t>
      </w:r>
      <w:r w:rsidR="008B6E07" w:rsidRPr="007A37E1">
        <w:rPr>
          <w:rFonts w:ascii="Arial" w:hAnsi="Arial" w:cs="Arial"/>
        </w:rPr>
        <w:t>issues</w:t>
      </w:r>
      <w:r w:rsidR="0052708D" w:rsidRPr="007A37E1">
        <w:rPr>
          <w:rFonts w:ascii="Arial" w:hAnsi="Arial" w:cs="Arial"/>
        </w:rPr>
        <w:t xml:space="preserve"> that are necessary for the decision of the case.</w:t>
      </w:r>
      <w:r w:rsidR="0052708D" w:rsidRPr="007A37E1">
        <w:rPr>
          <w:rStyle w:val="FootnoteReference"/>
          <w:rFonts w:ascii="Arial" w:hAnsi="Arial" w:cs="Arial"/>
        </w:rPr>
        <w:footnoteReference w:id="17"/>
      </w:r>
      <w:r w:rsidR="0052708D" w:rsidRPr="007A37E1">
        <w:rPr>
          <w:rFonts w:ascii="Arial" w:hAnsi="Arial" w:cs="Arial"/>
        </w:rPr>
        <w:t xml:space="preserve"> </w:t>
      </w:r>
      <w:r w:rsidR="0052708D" w:rsidRPr="007A37E1">
        <w:rPr>
          <w:rFonts w:ascii="Arial" w:hAnsi="Arial" w:cs="Arial"/>
          <w:lang w:val="en-US"/>
        </w:rPr>
        <w:t>It ought to follow</w:t>
      </w:r>
      <w:r w:rsidR="001C5C2D" w:rsidRPr="007A37E1">
        <w:rPr>
          <w:rFonts w:ascii="Arial" w:hAnsi="Arial" w:cs="Arial"/>
          <w:lang w:val="en-US"/>
        </w:rPr>
        <w:t xml:space="preserve"> </w:t>
      </w:r>
      <w:r w:rsidR="0052708D" w:rsidRPr="007A37E1">
        <w:rPr>
          <w:rFonts w:ascii="Arial" w:hAnsi="Arial" w:cs="Arial"/>
          <w:lang w:val="en-US"/>
        </w:rPr>
        <w:t xml:space="preserve">that </w:t>
      </w:r>
      <w:r w:rsidR="007F7397" w:rsidRPr="007A37E1">
        <w:rPr>
          <w:rFonts w:ascii="Arial" w:hAnsi="Arial" w:cs="Arial"/>
          <w:lang w:val="en-US"/>
        </w:rPr>
        <w:t xml:space="preserve">on the strength of this </w:t>
      </w:r>
      <w:r w:rsidR="001C5C2D" w:rsidRPr="007A37E1">
        <w:rPr>
          <w:rFonts w:ascii="Arial" w:hAnsi="Arial" w:cs="Arial"/>
          <w:lang w:val="en-US"/>
        </w:rPr>
        <w:t xml:space="preserve">fundamental </w:t>
      </w:r>
      <w:r w:rsidR="007F7397" w:rsidRPr="007A37E1">
        <w:rPr>
          <w:rFonts w:ascii="Arial" w:hAnsi="Arial" w:cs="Arial"/>
          <w:lang w:val="en-US"/>
        </w:rPr>
        <w:t>error al</w:t>
      </w:r>
      <w:r w:rsidR="001C5C2D" w:rsidRPr="007A37E1">
        <w:rPr>
          <w:rFonts w:ascii="Arial" w:hAnsi="Arial" w:cs="Arial"/>
          <w:lang w:val="en-US"/>
        </w:rPr>
        <w:t xml:space="preserve">one, the </w:t>
      </w:r>
      <w:r w:rsidR="00802C8E" w:rsidRPr="007A37E1">
        <w:rPr>
          <w:rFonts w:ascii="Arial" w:hAnsi="Arial" w:cs="Arial"/>
          <w:lang w:val="en-US"/>
        </w:rPr>
        <w:t>h</w:t>
      </w:r>
      <w:r w:rsidR="001C5C2D" w:rsidRPr="007A37E1">
        <w:rPr>
          <w:rFonts w:ascii="Arial" w:hAnsi="Arial" w:cs="Arial"/>
          <w:lang w:val="en-US"/>
        </w:rPr>
        <w:t xml:space="preserve">igh </w:t>
      </w:r>
      <w:r w:rsidR="00802C8E" w:rsidRPr="007A37E1">
        <w:rPr>
          <w:rFonts w:ascii="Arial" w:hAnsi="Arial" w:cs="Arial"/>
          <w:lang w:val="en-US"/>
        </w:rPr>
        <w:t>c</w:t>
      </w:r>
      <w:r w:rsidR="007F7397" w:rsidRPr="007A37E1">
        <w:rPr>
          <w:rFonts w:ascii="Arial" w:hAnsi="Arial" w:cs="Arial"/>
          <w:lang w:val="en-US"/>
        </w:rPr>
        <w:t>ourt’s orders fall to be set aside.</w:t>
      </w:r>
    </w:p>
    <w:p w14:paraId="447A4BF2" w14:textId="70C90E65" w:rsidR="00B70BB5" w:rsidRPr="007A37E1" w:rsidRDefault="00B70BB5" w:rsidP="00974860">
      <w:pPr>
        <w:tabs>
          <w:tab w:val="left" w:pos="284"/>
        </w:tabs>
        <w:spacing w:line="360" w:lineRule="auto"/>
        <w:jc w:val="both"/>
        <w:rPr>
          <w:rFonts w:ascii="Arial" w:hAnsi="Arial" w:cs="Arial"/>
        </w:rPr>
      </w:pPr>
    </w:p>
    <w:p w14:paraId="5DD07B2A" w14:textId="44FEDD57" w:rsidR="00382421" w:rsidRPr="007A37E1" w:rsidRDefault="00360C75" w:rsidP="00974860">
      <w:pPr>
        <w:spacing w:line="360" w:lineRule="auto"/>
        <w:jc w:val="both"/>
        <w:rPr>
          <w:rFonts w:ascii="Arial" w:hAnsi="Arial" w:cs="Arial"/>
          <w:lang w:val="en-US"/>
        </w:rPr>
      </w:pPr>
      <w:r w:rsidRPr="007A37E1">
        <w:rPr>
          <w:rFonts w:ascii="Arial" w:hAnsi="Arial" w:cs="Arial"/>
          <w:lang w:val="en-US"/>
        </w:rPr>
        <w:t>[</w:t>
      </w:r>
      <w:r w:rsidR="007B7D4C" w:rsidRPr="007A37E1">
        <w:rPr>
          <w:rFonts w:ascii="Arial" w:hAnsi="Arial" w:cs="Arial"/>
          <w:lang w:val="en-US"/>
        </w:rPr>
        <w:t>8</w:t>
      </w:r>
      <w:r w:rsidR="00904BAC" w:rsidRPr="007A37E1">
        <w:rPr>
          <w:rFonts w:ascii="Arial" w:hAnsi="Arial" w:cs="Arial"/>
          <w:lang w:val="en-US"/>
        </w:rPr>
        <w:t>5</w:t>
      </w:r>
      <w:r w:rsidR="001C5C2D" w:rsidRPr="007A37E1">
        <w:rPr>
          <w:rFonts w:ascii="Arial" w:hAnsi="Arial" w:cs="Arial"/>
          <w:lang w:val="en-US"/>
        </w:rPr>
        <w:t>]</w:t>
      </w:r>
      <w:r w:rsidR="001C5C2D" w:rsidRPr="007A37E1">
        <w:rPr>
          <w:rFonts w:ascii="Arial" w:hAnsi="Arial" w:cs="Arial"/>
          <w:lang w:val="en-US"/>
        </w:rPr>
        <w:tab/>
      </w:r>
      <w:r w:rsidR="00EC0808" w:rsidRPr="007A37E1">
        <w:rPr>
          <w:rFonts w:ascii="Arial" w:hAnsi="Arial" w:cs="Arial"/>
          <w:lang w:val="en-US"/>
        </w:rPr>
        <w:t xml:space="preserve">What is more, even a superficial comparison reveals that the order </w:t>
      </w:r>
      <w:r w:rsidR="001C5C2D" w:rsidRPr="007A37E1">
        <w:rPr>
          <w:rFonts w:ascii="Arial" w:hAnsi="Arial" w:cs="Arial"/>
          <w:lang w:val="en-US"/>
        </w:rPr>
        <w:t>which</w:t>
      </w:r>
      <w:r w:rsidR="00CF592C" w:rsidRPr="007A37E1">
        <w:rPr>
          <w:rFonts w:ascii="Arial" w:hAnsi="Arial" w:cs="Arial"/>
          <w:lang w:val="en-US"/>
        </w:rPr>
        <w:t xml:space="preserve"> </w:t>
      </w:r>
      <w:r w:rsidR="00EC0808" w:rsidRPr="007A37E1">
        <w:rPr>
          <w:rFonts w:ascii="Arial" w:hAnsi="Arial" w:cs="Arial"/>
          <w:lang w:val="en-US"/>
        </w:rPr>
        <w:t xml:space="preserve">ultimately </w:t>
      </w:r>
      <w:r w:rsidR="001C5C2D" w:rsidRPr="007A37E1">
        <w:rPr>
          <w:rFonts w:ascii="Arial" w:hAnsi="Arial" w:cs="Arial"/>
          <w:lang w:val="en-US"/>
        </w:rPr>
        <w:t>issued</w:t>
      </w:r>
      <w:r w:rsidR="00EC0808" w:rsidRPr="007A37E1">
        <w:rPr>
          <w:rFonts w:ascii="Arial" w:hAnsi="Arial" w:cs="Arial"/>
          <w:lang w:val="en-US"/>
        </w:rPr>
        <w:t xml:space="preserve"> </w:t>
      </w:r>
      <w:r w:rsidR="00A7379D" w:rsidRPr="007A37E1">
        <w:rPr>
          <w:rFonts w:ascii="Arial" w:hAnsi="Arial" w:cs="Arial"/>
          <w:lang w:val="en-US"/>
        </w:rPr>
        <w:t>differed markedly from th</w:t>
      </w:r>
      <w:r w:rsidR="00EC0808" w:rsidRPr="007A37E1">
        <w:rPr>
          <w:rFonts w:ascii="Arial" w:hAnsi="Arial" w:cs="Arial"/>
          <w:lang w:val="en-US"/>
        </w:rPr>
        <w:t xml:space="preserve">e </w:t>
      </w:r>
      <w:r w:rsidR="00FD3D88" w:rsidRPr="007A37E1">
        <w:rPr>
          <w:rFonts w:ascii="Arial" w:hAnsi="Arial" w:cs="Arial"/>
          <w:lang w:val="en-US"/>
        </w:rPr>
        <w:t xml:space="preserve">compendious </w:t>
      </w:r>
      <w:r w:rsidR="00EC0808" w:rsidRPr="007A37E1">
        <w:rPr>
          <w:rFonts w:ascii="Arial" w:hAnsi="Arial" w:cs="Arial"/>
          <w:lang w:val="en-US"/>
        </w:rPr>
        <w:t>relief sought</w:t>
      </w:r>
      <w:r w:rsidR="00A7379D" w:rsidRPr="007A37E1">
        <w:rPr>
          <w:rFonts w:ascii="Arial" w:hAnsi="Arial" w:cs="Arial"/>
          <w:lang w:val="en-US"/>
        </w:rPr>
        <w:t>.</w:t>
      </w:r>
      <w:r w:rsidR="00FD3D88" w:rsidRPr="007A37E1">
        <w:rPr>
          <w:rFonts w:ascii="Arial" w:hAnsi="Arial" w:cs="Arial"/>
          <w:lang w:val="en-US"/>
        </w:rPr>
        <w:t xml:space="preserve"> First</w:t>
      </w:r>
      <w:r w:rsidR="007D7325" w:rsidRPr="007A37E1">
        <w:rPr>
          <w:rFonts w:ascii="Arial" w:hAnsi="Arial" w:cs="Arial"/>
          <w:lang w:val="en-US"/>
        </w:rPr>
        <w:t>,</w:t>
      </w:r>
      <w:r w:rsidR="00FD3D88" w:rsidRPr="007A37E1">
        <w:rPr>
          <w:rFonts w:ascii="Arial" w:hAnsi="Arial" w:cs="Arial"/>
          <w:lang w:val="en-US"/>
        </w:rPr>
        <w:t xml:space="preserve"> the declaration of the national state of disaster was not set aside. Second, regulations which had not been dealt with in the affidavits and had not yet come into force were set aside. In truth, the respondents obtained very little by way of relief of what had initially been sought and a great deal more than had actually been sought. </w:t>
      </w:r>
      <w:r w:rsidR="008B6E07" w:rsidRPr="007A37E1">
        <w:rPr>
          <w:rFonts w:ascii="Arial" w:hAnsi="Arial" w:cs="Arial"/>
          <w:lang w:val="en-US"/>
        </w:rPr>
        <w:t>T</w:t>
      </w:r>
      <w:r w:rsidR="00ED7CB4" w:rsidRPr="007A37E1">
        <w:rPr>
          <w:rFonts w:ascii="Arial" w:hAnsi="Arial" w:cs="Arial"/>
          <w:lang w:val="en-US"/>
        </w:rPr>
        <w:t xml:space="preserve">he high court ranged beyond what had been sought by the </w:t>
      </w:r>
      <w:r w:rsidR="008B6E07" w:rsidRPr="007A37E1">
        <w:rPr>
          <w:rFonts w:ascii="Arial" w:hAnsi="Arial" w:cs="Arial"/>
          <w:lang w:val="en-US"/>
        </w:rPr>
        <w:t>respondents</w:t>
      </w:r>
      <w:r w:rsidR="00ED7CB4" w:rsidRPr="007A37E1">
        <w:rPr>
          <w:rFonts w:ascii="Arial" w:hAnsi="Arial" w:cs="Arial"/>
          <w:lang w:val="en-US"/>
        </w:rPr>
        <w:t xml:space="preserve">. </w:t>
      </w:r>
      <w:r w:rsidR="001C5C2D" w:rsidRPr="007A37E1">
        <w:rPr>
          <w:rFonts w:ascii="Arial" w:hAnsi="Arial" w:cs="Arial"/>
          <w:lang w:val="en-US"/>
        </w:rPr>
        <w:t>T</w:t>
      </w:r>
      <w:r w:rsidR="00ED7CB4" w:rsidRPr="007A37E1">
        <w:rPr>
          <w:rFonts w:ascii="Arial" w:hAnsi="Arial" w:cs="Arial"/>
          <w:lang w:val="en-US"/>
        </w:rPr>
        <w:t>hus</w:t>
      </w:r>
      <w:r w:rsidR="00E40B54" w:rsidRPr="007A37E1">
        <w:rPr>
          <w:rFonts w:ascii="Arial" w:hAnsi="Arial" w:cs="Arial"/>
          <w:lang w:val="en-US"/>
        </w:rPr>
        <w:t xml:space="preserve">, not only </w:t>
      </w:r>
      <w:r w:rsidR="001C5C2D" w:rsidRPr="007A37E1">
        <w:rPr>
          <w:rFonts w:ascii="Arial" w:hAnsi="Arial" w:cs="Arial"/>
          <w:lang w:val="en-US"/>
        </w:rPr>
        <w:t>was the M</w:t>
      </w:r>
      <w:r w:rsidR="00E40B54" w:rsidRPr="007A37E1">
        <w:rPr>
          <w:rFonts w:ascii="Arial" w:hAnsi="Arial" w:cs="Arial"/>
          <w:lang w:val="en-US"/>
        </w:rPr>
        <w:t xml:space="preserve">inister </w:t>
      </w:r>
      <w:r w:rsidR="001C5C2D" w:rsidRPr="007A37E1">
        <w:rPr>
          <w:rFonts w:ascii="Arial" w:hAnsi="Arial" w:cs="Arial"/>
          <w:lang w:val="en-US"/>
        </w:rPr>
        <w:t xml:space="preserve">denied a proper hearing, but the respondents were granted relief that had never been sought. </w:t>
      </w:r>
      <w:r w:rsidR="00E40B54" w:rsidRPr="007A37E1">
        <w:rPr>
          <w:rFonts w:ascii="Arial" w:hAnsi="Arial" w:cs="Arial"/>
          <w:lang w:val="en-US"/>
        </w:rPr>
        <w:t>In that sense</w:t>
      </w:r>
      <w:r w:rsidR="00332011" w:rsidRPr="007A37E1">
        <w:rPr>
          <w:rFonts w:ascii="Arial" w:hAnsi="Arial" w:cs="Arial"/>
          <w:lang w:val="en-US"/>
        </w:rPr>
        <w:t>,</w:t>
      </w:r>
      <w:r w:rsidR="00E40B54" w:rsidRPr="007A37E1">
        <w:rPr>
          <w:rFonts w:ascii="Arial" w:hAnsi="Arial" w:cs="Arial"/>
          <w:lang w:val="en-US"/>
        </w:rPr>
        <w:t xml:space="preserve"> not only did the judgment suffer a failure of proper judicial reasoning, but it </w:t>
      </w:r>
      <w:r w:rsidR="00E40B54" w:rsidRPr="007A37E1">
        <w:rPr>
          <w:rFonts w:ascii="Arial" w:hAnsi="Arial" w:cs="Arial"/>
          <w:lang w:val="en-US"/>
        </w:rPr>
        <w:lastRenderedPageBreak/>
        <w:t xml:space="preserve">also failed to </w:t>
      </w:r>
      <w:r w:rsidRPr="007A37E1">
        <w:rPr>
          <w:rFonts w:ascii="Arial" w:hAnsi="Arial" w:cs="Arial"/>
        </w:rPr>
        <w:t>recognis</w:t>
      </w:r>
      <w:r w:rsidR="00E40B54" w:rsidRPr="007A37E1">
        <w:rPr>
          <w:rFonts w:ascii="Arial" w:hAnsi="Arial" w:cs="Arial"/>
        </w:rPr>
        <w:t>e</w:t>
      </w:r>
      <w:r w:rsidR="00E40B54" w:rsidRPr="007A37E1">
        <w:rPr>
          <w:rFonts w:ascii="Arial" w:hAnsi="Arial" w:cs="Arial"/>
          <w:lang w:val="en-US"/>
        </w:rPr>
        <w:t xml:space="preserve"> and respect</w:t>
      </w:r>
      <w:r w:rsidR="007D7325" w:rsidRPr="007A37E1">
        <w:rPr>
          <w:rFonts w:ascii="Arial" w:hAnsi="Arial" w:cs="Arial"/>
          <w:lang w:val="en-US"/>
        </w:rPr>
        <w:t xml:space="preserve"> – </w:t>
      </w:r>
      <w:r w:rsidR="00E40B54" w:rsidRPr="007A37E1">
        <w:rPr>
          <w:rFonts w:ascii="Arial" w:hAnsi="Arial" w:cs="Arial"/>
          <w:lang w:val="en-US"/>
        </w:rPr>
        <w:t xml:space="preserve">as it was constitutionally obliged to do – the </w:t>
      </w:r>
      <w:r w:rsidR="00900410" w:rsidRPr="007A37E1">
        <w:rPr>
          <w:rFonts w:ascii="Arial" w:hAnsi="Arial" w:cs="Arial"/>
          <w:lang w:val="en-US"/>
        </w:rPr>
        <w:t>limits of the judicial function, and hence the separation of powers</w:t>
      </w:r>
      <w:r w:rsidR="00E40B54" w:rsidRPr="007A37E1">
        <w:rPr>
          <w:rFonts w:ascii="Arial" w:hAnsi="Arial" w:cs="Arial"/>
          <w:lang w:val="en-US"/>
        </w:rPr>
        <w:t>.</w:t>
      </w:r>
      <w:r w:rsidR="00802D69" w:rsidRPr="007A37E1">
        <w:rPr>
          <w:rStyle w:val="FootnoteReference"/>
          <w:rFonts w:ascii="Arial" w:hAnsi="Arial" w:cs="Arial"/>
          <w:lang w:val="en-US"/>
        </w:rPr>
        <w:footnoteReference w:id="18"/>
      </w:r>
    </w:p>
    <w:p w14:paraId="6A7B8FA0" w14:textId="77777777" w:rsidR="00ED7CB4" w:rsidRPr="007A37E1" w:rsidRDefault="00ED7CB4" w:rsidP="00974860">
      <w:pPr>
        <w:spacing w:line="360" w:lineRule="auto"/>
        <w:jc w:val="both"/>
        <w:rPr>
          <w:rFonts w:ascii="Arial" w:hAnsi="Arial" w:cs="Arial"/>
          <w:lang w:val="en-US"/>
        </w:rPr>
      </w:pPr>
    </w:p>
    <w:p w14:paraId="023A0FB6" w14:textId="1072F682" w:rsidR="00B71202" w:rsidRPr="007A37E1" w:rsidRDefault="00360C75" w:rsidP="00974860">
      <w:pPr>
        <w:spacing w:line="360" w:lineRule="auto"/>
        <w:jc w:val="both"/>
        <w:rPr>
          <w:rFonts w:ascii="Arial" w:hAnsi="Arial" w:cs="Arial"/>
        </w:rPr>
      </w:pPr>
      <w:r w:rsidRPr="007A37E1">
        <w:rPr>
          <w:rFonts w:ascii="Arial" w:hAnsi="Arial" w:cs="Arial"/>
          <w:lang w:val="en-US"/>
        </w:rPr>
        <w:t>[</w:t>
      </w:r>
      <w:r w:rsidR="007B7D4C" w:rsidRPr="007A37E1">
        <w:rPr>
          <w:rFonts w:ascii="Arial" w:hAnsi="Arial" w:cs="Arial"/>
          <w:lang w:val="en-US"/>
        </w:rPr>
        <w:t>8</w:t>
      </w:r>
      <w:r w:rsidR="00904BAC" w:rsidRPr="007A37E1">
        <w:rPr>
          <w:rFonts w:ascii="Arial" w:hAnsi="Arial" w:cs="Arial"/>
          <w:lang w:val="en-US"/>
        </w:rPr>
        <w:t>6</w:t>
      </w:r>
      <w:r w:rsidR="00382421" w:rsidRPr="007A37E1">
        <w:rPr>
          <w:rFonts w:ascii="Arial" w:hAnsi="Arial" w:cs="Arial"/>
          <w:lang w:val="en-US"/>
        </w:rPr>
        <w:t>]</w:t>
      </w:r>
      <w:r w:rsidR="00382421" w:rsidRPr="007A37E1">
        <w:rPr>
          <w:rFonts w:ascii="Arial" w:hAnsi="Arial" w:cs="Arial"/>
          <w:lang w:val="en-US"/>
        </w:rPr>
        <w:tab/>
      </w:r>
      <w:r w:rsidR="0081731E" w:rsidRPr="007A37E1">
        <w:rPr>
          <w:rFonts w:ascii="Arial" w:hAnsi="Arial" w:cs="Arial"/>
          <w:lang w:val="en-US"/>
        </w:rPr>
        <w:t xml:space="preserve">As it was put </w:t>
      </w:r>
      <w:r w:rsidR="00B71202" w:rsidRPr="007A37E1">
        <w:rPr>
          <w:rFonts w:ascii="Arial" w:hAnsi="Arial" w:cs="Arial"/>
          <w:lang w:val="en-US"/>
        </w:rPr>
        <w:t xml:space="preserve">in </w:t>
      </w:r>
      <w:r w:rsidR="00B71202" w:rsidRPr="007A37E1">
        <w:rPr>
          <w:rFonts w:ascii="Arial" w:hAnsi="Arial" w:cs="Arial"/>
          <w:i/>
        </w:rPr>
        <w:t>National Director of Public Prosecutio</w:t>
      </w:r>
      <w:r w:rsidR="001566DD" w:rsidRPr="007A37E1">
        <w:rPr>
          <w:rFonts w:ascii="Arial" w:hAnsi="Arial" w:cs="Arial"/>
          <w:i/>
        </w:rPr>
        <w:t>ns v Zuma</w:t>
      </w:r>
      <w:r w:rsidR="001566DD" w:rsidRPr="007A37E1">
        <w:rPr>
          <w:rFonts w:ascii="Arial" w:hAnsi="Arial" w:cs="Arial"/>
        </w:rPr>
        <w:t>:</w:t>
      </w:r>
    </w:p>
    <w:p w14:paraId="24336AF6" w14:textId="1D649ADA" w:rsidR="00B71202" w:rsidRPr="007A37E1" w:rsidRDefault="00B71202" w:rsidP="003051D4">
      <w:pPr>
        <w:spacing w:after="120" w:line="360" w:lineRule="auto"/>
        <w:jc w:val="both"/>
        <w:rPr>
          <w:rFonts w:ascii="Arial" w:hAnsi="Arial" w:cs="Arial"/>
          <w:sz w:val="22"/>
          <w:szCs w:val="22"/>
        </w:rPr>
      </w:pPr>
      <w:r w:rsidRPr="007A37E1">
        <w:rPr>
          <w:rFonts w:ascii="Arial" w:hAnsi="Arial" w:cs="Arial"/>
          <w:sz w:val="22"/>
          <w:szCs w:val="22"/>
        </w:rPr>
        <w:t>‘It is crucial to provide an exposition of the functions of a judicial officer because, for reasons that are impossible to fathom, the court below failed to adhere to some basic tenets, in particular that in exercising the judicial function judges are themselves constrained by the law. The underlying theme of the court’s judgment was that the judiciary is independent; that judges are no respecters of persons; and that they stand between the subject and any attempted encroachments on liberties by the executive (para 161-162).</w:t>
      </w:r>
      <w:r w:rsidR="005F33C3" w:rsidRPr="007A37E1">
        <w:rPr>
          <w:rFonts w:ascii="Arial" w:hAnsi="Arial" w:cs="Arial"/>
          <w:b/>
          <w:bCs/>
          <w:sz w:val="22"/>
          <w:szCs w:val="22"/>
          <w:vertAlign w:val="superscript"/>
        </w:rPr>
        <w:t xml:space="preserve"> </w:t>
      </w:r>
      <w:r w:rsidRPr="007A37E1">
        <w:rPr>
          <w:rFonts w:ascii="Arial" w:hAnsi="Arial" w:cs="Arial"/>
          <w:sz w:val="22"/>
          <w:szCs w:val="22"/>
        </w:rPr>
        <w:t>This commendable approach was unfortunately subverted by a failure to confine the judgment to the issues before the court; by deciding matters that were not germane or relevant; by creating new factual issues; by making gratuitous findings against persons who were not called upon to defend themselves; by failing to distinguish between allegation, fact and suspicion; and by transgressing the proper boundaries between judicial, executive and legislative functions.</w:t>
      </w:r>
    </w:p>
    <w:p w14:paraId="639B3801" w14:textId="2567A4D5" w:rsidR="00B71202" w:rsidRPr="007A37E1" w:rsidRDefault="00B71202" w:rsidP="00317026">
      <w:pPr>
        <w:spacing w:line="360" w:lineRule="auto"/>
        <w:jc w:val="both"/>
        <w:rPr>
          <w:rFonts w:ascii="Arial" w:hAnsi="Arial" w:cs="Arial"/>
          <w:sz w:val="22"/>
          <w:szCs w:val="22"/>
        </w:rPr>
      </w:pPr>
      <w:r w:rsidRPr="007A37E1">
        <w:rPr>
          <w:rFonts w:ascii="Arial" w:hAnsi="Arial" w:cs="Arial"/>
          <w:sz w:val="22"/>
          <w:szCs w:val="22"/>
        </w:rPr>
        <w:t>Judges as members of civil society are entitled to hold views about issues of the day and they may express their views provided they do not compromise their judicial office</w:t>
      </w:r>
      <w:r w:rsidR="00A27244" w:rsidRPr="007A37E1">
        <w:rPr>
          <w:rFonts w:ascii="Arial" w:hAnsi="Arial" w:cs="Arial"/>
          <w:sz w:val="22"/>
          <w:szCs w:val="22"/>
        </w:rPr>
        <w:t>. . ..</w:t>
      </w:r>
      <w:r w:rsidRPr="007A37E1">
        <w:rPr>
          <w:rFonts w:ascii="Arial" w:hAnsi="Arial" w:cs="Arial"/>
          <w:sz w:val="22"/>
          <w:szCs w:val="22"/>
        </w:rPr>
        <w:t>’</w:t>
      </w:r>
      <w:r w:rsidR="001566DD" w:rsidRPr="007A37E1">
        <w:rPr>
          <w:rStyle w:val="FootnoteReference"/>
          <w:rFonts w:ascii="Arial" w:hAnsi="Arial" w:cs="Arial"/>
          <w:sz w:val="22"/>
          <w:szCs w:val="22"/>
        </w:rPr>
        <w:footnoteReference w:id="19"/>
      </w:r>
    </w:p>
    <w:p w14:paraId="6C4E76F3" w14:textId="77777777" w:rsidR="00B71202" w:rsidRPr="007A37E1" w:rsidRDefault="00B71202" w:rsidP="00974860">
      <w:pPr>
        <w:spacing w:line="360" w:lineRule="auto"/>
        <w:jc w:val="both"/>
        <w:rPr>
          <w:rFonts w:ascii="Arial" w:hAnsi="Arial" w:cs="Arial"/>
          <w:lang w:val="en-US"/>
        </w:rPr>
      </w:pPr>
    </w:p>
    <w:p w14:paraId="5F376B69" w14:textId="7BC9CE4F" w:rsidR="0081731E" w:rsidRPr="007A37E1" w:rsidRDefault="00360C75" w:rsidP="00974860">
      <w:pPr>
        <w:spacing w:line="360" w:lineRule="auto"/>
        <w:jc w:val="both"/>
        <w:rPr>
          <w:rFonts w:ascii="Arial" w:hAnsi="Arial" w:cs="Arial"/>
          <w:i/>
          <w:lang w:val="en-US"/>
        </w:rPr>
      </w:pPr>
      <w:r w:rsidRPr="007A37E1">
        <w:rPr>
          <w:rFonts w:ascii="Arial" w:hAnsi="Arial" w:cs="Arial"/>
          <w:lang w:val="en-US"/>
        </w:rPr>
        <w:t>[</w:t>
      </w:r>
      <w:r w:rsidR="00904BAC" w:rsidRPr="007A37E1">
        <w:rPr>
          <w:rFonts w:ascii="Arial" w:hAnsi="Arial" w:cs="Arial"/>
          <w:lang w:val="en-US"/>
        </w:rPr>
        <w:t>87</w:t>
      </w:r>
      <w:r w:rsidR="001566DD" w:rsidRPr="007A37E1">
        <w:rPr>
          <w:rFonts w:ascii="Arial" w:hAnsi="Arial" w:cs="Arial"/>
          <w:lang w:val="en-US"/>
        </w:rPr>
        <w:t>]</w:t>
      </w:r>
      <w:r w:rsidR="001566DD" w:rsidRPr="007A37E1">
        <w:rPr>
          <w:rFonts w:ascii="Arial" w:hAnsi="Arial" w:cs="Arial"/>
          <w:lang w:val="en-US"/>
        </w:rPr>
        <w:tab/>
        <w:t xml:space="preserve">Likewise, in </w:t>
      </w:r>
      <w:r w:rsidR="0081731E" w:rsidRPr="007A37E1">
        <w:rPr>
          <w:rFonts w:ascii="Arial" w:hAnsi="Arial" w:cs="Arial"/>
          <w:i/>
          <w:lang w:val="en-US"/>
        </w:rPr>
        <w:t>Fischer v Ramahlele</w:t>
      </w:r>
      <w:r w:rsidR="00317026" w:rsidRPr="007A37E1">
        <w:rPr>
          <w:rFonts w:ascii="Arial" w:hAnsi="Arial" w:cs="Arial"/>
          <w:i/>
          <w:lang w:val="en-US"/>
        </w:rPr>
        <w:t>,</w:t>
      </w:r>
      <w:r w:rsidR="001566DD" w:rsidRPr="007A37E1">
        <w:rPr>
          <w:rFonts w:ascii="Arial" w:hAnsi="Arial" w:cs="Arial"/>
          <w:i/>
          <w:lang w:val="en-US"/>
        </w:rPr>
        <w:t xml:space="preserve"> </w:t>
      </w:r>
      <w:r w:rsidR="001566DD" w:rsidRPr="007A37E1">
        <w:rPr>
          <w:rFonts w:ascii="Arial" w:hAnsi="Arial" w:cs="Arial"/>
          <w:lang w:val="en-US"/>
        </w:rPr>
        <w:t>it was stated</w:t>
      </w:r>
      <w:r w:rsidR="0081731E" w:rsidRPr="007A37E1">
        <w:rPr>
          <w:rFonts w:ascii="Arial" w:hAnsi="Arial" w:cs="Arial"/>
          <w:lang w:val="en-US"/>
        </w:rPr>
        <w:t>:</w:t>
      </w:r>
    </w:p>
    <w:p w14:paraId="58CF78CE" w14:textId="59E01AFF" w:rsidR="0081731E" w:rsidRPr="007A37E1" w:rsidRDefault="0081731E" w:rsidP="003051D4">
      <w:pPr>
        <w:spacing w:after="120" w:line="360" w:lineRule="auto"/>
        <w:jc w:val="both"/>
        <w:rPr>
          <w:rFonts w:ascii="Arial" w:hAnsi="Arial" w:cs="Arial"/>
          <w:sz w:val="22"/>
          <w:szCs w:val="22"/>
        </w:rPr>
      </w:pPr>
      <w:r w:rsidRPr="007A37E1">
        <w:rPr>
          <w:rFonts w:ascii="Arial" w:hAnsi="Arial" w:cs="Arial"/>
          <w:sz w:val="22"/>
          <w:szCs w:val="22"/>
        </w:rPr>
        <w:t xml:space="preserve">‘Turning then to the nature of civil litigation in our adversarial system it is for the parties, either in the pleadings or affidavits, which serve the function of both pleadings and evidence, to set out and define the nature of their dispute and it is for the court to adjudicate upon those issues. That is so even where the dispute involves an issue pertaining to the basic human rights guaranteed by our Constitution, for </w:t>
      </w:r>
      <w:r w:rsidR="00047803" w:rsidRPr="007A37E1">
        <w:rPr>
          <w:rFonts w:ascii="Arial" w:hAnsi="Arial" w:cs="Arial"/>
          <w:sz w:val="22"/>
          <w:szCs w:val="22"/>
        </w:rPr>
        <w:t>“</w:t>
      </w:r>
      <w:r w:rsidRPr="007A37E1">
        <w:rPr>
          <w:rFonts w:ascii="Arial" w:hAnsi="Arial" w:cs="Arial"/>
          <w:sz w:val="22"/>
          <w:szCs w:val="22"/>
        </w:rPr>
        <w:t>it is impermissible for a party to rely on a constitutional complaint that was not pleaded.</w:t>
      </w:r>
      <w:r w:rsidR="00047803" w:rsidRPr="007A37E1">
        <w:rPr>
          <w:rFonts w:ascii="Arial" w:hAnsi="Arial" w:cs="Arial"/>
          <w:sz w:val="22"/>
          <w:szCs w:val="22"/>
        </w:rPr>
        <w:t>”</w:t>
      </w:r>
      <w:r w:rsidRPr="007A37E1">
        <w:rPr>
          <w:rFonts w:ascii="Arial" w:hAnsi="Arial" w:cs="Arial"/>
          <w:sz w:val="22"/>
          <w:szCs w:val="22"/>
        </w:rPr>
        <w:t> There are cases where the parties may expand those issues by the way in which they conduct the proceedings. There may also be instances where the court may </w:t>
      </w:r>
      <w:r w:rsidRPr="007A37E1">
        <w:rPr>
          <w:rFonts w:ascii="Arial" w:hAnsi="Arial" w:cs="Arial"/>
          <w:i/>
          <w:iCs/>
          <w:sz w:val="22"/>
          <w:szCs w:val="22"/>
        </w:rPr>
        <w:t>mero motu</w:t>
      </w:r>
      <w:r w:rsidRPr="007A37E1">
        <w:rPr>
          <w:rFonts w:ascii="Arial" w:hAnsi="Arial" w:cs="Arial"/>
          <w:sz w:val="22"/>
          <w:szCs w:val="22"/>
        </w:rPr>
        <w:t xml:space="preserve"> raise a question of law that emerges fully from the evidence and is necessary for the decision of the case. That is subject to the proviso that no prejudice will be caused to any party by its being </w:t>
      </w:r>
      <w:r w:rsidRPr="007A37E1">
        <w:rPr>
          <w:rFonts w:ascii="Arial" w:hAnsi="Arial" w:cs="Arial"/>
          <w:sz w:val="22"/>
          <w:szCs w:val="22"/>
        </w:rPr>
        <w:lastRenderedPageBreak/>
        <w:t>decided. Beyond that it is for the parties to identify the dispute and for the court to determine that dispute and that dispute alone.</w:t>
      </w:r>
    </w:p>
    <w:p w14:paraId="2A5A4EE1" w14:textId="2E520C66" w:rsidR="0081731E" w:rsidRPr="007A37E1" w:rsidRDefault="0081731E" w:rsidP="003051D4">
      <w:pPr>
        <w:spacing w:after="120" w:line="360" w:lineRule="auto"/>
        <w:jc w:val="both"/>
        <w:rPr>
          <w:rFonts w:ascii="Arial" w:hAnsi="Arial" w:cs="Arial"/>
          <w:sz w:val="22"/>
          <w:szCs w:val="22"/>
        </w:rPr>
      </w:pPr>
      <w:r w:rsidRPr="007A37E1">
        <w:rPr>
          <w:rFonts w:ascii="Arial" w:hAnsi="Arial" w:cs="Arial"/>
          <w:sz w:val="22"/>
          <w:szCs w:val="22"/>
        </w:rPr>
        <w:t>It is not for the court to raise new issues not traversed in the pleadings or affidavits, however interesting or important they may seem to it, and to insist that the parties deal with them. The parties may have their own reasons for not raising those issues. A court may sometimes suggest a line of argument or an approach to a case that has not previously occurred to the parties. However, it is then for the parties to determine whether they wish to adopt the new point. They may choose not to do so because of its implications for the further conduct of the proceedings, such as an adjournment or the need to amend pleadings or call additional evidence. They may feel that their case is sufficiently strong as it stands to require no supplementation. They may simply wish the issues already identified to be determined because they are relevant to future matters and the relationship between the parties. That is for them to decide and not the court. If they wish to stand by the issues they have formulated, the court may not raise new ones or compel them to deal with matters other than those they have formulated in the pleadings or affidavits.</w:t>
      </w:r>
    </w:p>
    <w:p w14:paraId="2968A0A4" w14:textId="4AE46E10" w:rsidR="0081731E" w:rsidRPr="007A37E1" w:rsidRDefault="0081731E" w:rsidP="00974860">
      <w:pPr>
        <w:spacing w:line="360" w:lineRule="auto"/>
        <w:jc w:val="both"/>
        <w:rPr>
          <w:rFonts w:ascii="Arial" w:hAnsi="Arial" w:cs="Arial"/>
          <w:sz w:val="22"/>
          <w:szCs w:val="22"/>
        </w:rPr>
      </w:pPr>
      <w:r w:rsidRPr="007A37E1">
        <w:rPr>
          <w:rFonts w:ascii="Arial" w:hAnsi="Arial" w:cs="Arial"/>
          <w:sz w:val="22"/>
          <w:szCs w:val="22"/>
        </w:rPr>
        <w:t>This last point is of great importance because it calls for judicial restraint.</w:t>
      </w:r>
      <w:r w:rsidR="001566DD" w:rsidRPr="007A37E1">
        <w:rPr>
          <w:rFonts w:ascii="Arial" w:hAnsi="Arial" w:cs="Arial"/>
          <w:sz w:val="22"/>
          <w:szCs w:val="22"/>
        </w:rPr>
        <w:t xml:space="preserve"> . . .</w:t>
      </w:r>
      <w:r w:rsidRPr="007A37E1">
        <w:rPr>
          <w:rFonts w:ascii="Arial" w:hAnsi="Arial" w:cs="Arial"/>
          <w:sz w:val="22"/>
          <w:szCs w:val="22"/>
        </w:rPr>
        <w:t>’</w:t>
      </w:r>
      <w:r w:rsidR="001566DD" w:rsidRPr="007A37E1">
        <w:rPr>
          <w:rStyle w:val="FootnoteReference"/>
          <w:rFonts w:ascii="Arial" w:hAnsi="Arial" w:cs="Arial"/>
          <w:lang w:val="en-US"/>
        </w:rPr>
        <w:footnoteReference w:id="20"/>
      </w:r>
      <w:r w:rsidRPr="007A37E1">
        <w:rPr>
          <w:rFonts w:ascii="Arial" w:hAnsi="Arial" w:cs="Arial"/>
          <w:sz w:val="22"/>
          <w:szCs w:val="22"/>
        </w:rPr>
        <w:t> </w:t>
      </w:r>
    </w:p>
    <w:p w14:paraId="2288D1CB" w14:textId="77777777" w:rsidR="0058048A" w:rsidRPr="007A37E1" w:rsidRDefault="0058048A" w:rsidP="00974860">
      <w:pPr>
        <w:spacing w:line="360" w:lineRule="auto"/>
        <w:jc w:val="both"/>
        <w:rPr>
          <w:rFonts w:ascii="Arial" w:hAnsi="Arial" w:cs="Arial"/>
          <w:sz w:val="22"/>
          <w:szCs w:val="22"/>
        </w:rPr>
      </w:pPr>
    </w:p>
    <w:p w14:paraId="1414EF71" w14:textId="7E9FAB0C" w:rsidR="001566DD" w:rsidRPr="007A37E1" w:rsidRDefault="00360C75" w:rsidP="00974860">
      <w:pPr>
        <w:spacing w:line="360" w:lineRule="auto"/>
        <w:jc w:val="both"/>
        <w:rPr>
          <w:rFonts w:ascii="Arial" w:hAnsi="Arial" w:cs="Arial"/>
          <w:lang w:val="en-US"/>
        </w:rPr>
      </w:pPr>
      <w:r w:rsidRPr="007A37E1">
        <w:rPr>
          <w:rFonts w:ascii="Arial" w:hAnsi="Arial" w:cs="Arial"/>
          <w:lang w:val="en-US"/>
        </w:rPr>
        <w:lastRenderedPageBreak/>
        <w:t>[</w:t>
      </w:r>
      <w:r w:rsidR="007A549D" w:rsidRPr="007A37E1">
        <w:rPr>
          <w:rFonts w:ascii="Arial" w:hAnsi="Arial" w:cs="Arial"/>
          <w:lang w:val="en-US"/>
        </w:rPr>
        <w:t>8</w:t>
      </w:r>
      <w:r w:rsidR="00904BAC" w:rsidRPr="007A37E1">
        <w:rPr>
          <w:rFonts w:ascii="Arial" w:hAnsi="Arial" w:cs="Arial"/>
          <w:lang w:val="en-US"/>
        </w:rPr>
        <w:t>8</w:t>
      </w:r>
      <w:r w:rsidR="002B4E4C" w:rsidRPr="007A37E1">
        <w:rPr>
          <w:rFonts w:ascii="Arial" w:hAnsi="Arial" w:cs="Arial"/>
          <w:lang w:val="en-US"/>
        </w:rPr>
        <w:t>]</w:t>
      </w:r>
      <w:r w:rsidR="002B4E4C" w:rsidRPr="007A37E1">
        <w:rPr>
          <w:rFonts w:ascii="Arial" w:hAnsi="Arial" w:cs="Arial"/>
          <w:lang w:val="en-US"/>
        </w:rPr>
        <w:tab/>
      </w:r>
      <w:r w:rsidR="00382421" w:rsidRPr="007A37E1">
        <w:rPr>
          <w:rFonts w:ascii="Arial" w:hAnsi="Arial" w:cs="Arial"/>
          <w:lang w:val="en-US"/>
        </w:rPr>
        <w:t>T</w:t>
      </w:r>
      <w:r w:rsidR="001566DD" w:rsidRPr="007A37E1">
        <w:rPr>
          <w:rFonts w:ascii="Arial" w:hAnsi="Arial" w:cs="Arial"/>
          <w:lang w:val="en-US"/>
        </w:rPr>
        <w:t xml:space="preserve">he </w:t>
      </w:r>
      <w:r w:rsidR="00382421" w:rsidRPr="007A37E1">
        <w:rPr>
          <w:rFonts w:ascii="Arial" w:hAnsi="Arial" w:cs="Arial"/>
          <w:lang w:val="en-US"/>
        </w:rPr>
        <w:t>foundation of the respondents’ case w</w:t>
      </w:r>
      <w:r w:rsidR="00900410" w:rsidRPr="007A37E1">
        <w:rPr>
          <w:rFonts w:ascii="Arial" w:hAnsi="Arial" w:cs="Arial"/>
          <w:lang w:val="en-US"/>
        </w:rPr>
        <w:t>as</w:t>
      </w:r>
      <w:r w:rsidR="00382421" w:rsidRPr="007A37E1">
        <w:rPr>
          <w:rFonts w:ascii="Arial" w:hAnsi="Arial" w:cs="Arial"/>
          <w:lang w:val="en-US"/>
        </w:rPr>
        <w:t xml:space="preserve"> </w:t>
      </w:r>
      <w:r w:rsidR="00686E95" w:rsidRPr="007A37E1">
        <w:rPr>
          <w:rFonts w:ascii="Arial" w:hAnsi="Arial" w:cs="Arial"/>
          <w:lang w:val="en-US"/>
        </w:rPr>
        <w:t xml:space="preserve">based upon </w:t>
      </w:r>
      <w:r w:rsidR="00382421" w:rsidRPr="007A37E1">
        <w:rPr>
          <w:rFonts w:ascii="Arial" w:hAnsi="Arial" w:cs="Arial"/>
          <w:lang w:val="en-US"/>
        </w:rPr>
        <w:t xml:space="preserve">sweeping generalisations and broad conclusions. </w:t>
      </w:r>
      <w:r w:rsidR="00D00B5B" w:rsidRPr="007A37E1">
        <w:rPr>
          <w:rFonts w:ascii="Arial" w:hAnsi="Arial" w:cs="Arial"/>
          <w:lang w:val="en-US"/>
        </w:rPr>
        <w:t>In the first place, the respondents did not file any confirmatory affidavits</w:t>
      </w:r>
      <w:r w:rsidR="00382421" w:rsidRPr="007A37E1">
        <w:rPr>
          <w:rFonts w:ascii="Arial" w:hAnsi="Arial" w:cs="Arial"/>
          <w:lang w:val="en-US"/>
        </w:rPr>
        <w:t xml:space="preserve"> </w:t>
      </w:r>
      <w:r w:rsidR="00D00B5B" w:rsidRPr="007A37E1">
        <w:rPr>
          <w:rFonts w:ascii="Arial" w:hAnsi="Arial" w:cs="Arial"/>
          <w:lang w:val="en-US"/>
        </w:rPr>
        <w:t xml:space="preserve">from those persons who had allegedly complained to Mr </w:t>
      </w:r>
      <w:r w:rsidR="00384535" w:rsidRPr="007A37E1">
        <w:rPr>
          <w:rFonts w:ascii="Arial" w:hAnsi="Arial" w:cs="Arial"/>
          <w:lang w:val="en-US"/>
        </w:rPr>
        <w:t>d</w:t>
      </w:r>
      <w:r w:rsidR="00D00B5B" w:rsidRPr="007A37E1">
        <w:rPr>
          <w:rFonts w:ascii="Arial" w:hAnsi="Arial" w:cs="Arial"/>
          <w:lang w:val="en-US"/>
        </w:rPr>
        <w:t>e Beer about the hardships that they we</w:t>
      </w:r>
      <w:r w:rsidR="00382421" w:rsidRPr="007A37E1">
        <w:rPr>
          <w:rFonts w:ascii="Arial" w:hAnsi="Arial" w:cs="Arial"/>
          <w:lang w:val="en-US"/>
        </w:rPr>
        <w:t>r</w:t>
      </w:r>
      <w:r w:rsidR="00D00B5B" w:rsidRPr="007A37E1">
        <w:rPr>
          <w:rFonts w:ascii="Arial" w:hAnsi="Arial" w:cs="Arial"/>
          <w:lang w:val="en-US"/>
        </w:rPr>
        <w:t xml:space="preserve">e experiencing. In the second place, Mr </w:t>
      </w:r>
      <w:r w:rsidR="00384535" w:rsidRPr="007A37E1">
        <w:rPr>
          <w:rFonts w:ascii="Arial" w:hAnsi="Arial" w:cs="Arial"/>
          <w:lang w:val="en-US"/>
        </w:rPr>
        <w:t>d</w:t>
      </w:r>
      <w:r w:rsidR="00D00B5B" w:rsidRPr="007A37E1">
        <w:rPr>
          <w:rFonts w:ascii="Arial" w:hAnsi="Arial" w:cs="Arial"/>
          <w:lang w:val="en-US"/>
        </w:rPr>
        <w:t xml:space="preserve">e Beer simply </w:t>
      </w:r>
      <w:r w:rsidR="00382421" w:rsidRPr="007A37E1">
        <w:rPr>
          <w:rFonts w:ascii="Arial" w:hAnsi="Arial" w:cs="Arial"/>
          <w:lang w:val="en-US"/>
        </w:rPr>
        <w:t>annex</w:t>
      </w:r>
      <w:r w:rsidR="00D00B5B" w:rsidRPr="007A37E1">
        <w:rPr>
          <w:rFonts w:ascii="Arial" w:hAnsi="Arial" w:cs="Arial"/>
          <w:lang w:val="en-US"/>
        </w:rPr>
        <w:t>ed v</w:t>
      </w:r>
      <w:r w:rsidR="002B4E4C" w:rsidRPr="007A37E1">
        <w:rPr>
          <w:rFonts w:ascii="Arial" w:hAnsi="Arial" w:cs="Arial"/>
          <w:lang w:val="en-US"/>
        </w:rPr>
        <w:t>arious reports to his affidavit</w:t>
      </w:r>
      <w:r w:rsidR="00917747" w:rsidRPr="007A37E1">
        <w:rPr>
          <w:rFonts w:ascii="Arial" w:hAnsi="Arial" w:cs="Arial"/>
          <w:lang w:val="en-US"/>
        </w:rPr>
        <w:t xml:space="preserve"> </w:t>
      </w:r>
      <w:r w:rsidR="002B4E4C" w:rsidRPr="007A37E1">
        <w:rPr>
          <w:rFonts w:ascii="Arial" w:hAnsi="Arial" w:cs="Arial"/>
          <w:lang w:val="en-US"/>
        </w:rPr>
        <w:t>(</w:t>
      </w:r>
      <w:r w:rsidR="00D00B5B" w:rsidRPr="007A37E1">
        <w:rPr>
          <w:rFonts w:ascii="Arial" w:hAnsi="Arial" w:cs="Arial"/>
          <w:lang w:val="en-US"/>
        </w:rPr>
        <w:t>the provenance of which was not always clear</w:t>
      </w:r>
      <w:r w:rsidR="002B4E4C" w:rsidRPr="007A37E1">
        <w:rPr>
          <w:rFonts w:ascii="Arial" w:hAnsi="Arial" w:cs="Arial"/>
          <w:lang w:val="en-US"/>
        </w:rPr>
        <w:t>)</w:t>
      </w:r>
      <w:r w:rsidR="001566DD" w:rsidRPr="007A37E1">
        <w:rPr>
          <w:rFonts w:ascii="Arial" w:hAnsi="Arial" w:cs="Arial"/>
          <w:lang w:val="en-US"/>
        </w:rPr>
        <w:t>,</w:t>
      </w:r>
      <w:r w:rsidR="00D00B5B" w:rsidRPr="007A37E1">
        <w:rPr>
          <w:rFonts w:ascii="Arial" w:hAnsi="Arial" w:cs="Arial"/>
          <w:lang w:val="en-US"/>
        </w:rPr>
        <w:t xml:space="preserve"> in support of what may somewhat loosely be described as </w:t>
      </w:r>
      <w:r w:rsidR="00317026" w:rsidRPr="007A37E1">
        <w:rPr>
          <w:rFonts w:ascii="Arial" w:hAnsi="Arial" w:cs="Arial"/>
          <w:lang w:val="en-US"/>
        </w:rPr>
        <w:t>COVID-19</w:t>
      </w:r>
      <w:r w:rsidR="00D00B5B" w:rsidRPr="007A37E1">
        <w:rPr>
          <w:rFonts w:ascii="Arial" w:hAnsi="Arial" w:cs="Arial"/>
          <w:lang w:val="en-US"/>
        </w:rPr>
        <w:t xml:space="preserve"> denialism. </w:t>
      </w:r>
      <w:r w:rsidR="00200CB4" w:rsidRPr="007A37E1">
        <w:rPr>
          <w:rFonts w:ascii="Arial" w:hAnsi="Arial" w:cs="Arial"/>
          <w:lang w:val="en-US"/>
        </w:rPr>
        <w:t>As n</w:t>
      </w:r>
      <w:r w:rsidR="00D00B5B" w:rsidRPr="007A37E1">
        <w:rPr>
          <w:rFonts w:ascii="Arial" w:hAnsi="Arial" w:cs="Arial"/>
          <w:lang w:val="en-US"/>
        </w:rPr>
        <w:t>o affidavits accompanied t</w:t>
      </w:r>
      <w:r w:rsidR="00200CB4" w:rsidRPr="007A37E1">
        <w:rPr>
          <w:rFonts w:ascii="Arial" w:hAnsi="Arial" w:cs="Arial"/>
          <w:lang w:val="en-US"/>
        </w:rPr>
        <w:t>h</w:t>
      </w:r>
      <w:r w:rsidR="00900410" w:rsidRPr="007A37E1">
        <w:rPr>
          <w:rFonts w:ascii="Arial" w:hAnsi="Arial" w:cs="Arial"/>
          <w:lang w:val="en-US"/>
        </w:rPr>
        <w:t>e</w:t>
      </w:r>
      <w:r w:rsidR="00200CB4" w:rsidRPr="007A37E1">
        <w:rPr>
          <w:rFonts w:ascii="Arial" w:hAnsi="Arial" w:cs="Arial"/>
          <w:lang w:val="en-US"/>
        </w:rPr>
        <w:t>se annexures</w:t>
      </w:r>
      <w:r w:rsidR="00917747" w:rsidRPr="007A37E1">
        <w:rPr>
          <w:rFonts w:ascii="Arial" w:hAnsi="Arial" w:cs="Arial"/>
          <w:lang w:val="en-US"/>
        </w:rPr>
        <w:t>,</w:t>
      </w:r>
      <w:r w:rsidR="00200CB4" w:rsidRPr="007A37E1">
        <w:rPr>
          <w:rFonts w:ascii="Arial" w:hAnsi="Arial" w:cs="Arial"/>
          <w:lang w:val="en-US"/>
        </w:rPr>
        <w:t xml:space="preserve"> and</w:t>
      </w:r>
      <w:r w:rsidR="00D00B5B" w:rsidRPr="007A37E1">
        <w:rPr>
          <w:rFonts w:ascii="Arial" w:hAnsi="Arial" w:cs="Arial"/>
          <w:lang w:val="en-US"/>
        </w:rPr>
        <w:t xml:space="preserve"> Mr </w:t>
      </w:r>
      <w:r w:rsidR="00384535" w:rsidRPr="007A37E1">
        <w:rPr>
          <w:rFonts w:ascii="Arial" w:hAnsi="Arial" w:cs="Arial"/>
          <w:lang w:val="en-US"/>
        </w:rPr>
        <w:t>d</w:t>
      </w:r>
      <w:r w:rsidR="00D00B5B" w:rsidRPr="007A37E1">
        <w:rPr>
          <w:rFonts w:ascii="Arial" w:hAnsi="Arial" w:cs="Arial"/>
          <w:lang w:val="en-US"/>
        </w:rPr>
        <w:t>e Beer lacke</w:t>
      </w:r>
      <w:r w:rsidR="00200CB4" w:rsidRPr="007A37E1">
        <w:rPr>
          <w:rFonts w:ascii="Arial" w:hAnsi="Arial" w:cs="Arial"/>
          <w:lang w:val="en-US"/>
        </w:rPr>
        <w:t>d the necessary expertise to testify t</w:t>
      </w:r>
      <w:r w:rsidR="001566DD" w:rsidRPr="007A37E1">
        <w:rPr>
          <w:rFonts w:ascii="Arial" w:hAnsi="Arial" w:cs="Arial"/>
          <w:lang w:val="en-US"/>
        </w:rPr>
        <w:t>o the truth of their</w:t>
      </w:r>
      <w:r w:rsidR="00917747" w:rsidRPr="007A37E1">
        <w:rPr>
          <w:rFonts w:ascii="Arial" w:hAnsi="Arial" w:cs="Arial"/>
          <w:lang w:val="en-US"/>
        </w:rPr>
        <w:t xml:space="preserve"> cont</w:t>
      </w:r>
      <w:r w:rsidR="001566DD" w:rsidRPr="007A37E1">
        <w:rPr>
          <w:rFonts w:ascii="Arial" w:hAnsi="Arial" w:cs="Arial"/>
          <w:lang w:val="en-US"/>
        </w:rPr>
        <w:t>ent</w:t>
      </w:r>
      <w:r w:rsidR="00917747" w:rsidRPr="007A37E1">
        <w:rPr>
          <w:rFonts w:ascii="Arial" w:hAnsi="Arial" w:cs="Arial"/>
          <w:lang w:val="en-US"/>
        </w:rPr>
        <w:t>, the foundational hypothesis sought to be advanced by the respondents</w:t>
      </w:r>
      <w:r w:rsidR="00D2543D" w:rsidRPr="007A37E1">
        <w:rPr>
          <w:rFonts w:ascii="Arial" w:hAnsi="Arial" w:cs="Arial"/>
          <w:lang w:val="en-US"/>
        </w:rPr>
        <w:t xml:space="preserve"> was </w:t>
      </w:r>
      <w:r w:rsidR="002B4E4C" w:rsidRPr="007A37E1">
        <w:rPr>
          <w:rFonts w:ascii="Arial" w:hAnsi="Arial" w:cs="Arial"/>
          <w:lang w:val="en-US"/>
        </w:rPr>
        <w:t>unsupport</w:t>
      </w:r>
      <w:r w:rsidR="00917747" w:rsidRPr="007A37E1">
        <w:rPr>
          <w:rFonts w:ascii="Arial" w:hAnsi="Arial" w:cs="Arial"/>
          <w:lang w:val="en-US"/>
        </w:rPr>
        <w:t>e</w:t>
      </w:r>
      <w:r w:rsidR="002B4E4C" w:rsidRPr="007A37E1">
        <w:rPr>
          <w:rFonts w:ascii="Arial" w:hAnsi="Arial" w:cs="Arial"/>
          <w:lang w:val="en-US"/>
        </w:rPr>
        <w:t>d</w:t>
      </w:r>
      <w:r w:rsidR="00917747" w:rsidRPr="007A37E1">
        <w:rPr>
          <w:rFonts w:ascii="Arial" w:hAnsi="Arial" w:cs="Arial"/>
          <w:lang w:val="en-US"/>
        </w:rPr>
        <w:t>. Regrettably, the high court simply failed to consider either the admissibility</w:t>
      </w:r>
      <w:r w:rsidRPr="007A37E1">
        <w:rPr>
          <w:rFonts w:ascii="Arial" w:hAnsi="Arial" w:cs="Arial"/>
          <w:lang w:val="en-US"/>
        </w:rPr>
        <w:t xml:space="preserve"> of</w:t>
      </w:r>
      <w:r w:rsidR="00900410" w:rsidRPr="007A37E1">
        <w:rPr>
          <w:rFonts w:ascii="Arial" w:hAnsi="Arial" w:cs="Arial"/>
          <w:lang w:val="en-US"/>
        </w:rPr>
        <w:t xml:space="preserve"> the allegations advanced by Mr </w:t>
      </w:r>
      <w:r w:rsidR="00384535" w:rsidRPr="007A37E1">
        <w:rPr>
          <w:rFonts w:ascii="Arial" w:hAnsi="Arial" w:cs="Arial"/>
          <w:lang w:val="en-US"/>
        </w:rPr>
        <w:t>d</w:t>
      </w:r>
      <w:r w:rsidR="00900410" w:rsidRPr="007A37E1">
        <w:rPr>
          <w:rFonts w:ascii="Arial" w:hAnsi="Arial" w:cs="Arial"/>
          <w:lang w:val="en-US"/>
        </w:rPr>
        <w:t>e Beer</w:t>
      </w:r>
      <w:r w:rsidRPr="007A37E1">
        <w:rPr>
          <w:rFonts w:ascii="Arial" w:hAnsi="Arial" w:cs="Arial"/>
          <w:lang w:val="en-US"/>
        </w:rPr>
        <w:t xml:space="preserve"> or </w:t>
      </w:r>
      <w:r w:rsidR="00900410" w:rsidRPr="007A37E1">
        <w:rPr>
          <w:rFonts w:ascii="Arial" w:hAnsi="Arial" w:cs="Arial"/>
          <w:lang w:val="en-US"/>
        </w:rPr>
        <w:t xml:space="preserve">their </w:t>
      </w:r>
      <w:r w:rsidRPr="007A37E1">
        <w:rPr>
          <w:rFonts w:ascii="Arial" w:hAnsi="Arial" w:cs="Arial"/>
          <w:lang w:val="en-US"/>
        </w:rPr>
        <w:t>evidential weight</w:t>
      </w:r>
      <w:r w:rsidR="00900410" w:rsidRPr="007A37E1">
        <w:rPr>
          <w:rFonts w:ascii="Arial" w:hAnsi="Arial" w:cs="Arial"/>
          <w:lang w:val="en-US"/>
        </w:rPr>
        <w:t>, if any</w:t>
      </w:r>
      <w:r w:rsidR="00917747" w:rsidRPr="007A37E1">
        <w:rPr>
          <w:rFonts w:ascii="Arial" w:hAnsi="Arial" w:cs="Arial"/>
          <w:lang w:val="en-US"/>
        </w:rPr>
        <w:t>. Had it done so it would have arrived at the conclusion that</w:t>
      </w:r>
      <w:r w:rsidR="00980911" w:rsidRPr="007A37E1">
        <w:rPr>
          <w:rFonts w:ascii="Arial" w:hAnsi="Arial" w:cs="Arial"/>
          <w:lang w:val="en-US"/>
        </w:rPr>
        <w:t xml:space="preserve">, </w:t>
      </w:r>
      <w:r w:rsidR="00917747" w:rsidRPr="007A37E1">
        <w:rPr>
          <w:rFonts w:ascii="Arial" w:hAnsi="Arial" w:cs="Arial"/>
          <w:lang w:val="en-US"/>
        </w:rPr>
        <w:t>even on their own version</w:t>
      </w:r>
      <w:r w:rsidR="00980911" w:rsidRPr="007A37E1">
        <w:rPr>
          <w:rFonts w:ascii="Arial" w:hAnsi="Arial" w:cs="Arial"/>
          <w:lang w:val="en-US"/>
        </w:rPr>
        <w:t>,</w:t>
      </w:r>
      <w:r w:rsidR="00917747" w:rsidRPr="007A37E1">
        <w:rPr>
          <w:rFonts w:ascii="Arial" w:hAnsi="Arial" w:cs="Arial"/>
          <w:lang w:val="en-US"/>
        </w:rPr>
        <w:t xml:space="preserve"> no cogni</w:t>
      </w:r>
      <w:r w:rsidR="003051D4" w:rsidRPr="007A37E1">
        <w:rPr>
          <w:rFonts w:ascii="Arial" w:hAnsi="Arial" w:cs="Arial"/>
          <w:lang w:val="en-US"/>
        </w:rPr>
        <w:t>s</w:t>
      </w:r>
      <w:r w:rsidR="00917747" w:rsidRPr="007A37E1">
        <w:rPr>
          <w:rFonts w:ascii="Arial" w:hAnsi="Arial" w:cs="Arial"/>
          <w:lang w:val="en-US"/>
        </w:rPr>
        <w:t xml:space="preserve">able </w:t>
      </w:r>
      <w:r w:rsidR="002B4E4C" w:rsidRPr="007A37E1">
        <w:rPr>
          <w:rFonts w:ascii="Arial" w:hAnsi="Arial" w:cs="Arial"/>
          <w:lang w:val="en-US"/>
        </w:rPr>
        <w:t>case had been made out by the respondents</w:t>
      </w:r>
      <w:r w:rsidR="00917747" w:rsidRPr="007A37E1">
        <w:rPr>
          <w:rFonts w:ascii="Arial" w:hAnsi="Arial" w:cs="Arial"/>
          <w:lang w:val="en-US"/>
        </w:rPr>
        <w:t>.</w:t>
      </w:r>
    </w:p>
    <w:p w14:paraId="0B03A373" w14:textId="7064138F" w:rsidR="005F6577" w:rsidRPr="007A37E1" w:rsidRDefault="005F6577" w:rsidP="00974860">
      <w:pPr>
        <w:spacing w:line="360" w:lineRule="auto"/>
        <w:jc w:val="both"/>
        <w:rPr>
          <w:rFonts w:ascii="Arial" w:hAnsi="Arial" w:cs="Arial"/>
          <w:lang w:val="en-US"/>
        </w:rPr>
      </w:pPr>
    </w:p>
    <w:p w14:paraId="4A4F4890" w14:textId="4FA17291" w:rsidR="005F6577" w:rsidRPr="007A37E1" w:rsidRDefault="005F6577" w:rsidP="005F6577">
      <w:pPr>
        <w:spacing w:line="360" w:lineRule="auto"/>
        <w:jc w:val="both"/>
        <w:rPr>
          <w:rFonts w:ascii="Arial" w:hAnsi="Arial" w:cs="Arial"/>
          <w:lang w:val="en-US"/>
        </w:rPr>
      </w:pPr>
      <w:r w:rsidRPr="007A37E1">
        <w:rPr>
          <w:rFonts w:ascii="Arial" w:hAnsi="Arial" w:cs="Arial"/>
          <w:lang w:val="en-US"/>
        </w:rPr>
        <w:t>[89]</w:t>
      </w:r>
      <w:r w:rsidRPr="007A37E1">
        <w:rPr>
          <w:rFonts w:ascii="Arial" w:hAnsi="Arial" w:cs="Arial"/>
          <w:lang w:val="en-US"/>
        </w:rPr>
        <w:tab/>
        <w:t>In the circumstances set out above</w:t>
      </w:r>
      <w:r w:rsidR="00317026" w:rsidRPr="007A37E1">
        <w:rPr>
          <w:rFonts w:ascii="Arial" w:hAnsi="Arial" w:cs="Arial"/>
          <w:lang w:val="en-US"/>
        </w:rPr>
        <w:t>,</w:t>
      </w:r>
      <w:r w:rsidRPr="007A37E1">
        <w:rPr>
          <w:rFonts w:ascii="Arial" w:hAnsi="Arial" w:cs="Arial"/>
          <w:lang w:val="en-US"/>
        </w:rPr>
        <w:t xml:space="preserve"> no answer, in truth, was called for by the Minister. That ought at the outset to have been appreciated by the high court. It found for the respondents on a case not made out in the founding affidavit and based largely on dispersed and inadmissible assertions and its own speculation </w:t>
      </w:r>
      <w:r w:rsidR="006C5514" w:rsidRPr="007A37E1">
        <w:rPr>
          <w:rFonts w:ascii="Arial" w:hAnsi="Arial" w:cs="Arial"/>
          <w:lang w:val="en-US"/>
        </w:rPr>
        <w:t xml:space="preserve">as to </w:t>
      </w:r>
      <w:r w:rsidRPr="007A37E1">
        <w:rPr>
          <w:rFonts w:ascii="Arial" w:hAnsi="Arial" w:cs="Arial"/>
          <w:lang w:val="en-US"/>
        </w:rPr>
        <w:t>how the regulations ought to have been framed.</w:t>
      </w:r>
    </w:p>
    <w:p w14:paraId="4FDB10DF" w14:textId="6C88B94C" w:rsidR="005F6577" w:rsidRPr="007A37E1" w:rsidRDefault="005F6577" w:rsidP="005F6577">
      <w:pPr>
        <w:spacing w:line="360" w:lineRule="auto"/>
        <w:jc w:val="both"/>
        <w:rPr>
          <w:rFonts w:ascii="Arial" w:hAnsi="Arial" w:cs="Arial"/>
          <w:lang w:val="en-US"/>
        </w:rPr>
      </w:pPr>
    </w:p>
    <w:p w14:paraId="54397FC9" w14:textId="4848F1A0" w:rsidR="005F6577" w:rsidRPr="007A37E1" w:rsidRDefault="005F6577" w:rsidP="005F6577">
      <w:pPr>
        <w:spacing w:line="360" w:lineRule="auto"/>
        <w:jc w:val="both"/>
        <w:rPr>
          <w:rFonts w:ascii="Arial" w:hAnsi="Arial" w:cs="Arial"/>
          <w:lang w:val="en-US"/>
        </w:rPr>
      </w:pPr>
      <w:r w:rsidRPr="007A37E1">
        <w:rPr>
          <w:rFonts w:ascii="Arial" w:hAnsi="Arial" w:cs="Arial"/>
          <w:lang w:val="en-US"/>
        </w:rPr>
        <w:t>[90]</w:t>
      </w:r>
      <w:r w:rsidRPr="007A37E1">
        <w:rPr>
          <w:rFonts w:ascii="Arial" w:hAnsi="Arial" w:cs="Arial"/>
          <w:lang w:val="en-US"/>
        </w:rPr>
        <w:tab/>
        <w:t>The Minister was compelled to deal</w:t>
      </w:r>
      <w:r w:rsidR="00980911" w:rsidRPr="007A37E1">
        <w:rPr>
          <w:rFonts w:ascii="Arial" w:hAnsi="Arial" w:cs="Arial"/>
          <w:lang w:val="en-US"/>
        </w:rPr>
        <w:t>,</w:t>
      </w:r>
      <w:r w:rsidRPr="007A37E1">
        <w:rPr>
          <w:rFonts w:ascii="Arial" w:hAnsi="Arial" w:cs="Arial"/>
          <w:lang w:val="en-US"/>
        </w:rPr>
        <w:t xml:space="preserve"> as best she could</w:t>
      </w:r>
      <w:r w:rsidR="00980911" w:rsidRPr="007A37E1">
        <w:rPr>
          <w:rFonts w:ascii="Arial" w:hAnsi="Arial" w:cs="Arial"/>
          <w:lang w:val="en-US"/>
        </w:rPr>
        <w:t>,</w:t>
      </w:r>
      <w:r w:rsidRPr="007A37E1">
        <w:rPr>
          <w:rFonts w:ascii="Arial" w:hAnsi="Arial" w:cs="Arial"/>
          <w:lang w:val="en-US"/>
        </w:rPr>
        <w:t xml:space="preserve"> with a case that was framed in almost unintelligible terms. Her explanations as to why she was moved to declare a national state of disaster and that she took scientific advice before formulating the regulations </w:t>
      </w:r>
      <w:r w:rsidR="00CB5318" w:rsidRPr="007A37E1">
        <w:rPr>
          <w:rFonts w:ascii="Arial" w:hAnsi="Arial" w:cs="Arial"/>
          <w:lang w:val="en-US"/>
        </w:rPr>
        <w:t>were</w:t>
      </w:r>
      <w:r w:rsidRPr="007A37E1">
        <w:rPr>
          <w:rFonts w:ascii="Arial" w:hAnsi="Arial" w:cs="Arial"/>
          <w:lang w:val="en-US"/>
        </w:rPr>
        <w:t xml:space="preserve"> not</w:t>
      </w:r>
      <w:r w:rsidR="007867CC" w:rsidRPr="007A37E1">
        <w:rPr>
          <w:rFonts w:ascii="Arial" w:hAnsi="Arial" w:cs="Arial"/>
          <w:lang w:val="en-US"/>
        </w:rPr>
        <w:t xml:space="preserve"> meaningfully</w:t>
      </w:r>
      <w:r w:rsidRPr="007A37E1">
        <w:rPr>
          <w:rFonts w:ascii="Arial" w:hAnsi="Arial" w:cs="Arial"/>
          <w:lang w:val="en-US"/>
        </w:rPr>
        <w:t xml:space="preserve"> contradicted. </w:t>
      </w:r>
    </w:p>
    <w:p w14:paraId="718EBC11" w14:textId="77777777" w:rsidR="009616F9" w:rsidRPr="007A37E1" w:rsidRDefault="009616F9" w:rsidP="00974860">
      <w:pPr>
        <w:spacing w:line="360" w:lineRule="auto"/>
        <w:jc w:val="both"/>
        <w:rPr>
          <w:rFonts w:ascii="Arial" w:hAnsi="Arial" w:cs="Arial"/>
        </w:rPr>
      </w:pPr>
    </w:p>
    <w:p w14:paraId="26ACC239" w14:textId="13EFA8C5" w:rsidR="009616F9" w:rsidRPr="007A37E1" w:rsidRDefault="00E6512E" w:rsidP="00974860">
      <w:pPr>
        <w:spacing w:line="360" w:lineRule="auto"/>
        <w:jc w:val="both"/>
        <w:rPr>
          <w:rFonts w:ascii="Arial" w:hAnsi="Arial" w:cs="Arial"/>
        </w:rPr>
      </w:pPr>
      <w:r w:rsidRPr="007A37E1">
        <w:rPr>
          <w:rFonts w:ascii="Arial" w:hAnsi="Arial" w:cs="Arial"/>
        </w:rPr>
        <w:t>[</w:t>
      </w:r>
      <w:r w:rsidR="007B7D4C" w:rsidRPr="007A37E1">
        <w:rPr>
          <w:rFonts w:ascii="Arial" w:hAnsi="Arial" w:cs="Arial"/>
        </w:rPr>
        <w:t>9</w:t>
      </w:r>
      <w:r w:rsidR="00904BAC" w:rsidRPr="007A37E1">
        <w:rPr>
          <w:rFonts w:ascii="Arial" w:hAnsi="Arial" w:cs="Arial"/>
        </w:rPr>
        <w:t>1</w:t>
      </w:r>
      <w:r w:rsidR="009616F9" w:rsidRPr="007A37E1">
        <w:rPr>
          <w:rFonts w:ascii="Arial" w:hAnsi="Arial" w:cs="Arial"/>
        </w:rPr>
        <w:t>]</w:t>
      </w:r>
      <w:r w:rsidR="009616F9" w:rsidRPr="007A37E1">
        <w:rPr>
          <w:rFonts w:ascii="Arial" w:hAnsi="Arial" w:cs="Arial"/>
        </w:rPr>
        <w:tab/>
        <w:t>It is important to emphasise that the respondents had Uniform rule 53, which exists to facilitate applications for review, at their disposal.</w:t>
      </w:r>
      <w:r w:rsidR="009616F9" w:rsidRPr="007A37E1">
        <w:rPr>
          <w:rStyle w:val="FootnoteReference"/>
          <w:rFonts w:ascii="Arial" w:hAnsi="Arial" w:cs="Arial"/>
        </w:rPr>
        <w:footnoteReference w:id="21"/>
      </w:r>
      <w:r w:rsidR="004D2DF3" w:rsidRPr="007A37E1">
        <w:rPr>
          <w:rFonts w:ascii="Arial" w:hAnsi="Arial" w:cs="Arial"/>
        </w:rPr>
        <w:t xml:space="preserve"> It exists</w:t>
      </w:r>
      <w:r w:rsidR="00CB4DD2" w:rsidRPr="007A37E1">
        <w:rPr>
          <w:rFonts w:ascii="Arial" w:hAnsi="Arial" w:cs="Arial"/>
        </w:rPr>
        <w:t xml:space="preserve"> to assist an applicant </w:t>
      </w:r>
      <w:r w:rsidR="00CB4DD2" w:rsidRPr="007A37E1">
        <w:rPr>
          <w:rFonts w:ascii="Arial" w:hAnsi="Arial" w:cs="Arial"/>
        </w:rPr>
        <w:lastRenderedPageBreak/>
        <w:t xml:space="preserve">for review </w:t>
      </w:r>
      <w:r w:rsidR="00D6745E" w:rsidRPr="007A37E1">
        <w:rPr>
          <w:rFonts w:ascii="Arial" w:hAnsi="Arial" w:cs="Arial"/>
        </w:rPr>
        <w:t>and</w:t>
      </w:r>
      <w:r w:rsidR="00CB4DD2" w:rsidRPr="007A37E1">
        <w:rPr>
          <w:rFonts w:ascii="Arial" w:hAnsi="Arial" w:cs="Arial"/>
        </w:rPr>
        <w:t xml:space="preserve">, in </w:t>
      </w:r>
      <w:r w:rsidR="00353F17" w:rsidRPr="007A37E1">
        <w:rPr>
          <w:rFonts w:ascii="Arial" w:hAnsi="Arial" w:cs="Arial"/>
        </w:rPr>
        <w:t>the constitutional era</w:t>
      </w:r>
      <w:r w:rsidR="004969AE" w:rsidRPr="007A37E1">
        <w:rPr>
          <w:rFonts w:ascii="Arial" w:hAnsi="Arial" w:cs="Arial"/>
        </w:rPr>
        <w:t>,</w:t>
      </w:r>
      <w:r w:rsidR="00353F17" w:rsidRPr="007A37E1">
        <w:rPr>
          <w:rFonts w:ascii="Arial" w:hAnsi="Arial" w:cs="Arial"/>
        </w:rPr>
        <w:t xml:space="preserve"> it serves to a</w:t>
      </w:r>
      <w:r w:rsidR="00152397" w:rsidRPr="007A37E1">
        <w:rPr>
          <w:rFonts w:ascii="Arial" w:hAnsi="Arial" w:cs="Arial"/>
        </w:rPr>
        <w:t>dvance accountability and transparency.</w:t>
      </w:r>
      <w:r w:rsidR="00353F17" w:rsidRPr="007A37E1">
        <w:rPr>
          <w:rFonts w:ascii="Arial" w:hAnsi="Arial" w:cs="Arial"/>
        </w:rPr>
        <w:t xml:space="preserve"> </w:t>
      </w:r>
      <w:r w:rsidR="009616F9" w:rsidRPr="007A37E1">
        <w:rPr>
          <w:rFonts w:ascii="Arial" w:hAnsi="Arial" w:cs="Arial"/>
        </w:rPr>
        <w:t> As explained in </w:t>
      </w:r>
      <w:r w:rsidR="009616F9" w:rsidRPr="007A37E1">
        <w:rPr>
          <w:rFonts w:ascii="Arial" w:hAnsi="Arial" w:cs="Arial"/>
          <w:i/>
          <w:iCs/>
        </w:rPr>
        <w:t>Jockey Club of South Africa v Forbes</w:t>
      </w:r>
      <w:r w:rsidR="009616F9" w:rsidRPr="007A37E1">
        <w:rPr>
          <w:rFonts w:ascii="Arial" w:hAnsi="Arial" w:cs="Arial"/>
        </w:rPr>
        <w:t>:</w:t>
      </w:r>
    </w:p>
    <w:p w14:paraId="4CA3CF1C" w14:textId="4A3BB096" w:rsidR="009616F9" w:rsidRPr="007A37E1" w:rsidRDefault="009616F9" w:rsidP="00974860">
      <w:pPr>
        <w:spacing w:line="360" w:lineRule="auto"/>
        <w:jc w:val="both"/>
        <w:rPr>
          <w:rFonts w:ascii="Arial" w:hAnsi="Arial" w:cs="Arial"/>
          <w:sz w:val="22"/>
          <w:szCs w:val="22"/>
        </w:rPr>
      </w:pPr>
      <w:r w:rsidRPr="007A37E1">
        <w:rPr>
          <w:rFonts w:ascii="Arial" w:hAnsi="Arial" w:cs="Arial"/>
          <w:sz w:val="22"/>
          <w:szCs w:val="22"/>
        </w:rPr>
        <w:t xml:space="preserve">‘Not infrequently the private citizen is faced with an administrative or quasi-judicial decision adversely affecting his rights, but has no access to the record of the relevant proceedings nor any knowledge of the reasons founding such decision. Were it not for Rule 53 he would be obliged to launch review proceedings in the dark and, depending on the answering affidavit(s) of the respondent(s), he could then apply to amend his notice of motion and to supplement his founding affidavit. Manifestly the procedure created by the Rule is to his advantage in that it obviates the delay and expense of an application to amend and provides him with access to the record. In terms of para </w:t>
      </w:r>
      <w:r w:rsidRPr="007A37E1">
        <w:rPr>
          <w:rFonts w:ascii="Arial" w:hAnsi="Arial" w:cs="Arial"/>
          <w:i/>
          <w:sz w:val="22"/>
          <w:szCs w:val="22"/>
        </w:rPr>
        <w:t>(b)</w:t>
      </w:r>
      <w:r w:rsidRPr="007A37E1">
        <w:rPr>
          <w:rFonts w:ascii="Arial" w:hAnsi="Arial" w:cs="Arial"/>
          <w:sz w:val="22"/>
          <w:szCs w:val="22"/>
        </w:rPr>
        <w:t xml:space="preserve"> of subrule (1) the official concerned is obliged to forward the record to the Registrar and to notify the applicant that he has done so. Subrule (3) then affords the applicant access to the record. (It also obliges him to make certified copies of the relevant part thereof available to the Court and his opponents. The Rule thus confers the benefit that all the parties have identical copies of the relevant documents on which to draft their affidavits and that they and the Court have identical papers before them when the matter comes to Court.) More important in the present context is subrule (4), which enables the applicant, as of right and without the expense and delay of an interlocutory application, to “amend, add to or vary the terms of his notice of </w:t>
      </w:r>
      <w:r w:rsidRPr="007A37E1">
        <w:rPr>
          <w:rFonts w:ascii="Arial" w:hAnsi="Arial" w:cs="Arial"/>
          <w:sz w:val="22"/>
          <w:szCs w:val="22"/>
        </w:rPr>
        <w:lastRenderedPageBreak/>
        <w:t>motion and supplement the supporting affidavit”. Subrule (5) in turn regulates the procedure to be adopted by prospective opponents and the succeeding subrules import the usual procedure under Rule 6 for the filing of the applicant</w:t>
      </w:r>
      <w:r w:rsidR="008550F0" w:rsidRPr="007A37E1">
        <w:rPr>
          <w:rFonts w:ascii="Arial" w:hAnsi="Arial" w:cs="Arial"/>
          <w:sz w:val="22"/>
          <w:szCs w:val="22"/>
        </w:rPr>
        <w:t>’</w:t>
      </w:r>
      <w:r w:rsidRPr="007A37E1">
        <w:rPr>
          <w:rFonts w:ascii="Arial" w:hAnsi="Arial" w:cs="Arial"/>
          <w:sz w:val="22"/>
          <w:szCs w:val="22"/>
        </w:rPr>
        <w:t>s reply and for set down.’</w:t>
      </w:r>
      <w:r w:rsidRPr="007A37E1">
        <w:rPr>
          <w:rStyle w:val="FootnoteReference"/>
          <w:rFonts w:ascii="Arial" w:hAnsi="Arial" w:cs="Arial"/>
          <w:sz w:val="22"/>
          <w:szCs w:val="22"/>
        </w:rPr>
        <w:footnoteReference w:id="22"/>
      </w:r>
    </w:p>
    <w:p w14:paraId="0BD1CB6B" w14:textId="479B84D1" w:rsidR="009616F9" w:rsidRPr="007A37E1" w:rsidRDefault="009616F9" w:rsidP="00974860">
      <w:pPr>
        <w:spacing w:line="360" w:lineRule="auto"/>
        <w:jc w:val="both"/>
        <w:rPr>
          <w:rFonts w:ascii="Arial" w:hAnsi="Arial" w:cs="Arial"/>
          <w:sz w:val="22"/>
          <w:szCs w:val="22"/>
          <w:lang w:val="en-US"/>
        </w:rPr>
      </w:pPr>
    </w:p>
    <w:p w14:paraId="247D1C31" w14:textId="5FC4BB72" w:rsidR="00E6512E" w:rsidRPr="007A37E1" w:rsidRDefault="00E6512E" w:rsidP="00974860">
      <w:pPr>
        <w:spacing w:line="360" w:lineRule="auto"/>
        <w:jc w:val="both"/>
        <w:rPr>
          <w:rFonts w:ascii="Arial" w:hAnsi="Arial" w:cs="Arial"/>
        </w:rPr>
      </w:pPr>
      <w:r w:rsidRPr="007A37E1">
        <w:rPr>
          <w:rFonts w:ascii="Arial" w:hAnsi="Arial" w:cs="Arial"/>
          <w:lang w:val="en-US"/>
        </w:rPr>
        <w:t>[</w:t>
      </w:r>
      <w:r w:rsidR="007B7D4C" w:rsidRPr="007A37E1">
        <w:rPr>
          <w:rFonts w:ascii="Arial" w:hAnsi="Arial" w:cs="Arial"/>
          <w:lang w:val="en-US"/>
        </w:rPr>
        <w:t>9</w:t>
      </w:r>
      <w:r w:rsidR="00904BAC" w:rsidRPr="007A37E1">
        <w:rPr>
          <w:rFonts w:ascii="Arial" w:hAnsi="Arial" w:cs="Arial"/>
          <w:lang w:val="en-US"/>
        </w:rPr>
        <w:t>2</w:t>
      </w:r>
      <w:r w:rsidR="00146787" w:rsidRPr="007A37E1">
        <w:rPr>
          <w:rFonts w:ascii="Arial" w:hAnsi="Arial" w:cs="Arial"/>
          <w:lang w:val="en-US"/>
        </w:rPr>
        <w:t>]</w:t>
      </w:r>
      <w:r w:rsidR="00146787" w:rsidRPr="007A37E1">
        <w:rPr>
          <w:rFonts w:ascii="Arial" w:hAnsi="Arial" w:cs="Arial"/>
          <w:lang w:val="en-US"/>
        </w:rPr>
        <w:tab/>
      </w:r>
      <w:r w:rsidR="001D19B5" w:rsidRPr="007A37E1">
        <w:rPr>
          <w:rFonts w:ascii="Arial" w:hAnsi="Arial" w:cs="Arial"/>
        </w:rPr>
        <w:t>Th</w:t>
      </w:r>
      <w:r w:rsidR="00152397" w:rsidRPr="007A37E1">
        <w:rPr>
          <w:rFonts w:ascii="Arial" w:hAnsi="Arial" w:cs="Arial"/>
        </w:rPr>
        <w:t>us, the</w:t>
      </w:r>
      <w:r w:rsidR="001D19B5" w:rsidRPr="007A37E1">
        <w:rPr>
          <w:rFonts w:ascii="Arial" w:hAnsi="Arial" w:cs="Arial"/>
        </w:rPr>
        <w:t xml:space="preserve"> purpose of rule 53 is to ‘facilitate and regulate applications for review’</w:t>
      </w:r>
      <w:r w:rsidR="00152397" w:rsidRPr="007A37E1">
        <w:rPr>
          <w:rFonts w:ascii="Arial" w:hAnsi="Arial" w:cs="Arial"/>
        </w:rPr>
        <w:t xml:space="preserve"> and to </w:t>
      </w:r>
      <w:r w:rsidR="00EF0249" w:rsidRPr="007A37E1">
        <w:rPr>
          <w:rFonts w:ascii="Arial" w:hAnsi="Arial" w:cs="Arial"/>
        </w:rPr>
        <w:t>promote constitutional values</w:t>
      </w:r>
      <w:r w:rsidR="001D19B5" w:rsidRPr="007A37E1">
        <w:rPr>
          <w:rFonts w:ascii="Arial" w:hAnsi="Arial" w:cs="Arial"/>
        </w:rPr>
        <w:t>.</w:t>
      </w:r>
      <w:r w:rsidR="001D19B5" w:rsidRPr="007A37E1">
        <w:rPr>
          <w:rStyle w:val="FootnoteReference"/>
          <w:rFonts w:ascii="Arial" w:hAnsi="Arial" w:cs="Arial"/>
        </w:rPr>
        <w:footnoteReference w:id="23"/>
      </w:r>
      <w:r w:rsidR="001D19B5" w:rsidRPr="007A37E1">
        <w:rPr>
          <w:rFonts w:ascii="Arial" w:hAnsi="Arial" w:cs="Arial"/>
          <w:lang w:val="en-US"/>
        </w:rPr>
        <w:t xml:space="preserve"> </w:t>
      </w:r>
      <w:r w:rsidR="00146787" w:rsidRPr="007A37E1">
        <w:rPr>
          <w:rFonts w:ascii="Arial" w:hAnsi="Arial" w:cs="Arial"/>
          <w:lang w:val="en-US"/>
        </w:rPr>
        <w:t>In terms of rule 53</w:t>
      </w:r>
      <w:r w:rsidR="00AB0498" w:rsidRPr="007A37E1">
        <w:rPr>
          <w:rFonts w:ascii="Arial" w:hAnsi="Arial" w:cs="Arial"/>
          <w:lang w:val="en-US"/>
        </w:rPr>
        <w:t>, t</w:t>
      </w:r>
      <w:r w:rsidR="00146787" w:rsidRPr="007A37E1">
        <w:rPr>
          <w:rFonts w:ascii="Arial" w:hAnsi="Arial" w:cs="Arial"/>
        </w:rPr>
        <w:t xml:space="preserve">he production of the administrative record is </w:t>
      </w:r>
      <w:r w:rsidR="00864271" w:rsidRPr="007A37E1">
        <w:rPr>
          <w:rFonts w:ascii="Arial" w:hAnsi="Arial" w:cs="Arial"/>
        </w:rPr>
        <w:t>usually</w:t>
      </w:r>
      <w:r w:rsidR="00146787" w:rsidRPr="007A37E1">
        <w:rPr>
          <w:rFonts w:ascii="Arial" w:hAnsi="Arial" w:cs="Arial"/>
        </w:rPr>
        <w:t xml:space="preserve"> necessary for a court to undertake the task of determining the regularity of the </w:t>
      </w:r>
      <w:r w:rsidR="00864271" w:rsidRPr="007A37E1">
        <w:rPr>
          <w:rFonts w:ascii="Arial" w:hAnsi="Arial" w:cs="Arial"/>
        </w:rPr>
        <w:t>administrative action</w:t>
      </w:r>
      <w:r w:rsidR="00146787" w:rsidRPr="007A37E1">
        <w:rPr>
          <w:rFonts w:ascii="Arial" w:hAnsi="Arial" w:cs="Arial"/>
        </w:rPr>
        <w:t xml:space="preserve"> sought to be impugned.</w:t>
      </w:r>
      <w:r w:rsidR="00203C8F" w:rsidRPr="007A37E1">
        <w:rPr>
          <w:rStyle w:val="FootnoteReference"/>
          <w:rFonts w:ascii="Arial" w:hAnsi="Arial" w:cs="Arial"/>
        </w:rPr>
        <w:footnoteReference w:id="24"/>
      </w:r>
      <w:r w:rsidR="00146787" w:rsidRPr="007A37E1">
        <w:rPr>
          <w:rFonts w:ascii="Arial" w:hAnsi="Arial" w:cs="Arial"/>
        </w:rPr>
        <w:t xml:space="preserve"> </w:t>
      </w:r>
      <w:r w:rsidR="00203C8F" w:rsidRPr="007A37E1">
        <w:rPr>
          <w:rFonts w:ascii="Arial" w:hAnsi="Arial" w:cs="Arial"/>
        </w:rPr>
        <w:t>Without the record</w:t>
      </w:r>
      <w:r w:rsidR="00686E95" w:rsidRPr="007A37E1">
        <w:rPr>
          <w:rFonts w:ascii="Arial" w:hAnsi="Arial" w:cs="Arial"/>
        </w:rPr>
        <w:t>,</w:t>
      </w:r>
      <w:r w:rsidR="00203C8F" w:rsidRPr="007A37E1">
        <w:rPr>
          <w:rFonts w:ascii="Arial" w:hAnsi="Arial" w:cs="Arial"/>
        </w:rPr>
        <w:t xml:space="preserve"> a court </w:t>
      </w:r>
      <w:r w:rsidR="00864271" w:rsidRPr="007A37E1">
        <w:rPr>
          <w:rFonts w:ascii="Arial" w:hAnsi="Arial" w:cs="Arial"/>
        </w:rPr>
        <w:t>will often be hampered in its ability to</w:t>
      </w:r>
      <w:r w:rsidR="00203C8F" w:rsidRPr="007A37E1">
        <w:rPr>
          <w:rFonts w:ascii="Arial" w:hAnsi="Arial" w:cs="Arial"/>
        </w:rPr>
        <w:t xml:space="preserve"> perform its constitutionally entrenched review function.</w:t>
      </w:r>
      <w:r w:rsidR="00203C8F" w:rsidRPr="007A37E1">
        <w:rPr>
          <w:rStyle w:val="FootnoteReference"/>
          <w:rFonts w:ascii="Arial" w:hAnsi="Arial" w:cs="Arial"/>
        </w:rPr>
        <w:footnoteReference w:id="25"/>
      </w:r>
      <w:r w:rsidR="00203C8F" w:rsidRPr="007A37E1">
        <w:rPr>
          <w:rFonts w:ascii="Arial" w:hAnsi="Arial" w:cs="Arial"/>
        </w:rPr>
        <w:t xml:space="preserve"> </w:t>
      </w:r>
      <w:r w:rsidR="002405E0" w:rsidRPr="007A37E1">
        <w:rPr>
          <w:rFonts w:ascii="Arial" w:hAnsi="Arial" w:cs="Arial"/>
        </w:rPr>
        <w:t xml:space="preserve">As it was put by the Constitutional Court in </w:t>
      </w:r>
      <w:r w:rsidR="002405E0" w:rsidRPr="007A37E1">
        <w:rPr>
          <w:rFonts w:ascii="Arial" w:hAnsi="Arial" w:cs="Arial"/>
          <w:i/>
        </w:rPr>
        <w:t>Helen Suzman Foundation v Judicial Service Commission</w:t>
      </w:r>
      <w:r w:rsidR="002405E0" w:rsidRPr="007A37E1">
        <w:rPr>
          <w:rFonts w:ascii="Arial" w:hAnsi="Arial" w:cs="Arial"/>
        </w:rPr>
        <w:t xml:space="preserve">: </w:t>
      </w:r>
    </w:p>
    <w:p w14:paraId="0E744D25" w14:textId="6EF2357E" w:rsidR="00AB0498" w:rsidRPr="007A37E1" w:rsidRDefault="002405E0" w:rsidP="00974860">
      <w:pPr>
        <w:spacing w:line="360" w:lineRule="auto"/>
        <w:jc w:val="both"/>
        <w:rPr>
          <w:rFonts w:ascii="Arial" w:hAnsi="Arial" w:cs="Arial"/>
          <w:sz w:val="22"/>
          <w:szCs w:val="22"/>
        </w:rPr>
      </w:pPr>
      <w:r w:rsidRPr="007A37E1">
        <w:rPr>
          <w:rFonts w:ascii="Arial" w:hAnsi="Arial" w:cs="Arial"/>
          <w:sz w:val="22"/>
          <w:szCs w:val="22"/>
        </w:rPr>
        <w:t>‘The filing of the full record furthers an applicant’s right of access to court by ensuring both that the court has the relevant information before it and that there is equality of arms between the person challenging a decision and the decision-maker.</w:t>
      </w:r>
      <w:r w:rsidR="00AB0498" w:rsidRPr="007A37E1">
        <w:rPr>
          <w:rFonts w:ascii="Arial" w:hAnsi="Arial" w:cs="Arial"/>
          <w:sz w:val="22"/>
          <w:szCs w:val="22"/>
        </w:rPr>
        <w:t xml:space="preserve"> Equality of arms requires that parties to the review proceedings must each have a reasonable opportunity of presenting their case under conditions that do not place them at a substantial disadvantage </w:t>
      </w:r>
      <w:r w:rsidR="00AB0498" w:rsidRPr="007A37E1">
        <w:rPr>
          <w:rFonts w:ascii="Arial" w:hAnsi="Arial" w:cs="Arial"/>
          <w:i/>
          <w:iCs/>
          <w:sz w:val="22"/>
          <w:szCs w:val="22"/>
        </w:rPr>
        <w:t>vis-à-vis </w:t>
      </w:r>
      <w:r w:rsidR="00AB0498" w:rsidRPr="007A37E1">
        <w:rPr>
          <w:rFonts w:ascii="Arial" w:hAnsi="Arial" w:cs="Arial"/>
          <w:sz w:val="22"/>
          <w:szCs w:val="22"/>
        </w:rPr>
        <w:t>their opponents. This requires that “all the parties have identical copies of the relevant documents on which to draft their affidavits and that they and the court have identical papers before them when the matter comes to court”.</w:t>
      </w:r>
      <w:r w:rsidRPr="007A37E1">
        <w:rPr>
          <w:rFonts w:ascii="Arial" w:hAnsi="Arial" w:cs="Arial"/>
          <w:sz w:val="22"/>
          <w:szCs w:val="22"/>
        </w:rPr>
        <w:t>’</w:t>
      </w:r>
      <w:r w:rsidRPr="007A37E1">
        <w:rPr>
          <w:rStyle w:val="FootnoteReference"/>
          <w:rFonts w:ascii="Arial" w:hAnsi="Arial" w:cs="Arial"/>
          <w:sz w:val="22"/>
          <w:szCs w:val="22"/>
        </w:rPr>
        <w:footnoteReference w:id="26"/>
      </w:r>
    </w:p>
    <w:p w14:paraId="52C8BA87" w14:textId="77777777" w:rsidR="00AB0498" w:rsidRPr="007A37E1" w:rsidRDefault="00AB0498" w:rsidP="00974860">
      <w:pPr>
        <w:spacing w:line="360" w:lineRule="auto"/>
        <w:jc w:val="both"/>
        <w:rPr>
          <w:rFonts w:ascii="Arial" w:hAnsi="Arial" w:cs="Arial"/>
        </w:rPr>
      </w:pPr>
    </w:p>
    <w:p w14:paraId="522E6129" w14:textId="5688D86D" w:rsidR="002C0E04" w:rsidRPr="007A37E1" w:rsidRDefault="00E6512E" w:rsidP="00974860">
      <w:pPr>
        <w:spacing w:line="360" w:lineRule="auto"/>
        <w:jc w:val="both"/>
        <w:rPr>
          <w:rFonts w:ascii="Arial" w:hAnsi="Arial" w:cs="Arial"/>
        </w:rPr>
      </w:pPr>
      <w:r w:rsidRPr="007A37E1">
        <w:rPr>
          <w:rFonts w:ascii="Arial" w:hAnsi="Arial" w:cs="Arial"/>
        </w:rPr>
        <w:t>[</w:t>
      </w:r>
      <w:r w:rsidR="007B7D4C" w:rsidRPr="007A37E1">
        <w:rPr>
          <w:rFonts w:ascii="Arial" w:hAnsi="Arial" w:cs="Arial"/>
        </w:rPr>
        <w:t>9</w:t>
      </w:r>
      <w:r w:rsidR="00904BAC" w:rsidRPr="007A37E1">
        <w:rPr>
          <w:rFonts w:ascii="Arial" w:hAnsi="Arial" w:cs="Arial"/>
        </w:rPr>
        <w:t>3</w:t>
      </w:r>
      <w:r w:rsidR="00AB0498" w:rsidRPr="007A37E1">
        <w:rPr>
          <w:rFonts w:ascii="Arial" w:hAnsi="Arial" w:cs="Arial"/>
        </w:rPr>
        <w:t>]</w:t>
      </w:r>
      <w:r w:rsidR="00AB0498" w:rsidRPr="007A37E1">
        <w:rPr>
          <w:rFonts w:ascii="Arial" w:hAnsi="Arial" w:cs="Arial"/>
        </w:rPr>
        <w:tab/>
      </w:r>
      <w:r w:rsidR="00203C8F" w:rsidRPr="007A37E1">
        <w:rPr>
          <w:rFonts w:ascii="Arial" w:hAnsi="Arial" w:cs="Arial"/>
        </w:rPr>
        <w:t>W</w:t>
      </w:r>
      <w:r w:rsidR="00146787" w:rsidRPr="007A37E1">
        <w:rPr>
          <w:rFonts w:ascii="Arial" w:hAnsi="Arial" w:cs="Arial"/>
        </w:rPr>
        <w:t>hen an applicant in review proceedings files its supplementary affidavit, after having had sight of the record, it is in effect fully stating its case for the first time.</w:t>
      </w:r>
      <w:r w:rsidR="00CB0D20" w:rsidRPr="007A37E1">
        <w:rPr>
          <w:rStyle w:val="FootnoteReference"/>
          <w:rFonts w:ascii="Arial" w:hAnsi="Arial" w:cs="Arial"/>
        </w:rPr>
        <w:footnoteReference w:id="27"/>
      </w:r>
      <w:r w:rsidR="00CB0D20" w:rsidRPr="007A37E1">
        <w:rPr>
          <w:rFonts w:ascii="Arial" w:hAnsi="Arial" w:cs="Arial"/>
        </w:rPr>
        <w:t xml:space="preserve"> </w:t>
      </w:r>
      <w:r w:rsidR="0056447C">
        <w:rPr>
          <w:rFonts w:ascii="Arial" w:hAnsi="Arial" w:cs="Arial"/>
        </w:rPr>
        <w:t xml:space="preserve">               </w:t>
      </w:r>
      <w:r w:rsidR="00CB0D20" w:rsidRPr="007A37E1">
        <w:rPr>
          <w:rFonts w:ascii="Arial" w:hAnsi="Arial" w:cs="Arial"/>
        </w:rPr>
        <w:t>I</w:t>
      </w:r>
      <w:r w:rsidR="003C4664" w:rsidRPr="007A37E1">
        <w:rPr>
          <w:rFonts w:ascii="Arial" w:hAnsi="Arial" w:cs="Arial"/>
        </w:rPr>
        <w:t xml:space="preserve">n eschewing </w:t>
      </w:r>
      <w:r w:rsidR="00CB0D20" w:rsidRPr="007A37E1">
        <w:rPr>
          <w:rFonts w:ascii="Arial" w:hAnsi="Arial" w:cs="Arial"/>
        </w:rPr>
        <w:t>rule 53</w:t>
      </w:r>
      <w:r w:rsidR="003C4664" w:rsidRPr="007A37E1">
        <w:rPr>
          <w:rFonts w:ascii="Arial" w:hAnsi="Arial" w:cs="Arial"/>
        </w:rPr>
        <w:t>,</w:t>
      </w:r>
      <w:r w:rsidR="00CB0D20" w:rsidRPr="007A37E1">
        <w:rPr>
          <w:rFonts w:ascii="Arial" w:hAnsi="Arial" w:cs="Arial"/>
        </w:rPr>
        <w:t xml:space="preserve"> the respondents placed both themselves and the court at a significant disadvantage. </w:t>
      </w:r>
      <w:r w:rsidR="003C4664" w:rsidRPr="007A37E1">
        <w:rPr>
          <w:rFonts w:ascii="Arial" w:hAnsi="Arial" w:cs="Arial"/>
        </w:rPr>
        <w:t>The rule 53 record helps shed light on what happened</w:t>
      </w:r>
      <w:r w:rsidR="00CF6FD7" w:rsidRPr="007A37E1">
        <w:rPr>
          <w:rFonts w:ascii="Arial" w:hAnsi="Arial" w:cs="Arial"/>
        </w:rPr>
        <w:t>,</w:t>
      </w:r>
      <w:r w:rsidR="003C4664" w:rsidRPr="007A37E1">
        <w:rPr>
          <w:rFonts w:ascii="Arial" w:hAnsi="Arial" w:cs="Arial"/>
        </w:rPr>
        <w:t xml:space="preserve"> </w:t>
      </w:r>
      <w:r w:rsidR="003C4664" w:rsidRPr="007A37E1">
        <w:rPr>
          <w:rFonts w:ascii="Arial" w:hAnsi="Arial" w:cs="Arial"/>
          <w:color w:val="000000" w:themeColor="text1"/>
        </w:rPr>
        <w:t>why</w:t>
      </w:r>
      <w:r w:rsidR="00CF6FD7" w:rsidRPr="007A37E1">
        <w:rPr>
          <w:rFonts w:ascii="Arial" w:hAnsi="Arial" w:cs="Arial"/>
          <w:color w:val="000000" w:themeColor="text1"/>
        </w:rPr>
        <w:t xml:space="preserve"> it happened</w:t>
      </w:r>
      <w:r w:rsidR="003C4664" w:rsidRPr="007A37E1">
        <w:rPr>
          <w:rFonts w:ascii="Arial" w:hAnsi="Arial" w:cs="Arial"/>
          <w:color w:val="000000" w:themeColor="text1"/>
        </w:rPr>
        <w:t xml:space="preserve"> and</w:t>
      </w:r>
      <w:r w:rsidR="00CD3552" w:rsidRPr="007A37E1">
        <w:rPr>
          <w:rFonts w:ascii="Arial" w:hAnsi="Arial" w:cs="Arial"/>
          <w:color w:val="000000" w:themeColor="text1"/>
        </w:rPr>
        <w:t xml:space="preserve"> it</w:t>
      </w:r>
      <w:r w:rsidR="003C4664" w:rsidRPr="007A37E1">
        <w:rPr>
          <w:rFonts w:ascii="Arial" w:hAnsi="Arial" w:cs="Arial"/>
          <w:color w:val="000000" w:themeColor="text1"/>
        </w:rPr>
        <w:t xml:space="preserve"> ma</w:t>
      </w:r>
      <w:r w:rsidR="00CD3552" w:rsidRPr="007A37E1">
        <w:rPr>
          <w:rFonts w:ascii="Arial" w:hAnsi="Arial" w:cs="Arial"/>
          <w:color w:val="000000" w:themeColor="text1"/>
        </w:rPr>
        <w:t>y</w:t>
      </w:r>
      <w:r w:rsidR="003C4664" w:rsidRPr="007A37E1">
        <w:rPr>
          <w:rFonts w:ascii="Arial" w:hAnsi="Arial" w:cs="Arial"/>
          <w:color w:val="00B0F0"/>
        </w:rPr>
        <w:t xml:space="preserve"> </w:t>
      </w:r>
      <w:r w:rsidR="00864271" w:rsidRPr="007A37E1">
        <w:rPr>
          <w:rFonts w:ascii="Arial" w:hAnsi="Arial" w:cs="Arial"/>
        </w:rPr>
        <w:t>undermine</w:t>
      </w:r>
      <w:r w:rsidR="003C4664" w:rsidRPr="007A37E1">
        <w:rPr>
          <w:rFonts w:ascii="Arial" w:hAnsi="Arial" w:cs="Arial"/>
        </w:rPr>
        <w:t xml:space="preserve"> </w:t>
      </w:r>
      <w:r w:rsidR="003C4664" w:rsidRPr="007A37E1">
        <w:rPr>
          <w:rFonts w:ascii="Arial" w:hAnsi="Arial" w:cs="Arial"/>
          <w:i/>
        </w:rPr>
        <w:t>ex post</w:t>
      </w:r>
      <w:r w:rsidR="00D94EF3" w:rsidRPr="007A37E1">
        <w:rPr>
          <w:rFonts w:ascii="Arial" w:hAnsi="Arial" w:cs="Arial"/>
          <w:i/>
        </w:rPr>
        <w:t xml:space="preserve"> facto</w:t>
      </w:r>
      <w:r w:rsidR="003C4664" w:rsidRPr="007A37E1">
        <w:rPr>
          <w:rFonts w:ascii="Arial" w:hAnsi="Arial" w:cs="Arial"/>
        </w:rPr>
        <w:t xml:space="preserve"> justification</w:t>
      </w:r>
      <w:r w:rsidR="00864271" w:rsidRPr="007A37E1">
        <w:rPr>
          <w:rFonts w:ascii="Arial" w:hAnsi="Arial" w:cs="Arial"/>
        </w:rPr>
        <w:t>s offered by the decision-maker</w:t>
      </w:r>
      <w:r w:rsidR="003C4664" w:rsidRPr="007A37E1">
        <w:rPr>
          <w:rFonts w:ascii="Arial" w:hAnsi="Arial" w:cs="Arial"/>
        </w:rPr>
        <w:t xml:space="preserve"> </w:t>
      </w:r>
      <w:r w:rsidR="003C4664" w:rsidRPr="007A37E1">
        <w:rPr>
          <w:rFonts w:ascii="Arial" w:hAnsi="Arial" w:cs="Arial"/>
        </w:rPr>
        <w:lastRenderedPageBreak/>
        <w:t>of the decision</w:t>
      </w:r>
      <w:r w:rsidR="00411A1C" w:rsidRPr="007A37E1">
        <w:rPr>
          <w:rFonts w:ascii="Arial" w:hAnsi="Arial" w:cs="Arial"/>
          <w:lang w:val="en-US"/>
        </w:rPr>
        <w:t xml:space="preserve"> </w:t>
      </w:r>
      <w:r w:rsidR="003C4664" w:rsidRPr="007A37E1">
        <w:rPr>
          <w:rFonts w:ascii="Arial" w:hAnsi="Arial" w:cs="Arial"/>
        </w:rPr>
        <w:t>under review.</w:t>
      </w:r>
      <w:r w:rsidR="003C4664" w:rsidRPr="007A37E1">
        <w:rPr>
          <w:rStyle w:val="FootnoteReference"/>
          <w:rFonts w:ascii="Arial" w:hAnsi="Arial" w:cs="Arial"/>
        </w:rPr>
        <w:footnoteReference w:id="28"/>
      </w:r>
      <w:r w:rsidR="003C4664" w:rsidRPr="007A37E1">
        <w:rPr>
          <w:rFonts w:ascii="Arial" w:hAnsi="Arial" w:cs="Arial"/>
        </w:rPr>
        <w:t xml:space="preserve"> </w:t>
      </w:r>
      <w:r w:rsidR="00CB0D20" w:rsidRPr="007A37E1">
        <w:rPr>
          <w:rFonts w:ascii="Arial" w:hAnsi="Arial" w:cs="Arial"/>
        </w:rPr>
        <w:t>T</w:t>
      </w:r>
      <w:r w:rsidR="003C4664" w:rsidRPr="007A37E1">
        <w:rPr>
          <w:rFonts w:ascii="Arial" w:hAnsi="Arial" w:cs="Arial"/>
        </w:rPr>
        <w:t>he respondents</w:t>
      </w:r>
      <w:r w:rsidR="00CB0D20" w:rsidRPr="007A37E1">
        <w:rPr>
          <w:rFonts w:ascii="Arial" w:hAnsi="Arial" w:cs="Arial"/>
        </w:rPr>
        <w:t xml:space="preserve"> launched review proceedings in the dark</w:t>
      </w:r>
      <w:r w:rsidR="001D19B5" w:rsidRPr="007A37E1">
        <w:rPr>
          <w:rFonts w:ascii="Arial" w:hAnsi="Arial" w:cs="Arial"/>
        </w:rPr>
        <w:t xml:space="preserve"> ‘against an opponent with perfect night vision’</w:t>
      </w:r>
      <w:r w:rsidR="002405E0" w:rsidRPr="007A37E1">
        <w:rPr>
          <w:rFonts w:ascii="Arial" w:hAnsi="Arial" w:cs="Arial"/>
        </w:rPr>
        <w:t>, in that the Minister knew exactly what information had been considered</w:t>
      </w:r>
      <w:r w:rsidR="001D19B5" w:rsidRPr="007A37E1">
        <w:rPr>
          <w:rFonts w:ascii="Arial" w:hAnsi="Arial" w:cs="Arial"/>
        </w:rPr>
        <w:t>.</w:t>
      </w:r>
      <w:r w:rsidR="001D19B5" w:rsidRPr="007A37E1">
        <w:rPr>
          <w:rStyle w:val="FootnoteReference"/>
          <w:rFonts w:ascii="Arial" w:hAnsi="Arial" w:cs="Arial"/>
        </w:rPr>
        <w:footnoteReference w:id="29"/>
      </w:r>
      <w:r w:rsidR="001D19B5" w:rsidRPr="007A37E1">
        <w:rPr>
          <w:rFonts w:ascii="Arial" w:hAnsi="Arial" w:cs="Arial"/>
        </w:rPr>
        <w:t xml:space="preserve"> </w:t>
      </w:r>
      <w:r w:rsidR="002405E0" w:rsidRPr="007A37E1">
        <w:rPr>
          <w:rFonts w:ascii="Arial" w:hAnsi="Arial" w:cs="Arial"/>
        </w:rPr>
        <w:t>The respondents could</w:t>
      </w:r>
      <w:r w:rsidR="001D19B5" w:rsidRPr="007A37E1">
        <w:rPr>
          <w:rFonts w:ascii="Arial" w:hAnsi="Arial" w:cs="Arial"/>
        </w:rPr>
        <w:t xml:space="preserve"> </w:t>
      </w:r>
      <w:r w:rsidR="00864271" w:rsidRPr="007A37E1">
        <w:rPr>
          <w:rFonts w:ascii="Arial" w:hAnsi="Arial" w:cs="Arial"/>
        </w:rPr>
        <w:t>not</w:t>
      </w:r>
      <w:r w:rsidR="001D19B5" w:rsidRPr="007A37E1">
        <w:rPr>
          <w:rFonts w:ascii="Arial" w:hAnsi="Arial" w:cs="Arial"/>
        </w:rPr>
        <w:t xml:space="preserve"> contend</w:t>
      </w:r>
      <w:r w:rsidR="00864271" w:rsidRPr="007A37E1">
        <w:rPr>
          <w:rFonts w:ascii="Arial" w:hAnsi="Arial" w:cs="Arial"/>
        </w:rPr>
        <w:t xml:space="preserve"> with much in</w:t>
      </w:r>
      <w:r w:rsidR="00686E95" w:rsidRPr="007A37E1">
        <w:rPr>
          <w:rFonts w:ascii="Arial" w:hAnsi="Arial" w:cs="Arial"/>
        </w:rPr>
        <w:t>sight</w:t>
      </w:r>
      <w:r w:rsidR="001D19B5" w:rsidRPr="007A37E1">
        <w:rPr>
          <w:rFonts w:ascii="Arial" w:hAnsi="Arial" w:cs="Arial"/>
        </w:rPr>
        <w:t xml:space="preserve"> that </w:t>
      </w:r>
      <w:r w:rsidR="002405E0" w:rsidRPr="007A37E1">
        <w:rPr>
          <w:rFonts w:ascii="Arial" w:hAnsi="Arial" w:cs="Arial"/>
        </w:rPr>
        <w:t>‘</w:t>
      </w:r>
      <w:r w:rsidR="001D19B5" w:rsidRPr="007A37E1">
        <w:rPr>
          <w:rFonts w:ascii="Arial" w:hAnsi="Arial" w:cs="Arial"/>
        </w:rPr>
        <w:t>the decision was irrational; that irrelevant considerations were taken into account; or that the decision was taken arbitrarily or capriciously</w:t>
      </w:r>
      <w:r w:rsidR="002405E0" w:rsidRPr="007A37E1">
        <w:rPr>
          <w:rFonts w:ascii="Arial" w:hAnsi="Arial" w:cs="Arial"/>
        </w:rPr>
        <w:t>’</w:t>
      </w:r>
      <w:r w:rsidR="00FC3C6D" w:rsidRPr="007A37E1">
        <w:rPr>
          <w:rFonts w:ascii="Arial" w:hAnsi="Arial" w:cs="Arial"/>
        </w:rPr>
        <w:t>.</w:t>
      </w:r>
      <w:r w:rsidR="002405E0" w:rsidRPr="007A37E1">
        <w:rPr>
          <w:rStyle w:val="FootnoteReference"/>
          <w:rFonts w:ascii="Arial" w:hAnsi="Arial" w:cs="Arial"/>
        </w:rPr>
        <w:footnoteReference w:id="30"/>
      </w:r>
      <w:r w:rsidR="00AB0498" w:rsidRPr="007A37E1">
        <w:rPr>
          <w:rFonts w:ascii="Arial" w:hAnsi="Arial" w:cs="Arial"/>
        </w:rPr>
        <w:t xml:space="preserve"> </w:t>
      </w:r>
      <w:r w:rsidR="002C0E04" w:rsidRPr="007A37E1">
        <w:rPr>
          <w:rFonts w:ascii="Arial" w:hAnsi="Arial" w:cs="Arial"/>
        </w:rPr>
        <w:t xml:space="preserve">There was thus little, if anything, to gainsay the version advanced on behalf of the Minister. </w:t>
      </w:r>
      <w:r w:rsidR="00864271" w:rsidRPr="007A37E1">
        <w:rPr>
          <w:rFonts w:ascii="Arial" w:hAnsi="Arial" w:cs="Arial"/>
        </w:rPr>
        <w:t>All the more</w:t>
      </w:r>
      <w:r w:rsidR="00862259" w:rsidRPr="007A37E1">
        <w:rPr>
          <w:rFonts w:ascii="Arial" w:hAnsi="Arial" w:cs="Arial"/>
        </w:rPr>
        <w:t xml:space="preserve"> </w:t>
      </w:r>
      <w:r w:rsidR="003C4664" w:rsidRPr="007A37E1">
        <w:rPr>
          <w:rFonts w:ascii="Arial" w:hAnsi="Arial" w:cs="Arial"/>
        </w:rPr>
        <w:t>reason why the Minister’s answer, which elicited no more than a rather elliptical response in reply</w:t>
      </w:r>
      <w:r w:rsidR="002C0E04" w:rsidRPr="007A37E1">
        <w:rPr>
          <w:rFonts w:ascii="Arial" w:hAnsi="Arial" w:cs="Arial"/>
        </w:rPr>
        <w:t>,</w:t>
      </w:r>
      <w:r w:rsidR="003C4664" w:rsidRPr="007A37E1">
        <w:rPr>
          <w:rFonts w:ascii="Arial" w:hAnsi="Arial" w:cs="Arial"/>
        </w:rPr>
        <w:t xml:space="preserve"> had to carry the day.</w:t>
      </w:r>
    </w:p>
    <w:p w14:paraId="5F6A2275" w14:textId="05B8DA2B" w:rsidR="000B20C7" w:rsidRPr="007A37E1" w:rsidRDefault="000B20C7" w:rsidP="00974860">
      <w:pPr>
        <w:spacing w:line="360" w:lineRule="auto"/>
        <w:jc w:val="both"/>
        <w:rPr>
          <w:rFonts w:ascii="Arial" w:hAnsi="Arial" w:cs="Arial"/>
        </w:rPr>
      </w:pPr>
    </w:p>
    <w:p w14:paraId="1F965A2C" w14:textId="4E95FB13" w:rsidR="000B20C7" w:rsidRPr="007A37E1" w:rsidRDefault="000B20C7" w:rsidP="00974860">
      <w:pPr>
        <w:spacing w:line="360" w:lineRule="auto"/>
        <w:jc w:val="both"/>
        <w:rPr>
          <w:rFonts w:ascii="Arial" w:hAnsi="Arial" w:cs="Arial"/>
        </w:rPr>
      </w:pPr>
      <w:r w:rsidRPr="007A37E1">
        <w:rPr>
          <w:rFonts w:ascii="Arial" w:hAnsi="Arial" w:cs="Arial"/>
        </w:rPr>
        <w:t>[</w:t>
      </w:r>
      <w:r w:rsidR="007A549D" w:rsidRPr="007A37E1">
        <w:rPr>
          <w:rFonts w:ascii="Arial" w:hAnsi="Arial" w:cs="Arial"/>
        </w:rPr>
        <w:t>9</w:t>
      </w:r>
      <w:r w:rsidR="00904BAC" w:rsidRPr="007A37E1">
        <w:rPr>
          <w:rFonts w:ascii="Arial" w:hAnsi="Arial" w:cs="Arial"/>
        </w:rPr>
        <w:t>4</w:t>
      </w:r>
      <w:r w:rsidR="001C1392" w:rsidRPr="007A37E1">
        <w:rPr>
          <w:rFonts w:ascii="Arial" w:hAnsi="Arial" w:cs="Arial"/>
        </w:rPr>
        <w:t>]</w:t>
      </w:r>
      <w:r w:rsidR="001C1392" w:rsidRPr="007A37E1">
        <w:rPr>
          <w:rFonts w:ascii="Arial" w:hAnsi="Arial" w:cs="Arial"/>
        </w:rPr>
        <w:tab/>
        <w:t xml:space="preserve"> </w:t>
      </w:r>
      <w:r w:rsidR="00F8359C" w:rsidRPr="007A37E1">
        <w:rPr>
          <w:rFonts w:ascii="Arial" w:hAnsi="Arial" w:cs="Arial"/>
        </w:rPr>
        <w:t xml:space="preserve">It is so </w:t>
      </w:r>
      <w:r w:rsidR="001C1392" w:rsidRPr="007A37E1">
        <w:rPr>
          <w:rFonts w:ascii="Arial" w:hAnsi="Arial" w:cs="Arial"/>
        </w:rPr>
        <w:t>that the application in the high court was brou</w:t>
      </w:r>
      <w:r w:rsidR="00AC47D9" w:rsidRPr="007A37E1">
        <w:rPr>
          <w:rFonts w:ascii="Arial" w:hAnsi="Arial" w:cs="Arial"/>
        </w:rPr>
        <w:t>ght on an urgent basis</w:t>
      </w:r>
      <w:r w:rsidR="00A26C3A" w:rsidRPr="007A37E1">
        <w:rPr>
          <w:rFonts w:ascii="Arial" w:hAnsi="Arial" w:cs="Arial"/>
        </w:rPr>
        <w:t>.</w:t>
      </w:r>
      <w:r w:rsidR="00D93AF0" w:rsidRPr="007A37E1">
        <w:rPr>
          <w:rFonts w:ascii="Arial" w:hAnsi="Arial" w:cs="Arial"/>
        </w:rPr>
        <w:t xml:space="preserve"> </w:t>
      </w:r>
      <w:r w:rsidR="0056447C">
        <w:rPr>
          <w:rFonts w:ascii="Arial" w:hAnsi="Arial" w:cs="Arial"/>
        </w:rPr>
        <w:t xml:space="preserve">     </w:t>
      </w:r>
      <w:r w:rsidR="00D93AF0" w:rsidRPr="007A37E1">
        <w:rPr>
          <w:rFonts w:ascii="Arial" w:hAnsi="Arial" w:cs="Arial"/>
        </w:rPr>
        <w:t>This may impose some constraints on the production of a full record. But the record is of importance</w:t>
      </w:r>
      <w:r w:rsidR="00B10395" w:rsidRPr="007A37E1">
        <w:rPr>
          <w:rFonts w:ascii="Arial" w:hAnsi="Arial" w:cs="Arial"/>
        </w:rPr>
        <w:t>,</w:t>
      </w:r>
      <w:r w:rsidR="00D93AF0" w:rsidRPr="007A37E1">
        <w:rPr>
          <w:rFonts w:ascii="Arial" w:hAnsi="Arial" w:cs="Arial"/>
        </w:rPr>
        <w:t xml:space="preserve"> not only to the parties, but for the court that must exercise its review jurisdiction. Every effort should be made to secure the record, or at least, in urgent cases, the m</w:t>
      </w:r>
      <w:r w:rsidR="00B62428" w:rsidRPr="007A37E1">
        <w:rPr>
          <w:rFonts w:ascii="Arial" w:hAnsi="Arial" w:cs="Arial"/>
        </w:rPr>
        <w:t>ost salient</w:t>
      </w:r>
      <w:r w:rsidR="00D93AF0" w:rsidRPr="007A37E1">
        <w:rPr>
          <w:rFonts w:ascii="Arial" w:hAnsi="Arial" w:cs="Arial"/>
        </w:rPr>
        <w:t xml:space="preserve"> parts of the record. In this the parties have a duty to co-operate. </w:t>
      </w:r>
      <w:r w:rsidR="0056447C">
        <w:rPr>
          <w:rFonts w:ascii="Arial" w:hAnsi="Arial" w:cs="Arial"/>
        </w:rPr>
        <w:t xml:space="preserve">                </w:t>
      </w:r>
      <w:r w:rsidR="00D93AF0" w:rsidRPr="007A37E1">
        <w:rPr>
          <w:rFonts w:ascii="Arial" w:hAnsi="Arial" w:cs="Arial"/>
        </w:rPr>
        <w:t>An applicant who proceeds without the benefit of the record may well do so at its own peril.</w:t>
      </w:r>
      <w:r w:rsidR="007E00D7" w:rsidRPr="007A37E1">
        <w:rPr>
          <w:rFonts w:ascii="Arial" w:hAnsi="Arial" w:cs="Arial"/>
        </w:rPr>
        <w:t xml:space="preserve"> </w:t>
      </w:r>
      <w:r w:rsidR="00F8359C" w:rsidRPr="007A37E1">
        <w:rPr>
          <w:rFonts w:ascii="Arial" w:hAnsi="Arial" w:cs="Arial"/>
        </w:rPr>
        <w:t xml:space="preserve">Rule 53 </w:t>
      </w:r>
      <w:r w:rsidR="003367EC" w:rsidRPr="007A37E1">
        <w:rPr>
          <w:rFonts w:ascii="Arial" w:hAnsi="Arial" w:cs="Arial"/>
        </w:rPr>
        <w:t xml:space="preserve">has to be read in conjunction with Uniform </w:t>
      </w:r>
      <w:r w:rsidR="00EE013C" w:rsidRPr="007A37E1">
        <w:rPr>
          <w:rFonts w:ascii="Arial" w:hAnsi="Arial" w:cs="Arial"/>
        </w:rPr>
        <w:t>r</w:t>
      </w:r>
      <w:r w:rsidR="003367EC" w:rsidRPr="007A37E1">
        <w:rPr>
          <w:rFonts w:ascii="Arial" w:hAnsi="Arial" w:cs="Arial"/>
        </w:rPr>
        <w:t>ule 6</w:t>
      </w:r>
      <w:r w:rsidR="00F8359C" w:rsidRPr="007A37E1">
        <w:rPr>
          <w:rFonts w:ascii="Arial" w:hAnsi="Arial" w:cs="Arial"/>
        </w:rPr>
        <w:t>,</w:t>
      </w:r>
      <w:r w:rsidR="003367EC" w:rsidRPr="007A37E1">
        <w:rPr>
          <w:rFonts w:ascii="Arial" w:hAnsi="Arial" w:cs="Arial"/>
        </w:rPr>
        <w:t xml:space="preserve"> </w:t>
      </w:r>
      <w:r w:rsidR="00F8359C" w:rsidRPr="007A37E1">
        <w:rPr>
          <w:rFonts w:ascii="Arial" w:hAnsi="Arial" w:cs="Arial"/>
        </w:rPr>
        <w:t xml:space="preserve">the </w:t>
      </w:r>
      <w:r w:rsidR="00ED2B75" w:rsidRPr="007A37E1">
        <w:rPr>
          <w:rFonts w:ascii="Arial" w:hAnsi="Arial" w:cs="Arial"/>
        </w:rPr>
        <w:t xml:space="preserve">long form </w:t>
      </w:r>
      <w:r w:rsidR="00F8359C" w:rsidRPr="007A37E1">
        <w:rPr>
          <w:rFonts w:ascii="Arial" w:hAnsi="Arial" w:cs="Arial"/>
        </w:rPr>
        <w:t xml:space="preserve">of which </w:t>
      </w:r>
      <w:r w:rsidR="00ED2B75" w:rsidRPr="007A37E1">
        <w:rPr>
          <w:rFonts w:ascii="Arial" w:hAnsi="Arial" w:cs="Arial"/>
        </w:rPr>
        <w:t>can be departed from in cases of urgency</w:t>
      </w:r>
      <w:r w:rsidR="00736ABC" w:rsidRPr="007A37E1">
        <w:rPr>
          <w:rFonts w:ascii="Arial" w:hAnsi="Arial" w:cs="Arial"/>
        </w:rPr>
        <w:t xml:space="preserve"> and it does not have </w:t>
      </w:r>
      <w:r w:rsidR="005E09DC" w:rsidRPr="007A37E1">
        <w:rPr>
          <w:rFonts w:ascii="Arial" w:hAnsi="Arial" w:cs="Arial"/>
        </w:rPr>
        <w:t xml:space="preserve">to </w:t>
      </w:r>
      <w:r w:rsidR="00736ABC" w:rsidRPr="007A37E1">
        <w:rPr>
          <w:rFonts w:ascii="Arial" w:hAnsi="Arial" w:cs="Arial"/>
        </w:rPr>
        <w:t>be coupled with a prayer for interim relief</w:t>
      </w:r>
      <w:r w:rsidR="00703D8C" w:rsidRPr="007A37E1">
        <w:rPr>
          <w:rFonts w:ascii="Arial" w:hAnsi="Arial" w:cs="Arial"/>
        </w:rPr>
        <w:t>.</w:t>
      </w:r>
      <w:r w:rsidR="000C58E1" w:rsidRPr="007A37E1">
        <w:rPr>
          <w:rStyle w:val="FootnoteReference"/>
          <w:rFonts w:ascii="Arial" w:hAnsi="Arial" w:cs="Arial"/>
        </w:rPr>
        <w:footnoteReference w:id="31"/>
      </w:r>
      <w:r w:rsidR="00ED2B75" w:rsidRPr="007A37E1">
        <w:rPr>
          <w:rFonts w:ascii="Arial" w:hAnsi="Arial" w:cs="Arial"/>
        </w:rPr>
        <w:t xml:space="preserve"> There appears to have been no inform</w:t>
      </w:r>
      <w:r w:rsidR="006868C0" w:rsidRPr="007A37E1">
        <w:rPr>
          <w:rFonts w:ascii="Arial" w:hAnsi="Arial" w:cs="Arial"/>
        </w:rPr>
        <w:t xml:space="preserve">al request </w:t>
      </w:r>
      <w:r w:rsidR="005709D1" w:rsidRPr="007A37E1">
        <w:rPr>
          <w:rFonts w:ascii="Arial" w:hAnsi="Arial" w:cs="Arial"/>
        </w:rPr>
        <w:t xml:space="preserve">by the respondents </w:t>
      </w:r>
      <w:r w:rsidR="006868C0" w:rsidRPr="007A37E1">
        <w:rPr>
          <w:rFonts w:ascii="Arial" w:hAnsi="Arial" w:cs="Arial"/>
        </w:rPr>
        <w:t xml:space="preserve">for a record of </w:t>
      </w:r>
      <w:r w:rsidR="005E09DC" w:rsidRPr="007A37E1">
        <w:rPr>
          <w:rFonts w:ascii="Arial" w:hAnsi="Arial" w:cs="Arial"/>
        </w:rPr>
        <w:t xml:space="preserve">the </w:t>
      </w:r>
      <w:r w:rsidR="006868C0" w:rsidRPr="007A37E1">
        <w:rPr>
          <w:rFonts w:ascii="Arial" w:hAnsi="Arial" w:cs="Arial"/>
        </w:rPr>
        <w:t>decision</w:t>
      </w:r>
      <w:r w:rsidR="005709D1" w:rsidRPr="007A37E1">
        <w:rPr>
          <w:rFonts w:ascii="Arial" w:hAnsi="Arial" w:cs="Arial"/>
        </w:rPr>
        <w:t xml:space="preserve">. The replying affidavit was filed </w:t>
      </w:r>
      <w:r w:rsidR="00FF49F4" w:rsidRPr="007A37E1">
        <w:rPr>
          <w:rFonts w:ascii="Arial" w:hAnsi="Arial" w:cs="Arial"/>
        </w:rPr>
        <w:t>almost a full two weeks after the application was launched</w:t>
      </w:r>
      <w:r w:rsidR="00EE013C" w:rsidRPr="007A37E1">
        <w:rPr>
          <w:rFonts w:ascii="Arial" w:hAnsi="Arial" w:cs="Arial"/>
        </w:rPr>
        <w:t>,</w:t>
      </w:r>
      <w:r w:rsidR="00FF49F4" w:rsidRPr="007A37E1">
        <w:rPr>
          <w:rFonts w:ascii="Arial" w:hAnsi="Arial" w:cs="Arial"/>
        </w:rPr>
        <w:t xml:space="preserve"> which would have left sufficient time for a perusal of the record </w:t>
      </w:r>
      <w:r w:rsidR="005D005D" w:rsidRPr="007A37E1">
        <w:rPr>
          <w:rFonts w:ascii="Arial" w:hAnsi="Arial" w:cs="Arial"/>
        </w:rPr>
        <w:t>if it had either been sought informally</w:t>
      </w:r>
      <w:r w:rsidR="005B5B1C" w:rsidRPr="007A37E1">
        <w:rPr>
          <w:rFonts w:ascii="Arial" w:hAnsi="Arial" w:cs="Arial"/>
        </w:rPr>
        <w:t xml:space="preserve"> </w:t>
      </w:r>
      <w:r w:rsidR="005D005D" w:rsidRPr="007A37E1">
        <w:rPr>
          <w:rFonts w:ascii="Arial" w:hAnsi="Arial" w:cs="Arial"/>
        </w:rPr>
        <w:t>or</w:t>
      </w:r>
      <w:r w:rsidR="005E5151" w:rsidRPr="007A37E1">
        <w:rPr>
          <w:rFonts w:ascii="Arial" w:hAnsi="Arial" w:cs="Arial"/>
        </w:rPr>
        <w:t xml:space="preserve"> obtained</w:t>
      </w:r>
      <w:r w:rsidR="005D005D" w:rsidRPr="007A37E1">
        <w:rPr>
          <w:rFonts w:ascii="Arial" w:hAnsi="Arial" w:cs="Arial"/>
        </w:rPr>
        <w:t xml:space="preserve"> by way of a preceding urgent interlocutory in the event that it had been refused.</w:t>
      </w:r>
    </w:p>
    <w:p w14:paraId="7CBAF885" w14:textId="77777777" w:rsidR="00904BAC" w:rsidRPr="007A37E1" w:rsidRDefault="00904BAC" w:rsidP="00974860">
      <w:pPr>
        <w:spacing w:line="360" w:lineRule="auto"/>
        <w:jc w:val="both"/>
        <w:rPr>
          <w:rFonts w:ascii="Arial" w:hAnsi="Arial" w:cs="Arial"/>
        </w:rPr>
      </w:pPr>
    </w:p>
    <w:p w14:paraId="0E7C707D" w14:textId="3B6511DD" w:rsidR="007B1898" w:rsidRPr="007A37E1" w:rsidRDefault="007B1898" w:rsidP="00974860">
      <w:pPr>
        <w:spacing w:line="360" w:lineRule="auto"/>
        <w:jc w:val="both"/>
        <w:rPr>
          <w:rFonts w:ascii="Arial" w:hAnsi="Arial" w:cs="Arial"/>
          <w:i/>
        </w:rPr>
      </w:pPr>
      <w:r w:rsidRPr="007A37E1">
        <w:rPr>
          <w:rFonts w:ascii="Arial" w:hAnsi="Arial" w:cs="Arial"/>
          <w:b/>
          <w:i/>
        </w:rPr>
        <w:t>As to the second</w:t>
      </w:r>
    </w:p>
    <w:p w14:paraId="0B2346A9" w14:textId="5CA82EA1" w:rsidR="00411A1C" w:rsidRPr="007A37E1" w:rsidRDefault="006446B3" w:rsidP="006748FE">
      <w:pPr>
        <w:tabs>
          <w:tab w:val="left" w:pos="851"/>
        </w:tabs>
        <w:spacing w:line="360" w:lineRule="auto"/>
        <w:jc w:val="both"/>
        <w:rPr>
          <w:rFonts w:ascii="Arial" w:hAnsi="Arial" w:cs="Arial"/>
        </w:rPr>
      </w:pPr>
      <w:r w:rsidRPr="007A37E1">
        <w:rPr>
          <w:rFonts w:ascii="Arial" w:hAnsi="Arial" w:cs="Arial"/>
        </w:rPr>
        <w:t>[</w:t>
      </w:r>
      <w:r w:rsidR="007A549D" w:rsidRPr="007A37E1">
        <w:rPr>
          <w:rFonts w:ascii="Arial" w:hAnsi="Arial" w:cs="Arial"/>
        </w:rPr>
        <w:t>9</w:t>
      </w:r>
      <w:r w:rsidR="00904BAC" w:rsidRPr="007A37E1">
        <w:rPr>
          <w:rFonts w:ascii="Arial" w:hAnsi="Arial" w:cs="Arial"/>
        </w:rPr>
        <w:t>5</w:t>
      </w:r>
      <w:r w:rsidRPr="007A37E1">
        <w:rPr>
          <w:rFonts w:ascii="Arial" w:hAnsi="Arial" w:cs="Arial"/>
        </w:rPr>
        <w:t>]</w:t>
      </w:r>
      <w:r w:rsidRPr="007A37E1">
        <w:rPr>
          <w:rFonts w:ascii="Arial" w:hAnsi="Arial" w:cs="Arial"/>
        </w:rPr>
        <w:tab/>
      </w:r>
      <w:r w:rsidR="000742B4" w:rsidRPr="007A37E1">
        <w:rPr>
          <w:rFonts w:ascii="Arial" w:hAnsi="Arial" w:cs="Arial"/>
        </w:rPr>
        <w:t xml:space="preserve">The respondents did not plead, or in </w:t>
      </w:r>
      <w:r w:rsidR="00E90843" w:rsidRPr="007A37E1">
        <w:rPr>
          <w:rFonts w:ascii="Arial" w:hAnsi="Arial" w:cs="Arial"/>
        </w:rPr>
        <w:t>any</w:t>
      </w:r>
      <w:r w:rsidR="000742B4" w:rsidRPr="007A37E1">
        <w:rPr>
          <w:rFonts w:ascii="Arial" w:hAnsi="Arial" w:cs="Arial"/>
        </w:rPr>
        <w:t xml:space="preserve"> event properly plead</w:t>
      </w:r>
      <w:r w:rsidR="00E90843" w:rsidRPr="007A37E1">
        <w:rPr>
          <w:rFonts w:ascii="Arial" w:hAnsi="Arial" w:cs="Arial"/>
        </w:rPr>
        <w:t>,</w:t>
      </w:r>
      <w:r w:rsidR="000742B4" w:rsidRPr="007A37E1">
        <w:rPr>
          <w:rFonts w:ascii="Arial" w:hAnsi="Arial" w:cs="Arial"/>
        </w:rPr>
        <w:t xml:space="preserve"> the constitutional attack that was upheld by the high court. C</w:t>
      </w:r>
      <w:r w:rsidR="001D071D" w:rsidRPr="007A37E1">
        <w:rPr>
          <w:rFonts w:ascii="Arial" w:hAnsi="Arial" w:cs="Arial"/>
        </w:rPr>
        <w:t xml:space="preserve">onstitutional questions ought to be approached by litigants </w:t>
      </w:r>
      <w:r w:rsidR="00B930F0" w:rsidRPr="007A37E1">
        <w:rPr>
          <w:rFonts w:ascii="Arial" w:hAnsi="Arial" w:cs="Arial"/>
        </w:rPr>
        <w:t xml:space="preserve">and courts alike with the appropriate degree of </w:t>
      </w:r>
      <w:r w:rsidR="00864271" w:rsidRPr="007A37E1">
        <w:rPr>
          <w:rFonts w:ascii="Arial" w:hAnsi="Arial" w:cs="Arial"/>
        </w:rPr>
        <w:t>care</w:t>
      </w:r>
      <w:r w:rsidR="00C47DBD" w:rsidRPr="007A37E1">
        <w:rPr>
          <w:rFonts w:ascii="Arial" w:hAnsi="Arial" w:cs="Arial"/>
        </w:rPr>
        <w:t xml:space="preserve">. </w:t>
      </w:r>
      <w:r w:rsidR="0064707A" w:rsidRPr="007A37E1">
        <w:rPr>
          <w:rFonts w:ascii="Arial" w:hAnsi="Arial" w:cs="Arial"/>
        </w:rPr>
        <w:t xml:space="preserve">The Constitutional Court </w:t>
      </w:r>
      <w:r w:rsidR="0064707A" w:rsidRPr="007A37E1">
        <w:rPr>
          <w:rFonts w:ascii="Arial" w:hAnsi="Arial" w:cs="Arial"/>
        </w:rPr>
        <w:lastRenderedPageBreak/>
        <w:t xml:space="preserve">has repeatedly warned that </w:t>
      </w:r>
      <w:r w:rsidR="008E18B7" w:rsidRPr="007A37E1">
        <w:rPr>
          <w:rFonts w:ascii="Arial" w:hAnsi="Arial" w:cs="Arial"/>
        </w:rPr>
        <w:t xml:space="preserve">constitutional attacks on the validity of legislation </w:t>
      </w:r>
      <w:r w:rsidR="0030353F" w:rsidRPr="007A37E1">
        <w:rPr>
          <w:rFonts w:ascii="Arial" w:hAnsi="Arial" w:cs="Arial"/>
        </w:rPr>
        <w:t xml:space="preserve">must be pleaded explicitly and with specificity to enable the </w:t>
      </w:r>
      <w:r w:rsidR="005E09DC" w:rsidRPr="007A37E1">
        <w:rPr>
          <w:rFonts w:ascii="Arial" w:hAnsi="Arial" w:cs="Arial"/>
        </w:rPr>
        <w:t>S</w:t>
      </w:r>
      <w:r w:rsidR="0030353F" w:rsidRPr="007A37E1">
        <w:rPr>
          <w:rFonts w:ascii="Arial" w:hAnsi="Arial" w:cs="Arial"/>
        </w:rPr>
        <w:t>tate to know what case it has to meet</w:t>
      </w:r>
      <w:r w:rsidR="00CA086B" w:rsidRPr="007A37E1">
        <w:rPr>
          <w:rFonts w:ascii="Arial" w:hAnsi="Arial" w:cs="Arial"/>
        </w:rPr>
        <w:t xml:space="preserve"> and to adduce the evidence necessary to</w:t>
      </w:r>
      <w:r w:rsidR="00007E7B" w:rsidRPr="007A37E1">
        <w:rPr>
          <w:rFonts w:ascii="Arial" w:hAnsi="Arial" w:cs="Arial"/>
        </w:rPr>
        <w:t xml:space="preserve"> do so</w:t>
      </w:r>
      <w:r w:rsidR="00F9652F" w:rsidRPr="007A37E1">
        <w:rPr>
          <w:rFonts w:ascii="Arial" w:hAnsi="Arial" w:cs="Arial"/>
        </w:rPr>
        <w:t>.</w:t>
      </w:r>
      <w:r w:rsidR="00CA086B" w:rsidRPr="007A37E1">
        <w:rPr>
          <w:rFonts w:ascii="Arial" w:hAnsi="Arial" w:cs="Arial"/>
        </w:rPr>
        <w:t xml:space="preserve"> </w:t>
      </w:r>
      <w:r w:rsidR="00E00215" w:rsidRPr="007A37E1">
        <w:rPr>
          <w:rFonts w:ascii="Arial" w:hAnsi="Arial" w:cs="Arial"/>
        </w:rPr>
        <w:t>N</w:t>
      </w:r>
      <w:r w:rsidR="00A569BA" w:rsidRPr="007A37E1">
        <w:rPr>
          <w:rFonts w:ascii="Arial" w:hAnsi="Arial" w:cs="Arial"/>
        </w:rPr>
        <w:t xml:space="preserve">gcobo J put </w:t>
      </w:r>
      <w:r w:rsidR="00864271" w:rsidRPr="007A37E1">
        <w:rPr>
          <w:rFonts w:ascii="Arial" w:hAnsi="Arial" w:cs="Arial"/>
        </w:rPr>
        <w:t>the proposition</w:t>
      </w:r>
      <w:r w:rsidR="00A569BA" w:rsidRPr="007A37E1">
        <w:rPr>
          <w:rFonts w:ascii="Arial" w:hAnsi="Arial" w:cs="Arial"/>
        </w:rPr>
        <w:t xml:space="preserve"> as follows:</w:t>
      </w:r>
    </w:p>
    <w:p w14:paraId="1C145173" w14:textId="77B4C8BD" w:rsidR="00025AD0" w:rsidRPr="007A37E1" w:rsidRDefault="00A569BA" w:rsidP="001734E3">
      <w:pPr>
        <w:spacing w:line="360" w:lineRule="auto"/>
        <w:jc w:val="both"/>
        <w:rPr>
          <w:rFonts w:ascii="Arial" w:hAnsi="Arial" w:cs="Arial"/>
          <w:sz w:val="22"/>
          <w:szCs w:val="22"/>
          <w:lang w:val="en-US"/>
        </w:rPr>
      </w:pPr>
      <w:r w:rsidRPr="007A37E1">
        <w:rPr>
          <w:rFonts w:ascii="Arial" w:hAnsi="Arial" w:cs="Arial"/>
          <w:sz w:val="22"/>
          <w:szCs w:val="22"/>
        </w:rPr>
        <w:t>‘</w:t>
      </w:r>
      <w:r w:rsidR="00873D1B" w:rsidRPr="007A37E1">
        <w:rPr>
          <w:rFonts w:ascii="Arial" w:hAnsi="Arial" w:cs="Arial"/>
          <w:sz w:val="22"/>
          <w:szCs w:val="22"/>
          <w:lang w:val="en-US"/>
        </w:rPr>
        <w:t xml:space="preserve">Parties who challenge the constitutionality of a provision in a statute must raise the constitutionality of the provisions sought to be challenged </w:t>
      </w:r>
      <w:r w:rsidR="00C07E18" w:rsidRPr="007A37E1">
        <w:rPr>
          <w:rFonts w:ascii="Arial" w:hAnsi="Arial" w:cs="Arial"/>
          <w:sz w:val="22"/>
          <w:szCs w:val="22"/>
          <w:lang w:val="en-US"/>
        </w:rPr>
        <w:t xml:space="preserve">at the time they institute </w:t>
      </w:r>
      <w:r w:rsidR="00933CAF" w:rsidRPr="007A37E1">
        <w:rPr>
          <w:rFonts w:ascii="Arial" w:hAnsi="Arial" w:cs="Arial"/>
          <w:sz w:val="22"/>
          <w:szCs w:val="22"/>
          <w:lang w:val="en-US"/>
        </w:rPr>
        <w:t>l</w:t>
      </w:r>
      <w:r w:rsidR="00281FFC" w:rsidRPr="007A37E1">
        <w:rPr>
          <w:rFonts w:ascii="Arial" w:hAnsi="Arial" w:cs="Arial"/>
          <w:sz w:val="22"/>
          <w:szCs w:val="22"/>
          <w:lang w:val="en-US"/>
        </w:rPr>
        <w:t xml:space="preserve">egal proceedings. In addition, </w:t>
      </w:r>
      <w:r w:rsidR="004E3BE6" w:rsidRPr="007A37E1">
        <w:rPr>
          <w:rFonts w:ascii="Arial" w:hAnsi="Arial" w:cs="Arial"/>
          <w:sz w:val="22"/>
          <w:szCs w:val="22"/>
          <w:lang w:val="en-US"/>
        </w:rPr>
        <w:t xml:space="preserve">a party must place before the court information relevant to the determination of </w:t>
      </w:r>
      <w:r w:rsidR="007744C5" w:rsidRPr="007A37E1">
        <w:rPr>
          <w:rFonts w:ascii="Arial" w:hAnsi="Arial" w:cs="Arial"/>
          <w:sz w:val="22"/>
          <w:szCs w:val="22"/>
          <w:lang w:val="en-US"/>
        </w:rPr>
        <w:t>t</w:t>
      </w:r>
      <w:r w:rsidR="004E3BE6" w:rsidRPr="007A37E1">
        <w:rPr>
          <w:rFonts w:ascii="Arial" w:hAnsi="Arial" w:cs="Arial"/>
          <w:sz w:val="22"/>
          <w:szCs w:val="22"/>
          <w:lang w:val="en-US"/>
        </w:rPr>
        <w:t xml:space="preserve">he impugned provisions. </w:t>
      </w:r>
      <w:r w:rsidR="00312C5C" w:rsidRPr="007A37E1">
        <w:rPr>
          <w:rFonts w:ascii="Arial" w:hAnsi="Arial" w:cs="Arial"/>
          <w:sz w:val="22"/>
          <w:szCs w:val="22"/>
          <w:lang w:val="en-US"/>
        </w:rPr>
        <w:t>Similarly, a party seeking to justify a limitation of a constitutional right</w:t>
      </w:r>
      <w:r w:rsidR="007744C5" w:rsidRPr="007A37E1">
        <w:rPr>
          <w:rFonts w:ascii="Arial" w:hAnsi="Arial" w:cs="Arial"/>
          <w:sz w:val="22"/>
          <w:szCs w:val="22"/>
          <w:lang w:val="en-US"/>
        </w:rPr>
        <w:t xml:space="preserve"> must place before the court information relevant to the issue of justification</w:t>
      </w:r>
      <w:r w:rsidR="008276F0" w:rsidRPr="007A37E1">
        <w:rPr>
          <w:rFonts w:ascii="Arial" w:hAnsi="Arial" w:cs="Arial"/>
          <w:sz w:val="22"/>
          <w:szCs w:val="22"/>
          <w:lang w:val="en-US"/>
        </w:rPr>
        <w:t>.</w:t>
      </w:r>
      <w:r w:rsidR="007A2A67" w:rsidRPr="007A37E1">
        <w:rPr>
          <w:rFonts w:ascii="Arial" w:hAnsi="Arial" w:cs="Arial"/>
          <w:sz w:val="22"/>
          <w:szCs w:val="22"/>
          <w:lang w:val="en-US"/>
        </w:rPr>
        <w:t xml:space="preserve"> </w:t>
      </w:r>
      <w:r w:rsidR="0056447C">
        <w:rPr>
          <w:rFonts w:ascii="Arial" w:hAnsi="Arial" w:cs="Arial"/>
          <w:sz w:val="22"/>
          <w:szCs w:val="22"/>
          <w:lang w:val="en-US"/>
        </w:rPr>
        <w:t xml:space="preserve">     </w:t>
      </w:r>
      <w:r w:rsidR="008276F0" w:rsidRPr="007A37E1">
        <w:rPr>
          <w:rFonts w:ascii="Arial" w:hAnsi="Arial" w:cs="Arial"/>
          <w:sz w:val="22"/>
          <w:szCs w:val="22"/>
          <w:lang w:val="en-US"/>
        </w:rPr>
        <w:t>I would emphasi</w:t>
      </w:r>
      <w:r w:rsidR="004E2AD5" w:rsidRPr="007A37E1">
        <w:rPr>
          <w:rFonts w:ascii="Arial" w:hAnsi="Arial" w:cs="Arial"/>
          <w:sz w:val="22"/>
          <w:szCs w:val="22"/>
          <w:lang w:val="en-US"/>
        </w:rPr>
        <w:t>s</w:t>
      </w:r>
      <w:r w:rsidR="008276F0" w:rsidRPr="007A37E1">
        <w:rPr>
          <w:rFonts w:ascii="Arial" w:hAnsi="Arial" w:cs="Arial"/>
          <w:sz w:val="22"/>
          <w:szCs w:val="22"/>
          <w:lang w:val="en-US"/>
        </w:rPr>
        <w:t>e that all this information must be placed before the court of first instance.</w:t>
      </w:r>
      <w:r w:rsidR="007A2A67" w:rsidRPr="007A37E1">
        <w:rPr>
          <w:rFonts w:ascii="Arial" w:hAnsi="Arial" w:cs="Arial"/>
          <w:sz w:val="22"/>
          <w:szCs w:val="22"/>
          <w:lang w:val="en-US"/>
        </w:rPr>
        <w:t xml:space="preserve"> The placing </w:t>
      </w:r>
      <w:r w:rsidR="000570DB" w:rsidRPr="007A37E1">
        <w:rPr>
          <w:rFonts w:ascii="Arial" w:hAnsi="Arial" w:cs="Arial"/>
          <w:sz w:val="22"/>
          <w:szCs w:val="22"/>
          <w:lang w:val="en-US"/>
        </w:rPr>
        <w:t xml:space="preserve">of the relevant information is necessary to warn the other party </w:t>
      </w:r>
      <w:r w:rsidR="007263E3" w:rsidRPr="007A37E1">
        <w:rPr>
          <w:rFonts w:ascii="Arial" w:hAnsi="Arial" w:cs="Arial"/>
          <w:sz w:val="22"/>
          <w:szCs w:val="22"/>
          <w:lang w:val="en-US"/>
        </w:rPr>
        <w:t xml:space="preserve">of the case it will have to meet, so as </w:t>
      </w:r>
      <w:r w:rsidR="00AE1110" w:rsidRPr="007A37E1">
        <w:rPr>
          <w:rFonts w:ascii="Arial" w:hAnsi="Arial" w:cs="Arial"/>
          <w:sz w:val="22"/>
          <w:szCs w:val="22"/>
          <w:lang w:val="en-US"/>
        </w:rPr>
        <w:t>[</w:t>
      </w:r>
      <w:r w:rsidR="007263E3" w:rsidRPr="007A37E1">
        <w:rPr>
          <w:rFonts w:ascii="Arial" w:hAnsi="Arial" w:cs="Arial"/>
          <w:sz w:val="22"/>
          <w:szCs w:val="22"/>
          <w:lang w:val="en-US"/>
        </w:rPr>
        <w:t>to</w:t>
      </w:r>
      <w:r w:rsidR="00AE1110" w:rsidRPr="007A37E1">
        <w:rPr>
          <w:rFonts w:ascii="Arial" w:hAnsi="Arial" w:cs="Arial"/>
          <w:sz w:val="22"/>
          <w:szCs w:val="22"/>
          <w:lang w:val="en-US"/>
        </w:rPr>
        <w:t>]</w:t>
      </w:r>
      <w:r w:rsidR="007263E3" w:rsidRPr="007A37E1">
        <w:rPr>
          <w:rFonts w:ascii="Arial" w:hAnsi="Arial" w:cs="Arial"/>
          <w:sz w:val="22"/>
          <w:szCs w:val="22"/>
          <w:lang w:val="en-US"/>
        </w:rPr>
        <w:t xml:space="preserve"> allow it the opportunity to present </w:t>
      </w:r>
      <w:r w:rsidR="004431AA" w:rsidRPr="007A37E1">
        <w:rPr>
          <w:rFonts w:ascii="Arial" w:hAnsi="Arial" w:cs="Arial"/>
          <w:sz w:val="22"/>
          <w:szCs w:val="22"/>
          <w:lang w:val="en-US"/>
        </w:rPr>
        <w:t xml:space="preserve">factual material and legal argument to meet that case. it is not sufficient for a party to raise the constitutionality of a statute </w:t>
      </w:r>
      <w:r w:rsidR="00672ABA" w:rsidRPr="007A37E1">
        <w:rPr>
          <w:rFonts w:ascii="Arial" w:hAnsi="Arial" w:cs="Arial"/>
          <w:sz w:val="22"/>
          <w:szCs w:val="22"/>
          <w:lang w:val="en-US"/>
        </w:rPr>
        <w:t xml:space="preserve">only in the heads of argument, without laying a proper foundation for such a challenge in the papers </w:t>
      </w:r>
      <w:r w:rsidR="00273E62" w:rsidRPr="007A37E1">
        <w:rPr>
          <w:rFonts w:ascii="Arial" w:hAnsi="Arial" w:cs="Arial"/>
          <w:sz w:val="22"/>
          <w:szCs w:val="22"/>
          <w:lang w:val="en-US"/>
        </w:rPr>
        <w:t xml:space="preserve">or the pleadings. The other party must be left in no doubt as to </w:t>
      </w:r>
      <w:r w:rsidR="00025AD0" w:rsidRPr="007A37E1">
        <w:rPr>
          <w:rFonts w:ascii="Arial" w:hAnsi="Arial" w:cs="Arial"/>
          <w:sz w:val="22"/>
          <w:szCs w:val="22"/>
          <w:lang w:val="en-US"/>
        </w:rPr>
        <w:t xml:space="preserve">the nature of the case </w:t>
      </w:r>
      <w:r w:rsidR="00F9652F" w:rsidRPr="007A37E1">
        <w:rPr>
          <w:rFonts w:ascii="Arial" w:hAnsi="Arial" w:cs="Arial"/>
          <w:sz w:val="22"/>
          <w:szCs w:val="22"/>
          <w:lang w:val="en-US"/>
        </w:rPr>
        <w:t>it has to meet and relief that is sought.’</w:t>
      </w:r>
      <w:r w:rsidR="00F9652F" w:rsidRPr="007A37E1">
        <w:rPr>
          <w:rStyle w:val="FootnoteReference"/>
          <w:rFonts w:ascii="Arial" w:hAnsi="Arial" w:cs="Arial"/>
        </w:rPr>
        <w:footnoteReference w:id="32"/>
      </w:r>
    </w:p>
    <w:p w14:paraId="335E3FAA" w14:textId="03A7208A" w:rsidR="00B6283E" w:rsidRPr="007A37E1" w:rsidRDefault="00B6283E" w:rsidP="00C75D99">
      <w:pPr>
        <w:spacing w:line="360" w:lineRule="auto"/>
        <w:jc w:val="both"/>
        <w:rPr>
          <w:rFonts w:ascii="Arial" w:hAnsi="Arial" w:cs="Arial"/>
        </w:rPr>
      </w:pPr>
    </w:p>
    <w:p w14:paraId="6A492DEC" w14:textId="42709AA5" w:rsidR="00ED464D" w:rsidRPr="007A37E1" w:rsidRDefault="00B6283E" w:rsidP="00974860">
      <w:pPr>
        <w:spacing w:line="360" w:lineRule="auto"/>
        <w:jc w:val="both"/>
        <w:rPr>
          <w:rFonts w:ascii="Arial" w:hAnsi="Arial" w:cs="Arial"/>
        </w:rPr>
      </w:pPr>
      <w:r w:rsidRPr="007A37E1">
        <w:rPr>
          <w:rFonts w:ascii="Arial" w:hAnsi="Arial" w:cs="Arial"/>
        </w:rPr>
        <w:t>[</w:t>
      </w:r>
      <w:r w:rsidR="007A549D" w:rsidRPr="007A37E1">
        <w:rPr>
          <w:rFonts w:ascii="Arial" w:hAnsi="Arial" w:cs="Arial"/>
        </w:rPr>
        <w:t>9</w:t>
      </w:r>
      <w:r w:rsidR="00904BAC" w:rsidRPr="007A37E1">
        <w:rPr>
          <w:rFonts w:ascii="Arial" w:hAnsi="Arial" w:cs="Arial"/>
        </w:rPr>
        <w:t>6</w:t>
      </w:r>
      <w:r w:rsidRPr="007A37E1">
        <w:rPr>
          <w:rFonts w:ascii="Arial" w:hAnsi="Arial" w:cs="Arial"/>
        </w:rPr>
        <w:t>]</w:t>
      </w:r>
      <w:r w:rsidR="00902E38" w:rsidRPr="007A37E1">
        <w:rPr>
          <w:rFonts w:ascii="Arial" w:hAnsi="Arial" w:cs="Arial"/>
        </w:rPr>
        <w:tab/>
        <w:t xml:space="preserve">In </w:t>
      </w:r>
      <w:r w:rsidR="00567E86" w:rsidRPr="007A37E1">
        <w:rPr>
          <w:rFonts w:ascii="Arial" w:hAnsi="Arial" w:cs="Arial"/>
          <w:i/>
          <w:iCs/>
        </w:rPr>
        <w:t xml:space="preserve">Public Servants Association obo </w:t>
      </w:r>
      <w:r w:rsidR="005602A4" w:rsidRPr="007A37E1">
        <w:rPr>
          <w:rFonts w:ascii="Arial" w:hAnsi="Arial" w:cs="Arial"/>
          <w:i/>
          <w:iCs/>
        </w:rPr>
        <w:t>Ubogu v Head of Department of Health, Gauteng and Others</w:t>
      </w:r>
      <w:r w:rsidR="00025AD0" w:rsidRPr="007A37E1">
        <w:rPr>
          <w:rFonts w:ascii="Arial" w:hAnsi="Arial" w:cs="Arial"/>
          <w:i/>
          <w:iCs/>
        </w:rPr>
        <w:t xml:space="preserve">, </w:t>
      </w:r>
      <w:r w:rsidR="00ED464D" w:rsidRPr="007A37E1">
        <w:rPr>
          <w:rFonts w:ascii="Arial" w:hAnsi="Arial" w:cs="Arial"/>
        </w:rPr>
        <w:t>the Constitutional Court spoke thus:</w:t>
      </w:r>
    </w:p>
    <w:p w14:paraId="24C7BAC9" w14:textId="74E97811" w:rsidR="009E6519" w:rsidRPr="007A37E1" w:rsidRDefault="00933CAF" w:rsidP="00974860">
      <w:pPr>
        <w:spacing w:line="360" w:lineRule="auto"/>
        <w:jc w:val="both"/>
        <w:rPr>
          <w:rFonts w:ascii="Arial" w:hAnsi="Arial" w:cs="Arial"/>
          <w:sz w:val="22"/>
          <w:szCs w:val="22"/>
        </w:rPr>
      </w:pPr>
      <w:r w:rsidRPr="007A37E1">
        <w:rPr>
          <w:rFonts w:ascii="Arial" w:hAnsi="Arial" w:cs="Arial"/>
          <w:sz w:val="22"/>
          <w:szCs w:val="22"/>
        </w:rPr>
        <w:t>‘</w:t>
      </w:r>
      <w:r w:rsidR="00004B08" w:rsidRPr="007A37E1">
        <w:rPr>
          <w:rFonts w:ascii="Arial" w:hAnsi="Arial" w:cs="Arial"/>
          <w:sz w:val="22"/>
          <w:szCs w:val="22"/>
        </w:rPr>
        <w:t xml:space="preserve">In </w:t>
      </w:r>
      <w:r w:rsidR="00004B08" w:rsidRPr="007A37E1">
        <w:rPr>
          <w:rFonts w:ascii="Arial" w:hAnsi="Arial" w:cs="Arial"/>
          <w:i/>
          <w:iCs/>
          <w:sz w:val="22"/>
          <w:szCs w:val="22"/>
        </w:rPr>
        <w:t>Garvas</w:t>
      </w:r>
      <w:r w:rsidR="007B1898" w:rsidRPr="007A37E1">
        <w:rPr>
          <w:rFonts w:ascii="Arial" w:hAnsi="Arial" w:cs="Arial"/>
          <w:iCs/>
          <w:sz w:val="22"/>
          <w:szCs w:val="22"/>
        </w:rPr>
        <w:t>,</w:t>
      </w:r>
      <w:r w:rsidR="00004B08" w:rsidRPr="007A37E1">
        <w:rPr>
          <w:rFonts w:ascii="Arial" w:hAnsi="Arial" w:cs="Arial"/>
          <w:i/>
          <w:iCs/>
          <w:sz w:val="22"/>
          <w:szCs w:val="22"/>
        </w:rPr>
        <w:t xml:space="preserve"> </w:t>
      </w:r>
      <w:r w:rsidR="002661CE" w:rsidRPr="007A37E1">
        <w:rPr>
          <w:rFonts w:ascii="Arial" w:hAnsi="Arial" w:cs="Arial"/>
          <w:sz w:val="22"/>
          <w:szCs w:val="22"/>
        </w:rPr>
        <w:t xml:space="preserve">Jafta J (albeit the minority) </w:t>
      </w:r>
      <w:r w:rsidR="008319AE" w:rsidRPr="007A37E1">
        <w:rPr>
          <w:rFonts w:ascii="Arial" w:hAnsi="Arial" w:cs="Arial"/>
          <w:sz w:val="22"/>
          <w:szCs w:val="22"/>
        </w:rPr>
        <w:t xml:space="preserve">emphasised the importance of </w:t>
      </w:r>
      <w:r w:rsidR="00F81C4E" w:rsidRPr="007A37E1">
        <w:rPr>
          <w:rFonts w:ascii="Arial" w:hAnsi="Arial" w:cs="Arial"/>
          <w:sz w:val="22"/>
          <w:szCs w:val="22"/>
        </w:rPr>
        <w:t>accuracy in the pleadings</w:t>
      </w:r>
      <w:r w:rsidR="009E6519" w:rsidRPr="007A37E1">
        <w:rPr>
          <w:rFonts w:ascii="Arial" w:hAnsi="Arial" w:cs="Arial"/>
          <w:sz w:val="22"/>
          <w:szCs w:val="22"/>
        </w:rPr>
        <w:t>.</w:t>
      </w:r>
      <w:r w:rsidR="00436FD4" w:rsidRPr="007A37E1">
        <w:rPr>
          <w:rFonts w:ascii="Arial" w:hAnsi="Arial" w:cs="Arial"/>
          <w:sz w:val="22"/>
          <w:szCs w:val="22"/>
        </w:rPr>
        <w:t xml:space="preserve"> </w:t>
      </w:r>
      <w:r w:rsidR="009E6519" w:rsidRPr="007A37E1">
        <w:rPr>
          <w:rFonts w:ascii="Arial" w:hAnsi="Arial" w:cs="Arial"/>
          <w:sz w:val="22"/>
          <w:szCs w:val="22"/>
        </w:rPr>
        <w:t>He remarked:</w:t>
      </w:r>
    </w:p>
    <w:p w14:paraId="0762A53A" w14:textId="70396A7C" w:rsidR="00236217" w:rsidRPr="007A37E1" w:rsidRDefault="003921F4" w:rsidP="00974860">
      <w:pPr>
        <w:spacing w:line="360" w:lineRule="auto"/>
        <w:jc w:val="both"/>
        <w:rPr>
          <w:rFonts w:ascii="Arial" w:hAnsi="Arial" w:cs="Arial"/>
          <w:sz w:val="22"/>
          <w:szCs w:val="22"/>
          <w:lang w:val="en-US"/>
        </w:rPr>
      </w:pPr>
      <w:r w:rsidRPr="007A37E1">
        <w:rPr>
          <w:rFonts w:ascii="Arial" w:hAnsi="Arial" w:cs="Arial"/>
          <w:sz w:val="22"/>
          <w:szCs w:val="22"/>
        </w:rPr>
        <w:t>“</w:t>
      </w:r>
      <w:r w:rsidRPr="007A37E1">
        <w:rPr>
          <w:rFonts w:ascii="Arial" w:hAnsi="Arial" w:cs="Arial"/>
          <w:sz w:val="22"/>
          <w:szCs w:val="22"/>
          <w:lang w:val="en-US"/>
        </w:rPr>
        <w:t xml:space="preserve">Orders of constitutional invalidity </w:t>
      </w:r>
      <w:r w:rsidR="00D917CA" w:rsidRPr="007A37E1">
        <w:rPr>
          <w:rFonts w:ascii="Arial" w:hAnsi="Arial" w:cs="Arial"/>
          <w:sz w:val="22"/>
          <w:szCs w:val="22"/>
          <w:lang w:val="en-US"/>
        </w:rPr>
        <w:t xml:space="preserve">have a reach that extends beyond the parties to a case where </w:t>
      </w:r>
      <w:r w:rsidR="00CF34A3" w:rsidRPr="007A37E1">
        <w:rPr>
          <w:rFonts w:ascii="Arial" w:hAnsi="Arial" w:cs="Arial"/>
          <w:sz w:val="22"/>
          <w:szCs w:val="22"/>
          <w:lang w:val="en-US"/>
        </w:rPr>
        <w:t>a claim for the declaration of invalidity is made. But more importantly</w:t>
      </w:r>
      <w:r w:rsidR="00A779DB" w:rsidRPr="007A37E1">
        <w:rPr>
          <w:rFonts w:ascii="Arial" w:hAnsi="Arial" w:cs="Arial"/>
          <w:sz w:val="22"/>
          <w:szCs w:val="22"/>
          <w:lang w:val="en-US"/>
        </w:rPr>
        <w:t xml:space="preserve"> </w:t>
      </w:r>
      <w:r w:rsidR="00972D66" w:rsidRPr="007A37E1">
        <w:rPr>
          <w:rFonts w:ascii="Arial" w:hAnsi="Arial" w:cs="Arial"/>
          <w:sz w:val="22"/>
          <w:szCs w:val="22"/>
          <w:lang w:val="en-US"/>
        </w:rPr>
        <w:t>t</w:t>
      </w:r>
      <w:r w:rsidR="00A779DB" w:rsidRPr="007A37E1">
        <w:rPr>
          <w:rFonts w:ascii="Arial" w:hAnsi="Arial" w:cs="Arial"/>
          <w:sz w:val="22"/>
          <w:szCs w:val="22"/>
          <w:lang w:val="en-US"/>
        </w:rPr>
        <w:t xml:space="preserve">hese orders </w:t>
      </w:r>
      <w:r w:rsidR="00972D66" w:rsidRPr="007A37E1">
        <w:rPr>
          <w:rFonts w:ascii="Arial" w:hAnsi="Arial" w:cs="Arial"/>
          <w:sz w:val="22"/>
          <w:szCs w:val="22"/>
          <w:lang w:val="en-US"/>
        </w:rPr>
        <w:t>intrude, albeit</w:t>
      </w:r>
      <w:r w:rsidR="00D426B0" w:rsidRPr="007A37E1">
        <w:rPr>
          <w:rFonts w:ascii="Arial" w:hAnsi="Arial" w:cs="Arial"/>
          <w:sz w:val="22"/>
          <w:szCs w:val="22"/>
          <w:lang w:val="en-US"/>
        </w:rPr>
        <w:t xml:space="preserve"> in a constitutionally permissible manner, into the domain of the legislature</w:t>
      </w:r>
      <w:r w:rsidR="0075052C" w:rsidRPr="007A37E1">
        <w:rPr>
          <w:rFonts w:ascii="Arial" w:hAnsi="Arial" w:cs="Arial"/>
          <w:sz w:val="22"/>
          <w:szCs w:val="22"/>
          <w:lang w:val="en-US"/>
        </w:rPr>
        <w:t xml:space="preserve">. The granting of these orders is a serious matter </w:t>
      </w:r>
      <w:r w:rsidR="00B722D8" w:rsidRPr="007A37E1">
        <w:rPr>
          <w:rFonts w:ascii="Arial" w:hAnsi="Arial" w:cs="Arial"/>
          <w:sz w:val="22"/>
          <w:szCs w:val="22"/>
          <w:lang w:val="en-US"/>
        </w:rPr>
        <w:t xml:space="preserve">and they should be issued only where the requirements of the Constitution </w:t>
      </w:r>
      <w:r w:rsidR="00236217" w:rsidRPr="007A37E1">
        <w:rPr>
          <w:rFonts w:ascii="Arial" w:hAnsi="Arial" w:cs="Arial"/>
          <w:sz w:val="22"/>
          <w:szCs w:val="22"/>
          <w:lang w:val="en-US"/>
        </w:rPr>
        <w:t>for a review of the exercise of legislative powers hav</w:t>
      </w:r>
      <w:r w:rsidR="00BE5CC9" w:rsidRPr="007A37E1">
        <w:rPr>
          <w:rFonts w:ascii="Arial" w:hAnsi="Arial" w:cs="Arial"/>
          <w:sz w:val="22"/>
          <w:szCs w:val="22"/>
          <w:lang w:val="en-US"/>
        </w:rPr>
        <w:t>e</w:t>
      </w:r>
      <w:r w:rsidR="00236217" w:rsidRPr="007A37E1">
        <w:rPr>
          <w:rFonts w:ascii="Arial" w:hAnsi="Arial" w:cs="Arial"/>
          <w:sz w:val="22"/>
          <w:szCs w:val="22"/>
          <w:lang w:val="en-US"/>
        </w:rPr>
        <w:t xml:space="preserve"> been met.</w:t>
      </w:r>
    </w:p>
    <w:p w14:paraId="768036F5" w14:textId="2FC95ECC" w:rsidR="00436FD4" w:rsidRPr="007A37E1" w:rsidRDefault="00436FD4" w:rsidP="00974860">
      <w:pPr>
        <w:spacing w:line="360" w:lineRule="auto"/>
        <w:jc w:val="both"/>
        <w:rPr>
          <w:rFonts w:ascii="Arial" w:hAnsi="Arial" w:cs="Arial"/>
          <w:sz w:val="22"/>
          <w:szCs w:val="22"/>
          <w:lang w:val="en-US"/>
        </w:rPr>
      </w:pPr>
      <w:r w:rsidRPr="007A37E1">
        <w:rPr>
          <w:rFonts w:ascii="Arial" w:hAnsi="Arial" w:cs="Arial"/>
          <w:sz w:val="22"/>
          <w:szCs w:val="22"/>
          <w:lang w:val="en-US"/>
        </w:rPr>
        <w:t>. . .</w:t>
      </w:r>
    </w:p>
    <w:p w14:paraId="7C8F058F" w14:textId="69F9C7D9" w:rsidR="00933CAF" w:rsidRPr="007A37E1" w:rsidRDefault="00761496" w:rsidP="005602A4">
      <w:pPr>
        <w:tabs>
          <w:tab w:val="left" w:pos="851"/>
        </w:tabs>
        <w:spacing w:line="360" w:lineRule="auto"/>
        <w:jc w:val="both"/>
        <w:rPr>
          <w:rFonts w:ascii="Arial" w:hAnsi="Arial" w:cs="Arial"/>
          <w:sz w:val="22"/>
          <w:szCs w:val="22"/>
        </w:rPr>
      </w:pPr>
      <w:r w:rsidRPr="007A37E1">
        <w:rPr>
          <w:rFonts w:ascii="Arial" w:hAnsi="Arial" w:cs="Arial"/>
          <w:sz w:val="22"/>
          <w:szCs w:val="22"/>
          <w:lang w:val="en-US"/>
        </w:rPr>
        <w:t>H</w:t>
      </w:r>
      <w:r w:rsidR="00236217" w:rsidRPr="007A37E1">
        <w:rPr>
          <w:rFonts w:ascii="Arial" w:hAnsi="Arial" w:cs="Arial"/>
          <w:sz w:val="22"/>
          <w:szCs w:val="22"/>
          <w:lang w:val="en-US"/>
        </w:rPr>
        <w:t xml:space="preserve">olding parties </w:t>
      </w:r>
      <w:r w:rsidRPr="007A37E1">
        <w:rPr>
          <w:rFonts w:ascii="Arial" w:hAnsi="Arial" w:cs="Arial"/>
          <w:sz w:val="22"/>
          <w:szCs w:val="22"/>
          <w:lang w:val="en-US"/>
        </w:rPr>
        <w:t xml:space="preserve">to pleadings is not pedantry. It is an integral part </w:t>
      </w:r>
      <w:r w:rsidR="00C77932" w:rsidRPr="007A37E1">
        <w:rPr>
          <w:rFonts w:ascii="Arial" w:hAnsi="Arial" w:cs="Arial"/>
          <w:sz w:val="22"/>
          <w:szCs w:val="22"/>
          <w:lang w:val="en-US"/>
        </w:rPr>
        <w:t xml:space="preserve">of the principle of legal certainty which is an element of the rule of law, one of the values </w:t>
      </w:r>
      <w:r w:rsidR="00AF4A57" w:rsidRPr="007A37E1">
        <w:rPr>
          <w:rFonts w:ascii="Arial" w:hAnsi="Arial" w:cs="Arial"/>
          <w:sz w:val="22"/>
          <w:szCs w:val="22"/>
          <w:lang w:val="en-US"/>
        </w:rPr>
        <w:t xml:space="preserve">on which our Constitution is founded. Every party contemplating </w:t>
      </w:r>
      <w:r w:rsidR="001E5770" w:rsidRPr="007A37E1">
        <w:rPr>
          <w:rFonts w:ascii="Arial" w:hAnsi="Arial" w:cs="Arial"/>
          <w:sz w:val="22"/>
          <w:szCs w:val="22"/>
          <w:lang w:val="en-US"/>
        </w:rPr>
        <w:t xml:space="preserve">a constitutional challenge should know the requirements </w:t>
      </w:r>
      <w:r w:rsidR="00693E86" w:rsidRPr="007A37E1">
        <w:rPr>
          <w:rFonts w:ascii="Arial" w:hAnsi="Arial" w:cs="Arial"/>
          <w:sz w:val="22"/>
          <w:szCs w:val="22"/>
          <w:lang w:val="en-US"/>
        </w:rPr>
        <w:t xml:space="preserve">it needs to </w:t>
      </w:r>
      <w:r w:rsidR="00693E86" w:rsidRPr="007A37E1">
        <w:rPr>
          <w:rFonts w:ascii="Arial" w:hAnsi="Arial" w:cs="Arial"/>
          <w:sz w:val="22"/>
          <w:szCs w:val="22"/>
          <w:lang w:val="en-US"/>
        </w:rPr>
        <w:lastRenderedPageBreak/>
        <w:t>satisfy and every other party likely to be affected by the relief sought must know precisely the case it is expected to meet</w:t>
      </w:r>
      <w:r w:rsidR="00F54CAD" w:rsidRPr="007A37E1">
        <w:rPr>
          <w:rFonts w:ascii="Arial" w:hAnsi="Arial" w:cs="Arial"/>
          <w:sz w:val="22"/>
          <w:szCs w:val="22"/>
          <w:lang w:val="en-US"/>
        </w:rPr>
        <w:t>.</w:t>
      </w:r>
      <w:r w:rsidR="00436FD4" w:rsidRPr="007A37E1">
        <w:rPr>
          <w:rFonts w:ascii="Arial" w:hAnsi="Arial" w:cs="Arial"/>
          <w:sz w:val="22"/>
          <w:szCs w:val="22"/>
          <w:lang w:val="en-US"/>
        </w:rPr>
        <w:t>”</w:t>
      </w:r>
      <w:r w:rsidR="00F54CAD" w:rsidRPr="007A37E1">
        <w:rPr>
          <w:rFonts w:ascii="Arial" w:hAnsi="Arial" w:cs="Arial"/>
          <w:sz w:val="22"/>
          <w:szCs w:val="22"/>
          <w:lang w:val="en-US"/>
        </w:rPr>
        <w:t>’</w:t>
      </w:r>
      <w:r w:rsidR="00961918" w:rsidRPr="007A37E1">
        <w:rPr>
          <w:rStyle w:val="FootnoteReference"/>
          <w:rFonts w:ascii="Arial" w:hAnsi="Arial" w:cs="Arial"/>
          <w:sz w:val="22"/>
          <w:szCs w:val="22"/>
          <w:lang w:val="en-US"/>
        </w:rPr>
        <w:footnoteReference w:id="33"/>
      </w:r>
    </w:p>
    <w:p w14:paraId="68F83DFE" w14:textId="50F0AB5D" w:rsidR="001566DD" w:rsidRPr="007A37E1" w:rsidRDefault="001566DD" w:rsidP="00974860">
      <w:pPr>
        <w:spacing w:line="360" w:lineRule="auto"/>
        <w:jc w:val="both"/>
        <w:rPr>
          <w:rFonts w:ascii="Arial" w:hAnsi="Arial" w:cs="Arial"/>
          <w:lang w:val="en-US"/>
        </w:rPr>
      </w:pPr>
    </w:p>
    <w:p w14:paraId="4C26BD7D" w14:textId="12574474" w:rsidR="00917747" w:rsidRPr="007A37E1" w:rsidRDefault="00F9652F" w:rsidP="00974860">
      <w:pPr>
        <w:spacing w:line="360" w:lineRule="auto"/>
        <w:jc w:val="both"/>
        <w:rPr>
          <w:rFonts w:ascii="Arial" w:hAnsi="Arial" w:cs="Arial"/>
          <w:lang w:val="en-US"/>
        </w:rPr>
      </w:pPr>
      <w:r w:rsidRPr="007A37E1">
        <w:rPr>
          <w:rFonts w:ascii="Arial" w:hAnsi="Arial" w:cs="Arial"/>
          <w:lang w:val="en-US"/>
        </w:rPr>
        <w:t>[</w:t>
      </w:r>
      <w:r w:rsidR="007A549D" w:rsidRPr="007A37E1">
        <w:rPr>
          <w:rFonts w:ascii="Arial" w:hAnsi="Arial" w:cs="Arial"/>
          <w:lang w:val="en-US"/>
        </w:rPr>
        <w:t>9</w:t>
      </w:r>
      <w:r w:rsidR="00904BAC" w:rsidRPr="007A37E1">
        <w:rPr>
          <w:rFonts w:ascii="Arial" w:hAnsi="Arial" w:cs="Arial"/>
          <w:lang w:val="en-US"/>
        </w:rPr>
        <w:t>7</w:t>
      </w:r>
      <w:r w:rsidRPr="007A37E1">
        <w:rPr>
          <w:rFonts w:ascii="Arial" w:hAnsi="Arial" w:cs="Arial"/>
          <w:lang w:val="en-US"/>
        </w:rPr>
        <w:t>]</w:t>
      </w:r>
      <w:r w:rsidR="0078490C" w:rsidRPr="007A37E1">
        <w:rPr>
          <w:rFonts w:ascii="Arial" w:hAnsi="Arial" w:cs="Arial"/>
          <w:lang w:val="en-US"/>
        </w:rPr>
        <w:tab/>
      </w:r>
      <w:r w:rsidR="00455BD6" w:rsidRPr="007A37E1">
        <w:rPr>
          <w:rFonts w:ascii="Arial" w:hAnsi="Arial" w:cs="Arial"/>
          <w:lang w:val="en-US"/>
        </w:rPr>
        <w:t>Before addressing pertinently the question of whether there was a discern</w:t>
      </w:r>
      <w:r w:rsidR="00BE5CC9" w:rsidRPr="007A37E1">
        <w:rPr>
          <w:rFonts w:ascii="Arial" w:hAnsi="Arial" w:cs="Arial"/>
          <w:lang w:val="en-US"/>
        </w:rPr>
        <w:t>i</w:t>
      </w:r>
      <w:r w:rsidR="00455BD6" w:rsidRPr="007A37E1">
        <w:rPr>
          <w:rFonts w:ascii="Arial" w:hAnsi="Arial" w:cs="Arial"/>
          <w:lang w:val="en-US"/>
        </w:rPr>
        <w:t xml:space="preserve">ble </w:t>
      </w:r>
      <w:r w:rsidR="00B16D21" w:rsidRPr="007A37E1">
        <w:rPr>
          <w:rFonts w:ascii="Arial" w:hAnsi="Arial" w:cs="Arial"/>
          <w:lang w:val="en-US"/>
        </w:rPr>
        <w:t xml:space="preserve">and appropriate Bill of Rights </w:t>
      </w:r>
      <w:r w:rsidR="00081231" w:rsidRPr="007A37E1">
        <w:rPr>
          <w:rFonts w:ascii="Arial" w:hAnsi="Arial" w:cs="Arial"/>
          <w:lang w:val="en-US"/>
        </w:rPr>
        <w:t>challenge</w:t>
      </w:r>
      <w:r w:rsidR="001F4899" w:rsidRPr="007A37E1">
        <w:rPr>
          <w:rFonts w:ascii="Arial" w:hAnsi="Arial" w:cs="Arial"/>
          <w:lang w:val="en-US"/>
        </w:rPr>
        <w:t>,</w:t>
      </w:r>
      <w:r w:rsidR="00B16D21" w:rsidRPr="007A37E1">
        <w:rPr>
          <w:rFonts w:ascii="Arial" w:hAnsi="Arial" w:cs="Arial"/>
          <w:lang w:val="en-US"/>
        </w:rPr>
        <w:t xml:space="preserve"> the reader is asked to pause to consider</w:t>
      </w:r>
      <w:r w:rsidR="009B07F8" w:rsidRPr="007A37E1">
        <w:rPr>
          <w:rFonts w:ascii="Arial" w:hAnsi="Arial" w:cs="Arial"/>
          <w:lang w:val="en-US"/>
        </w:rPr>
        <w:t>,</w:t>
      </w:r>
      <w:r w:rsidR="007647A8" w:rsidRPr="007A37E1">
        <w:rPr>
          <w:rFonts w:ascii="Arial" w:hAnsi="Arial" w:cs="Arial"/>
          <w:lang w:val="en-US"/>
        </w:rPr>
        <w:t xml:space="preserve"> after</w:t>
      </w:r>
      <w:r w:rsidR="00B16D21" w:rsidRPr="007A37E1">
        <w:rPr>
          <w:rFonts w:ascii="Arial" w:hAnsi="Arial" w:cs="Arial"/>
          <w:lang w:val="en-US"/>
        </w:rPr>
        <w:t xml:space="preserve"> having regard to the </w:t>
      </w:r>
      <w:r w:rsidR="006C5514" w:rsidRPr="007A37E1">
        <w:rPr>
          <w:rFonts w:ascii="Arial" w:hAnsi="Arial" w:cs="Arial"/>
          <w:lang w:val="en-US"/>
        </w:rPr>
        <w:t xml:space="preserve">relevant </w:t>
      </w:r>
      <w:r w:rsidR="00B16D21" w:rsidRPr="007A37E1">
        <w:rPr>
          <w:rFonts w:ascii="Arial" w:hAnsi="Arial" w:cs="Arial"/>
          <w:lang w:val="en-US"/>
        </w:rPr>
        <w:t xml:space="preserve">parts </w:t>
      </w:r>
      <w:r w:rsidR="006C5514" w:rsidRPr="007A37E1">
        <w:rPr>
          <w:rFonts w:ascii="Arial" w:hAnsi="Arial" w:cs="Arial"/>
          <w:lang w:val="en-US"/>
        </w:rPr>
        <w:t xml:space="preserve">of </w:t>
      </w:r>
      <w:r w:rsidR="00B16D21" w:rsidRPr="007A37E1">
        <w:rPr>
          <w:rFonts w:ascii="Arial" w:hAnsi="Arial" w:cs="Arial"/>
          <w:lang w:val="en-US"/>
        </w:rPr>
        <w:t xml:space="preserve">the </w:t>
      </w:r>
      <w:r w:rsidR="006255BF" w:rsidRPr="007A37E1">
        <w:rPr>
          <w:rFonts w:ascii="Arial" w:hAnsi="Arial" w:cs="Arial"/>
          <w:lang w:val="en-US"/>
        </w:rPr>
        <w:t>respondents’ founding affidavit</w:t>
      </w:r>
      <w:r w:rsidR="009B07F8" w:rsidRPr="007A37E1">
        <w:rPr>
          <w:rFonts w:ascii="Arial" w:hAnsi="Arial" w:cs="Arial"/>
          <w:lang w:val="en-US"/>
        </w:rPr>
        <w:t>,</w:t>
      </w:r>
      <w:r w:rsidR="00D37E3C" w:rsidRPr="007A37E1">
        <w:rPr>
          <w:rFonts w:ascii="Arial" w:hAnsi="Arial" w:cs="Arial"/>
          <w:lang w:val="en-US"/>
        </w:rPr>
        <w:t xml:space="preserve"> quoted above,</w:t>
      </w:r>
      <w:r w:rsidR="009D022C" w:rsidRPr="007A37E1">
        <w:rPr>
          <w:rFonts w:ascii="Arial" w:hAnsi="Arial" w:cs="Arial"/>
          <w:lang w:val="en-US"/>
        </w:rPr>
        <w:t xml:space="preserve"> how</w:t>
      </w:r>
      <w:r w:rsidR="006255BF" w:rsidRPr="007A37E1">
        <w:rPr>
          <w:rFonts w:ascii="Arial" w:hAnsi="Arial" w:cs="Arial"/>
          <w:lang w:val="en-US"/>
        </w:rPr>
        <w:t xml:space="preserve"> </w:t>
      </w:r>
      <w:r w:rsidR="005D213A" w:rsidRPr="007A37E1">
        <w:rPr>
          <w:rFonts w:ascii="Arial" w:hAnsi="Arial" w:cs="Arial"/>
          <w:lang w:val="en-US"/>
        </w:rPr>
        <w:t>the Minister</w:t>
      </w:r>
      <w:r w:rsidR="006255BF" w:rsidRPr="007A37E1">
        <w:rPr>
          <w:rFonts w:ascii="Arial" w:hAnsi="Arial" w:cs="Arial"/>
          <w:lang w:val="en-US"/>
        </w:rPr>
        <w:t xml:space="preserve"> could be exp</w:t>
      </w:r>
      <w:r w:rsidR="00BF3AAC" w:rsidRPr="007A37E1">
        <w:rPr>
          <w:rFonts w:ascii="Arial" w:hAnsi="Arial" w:cs="Arial"/>
          <w:lang w:val="en-US"/>
        </w:rPr>
        <w:t>ected to respond intelligibly</w:t>
      </w:r>
      <w:r w:rsidR="000742B4" w:rsidRPr="007A37E1">
        <w:rPr>
          <w:rFonts w:ascii="Arial" w:hAnsi="Arial" w:cs="Arial"/>
          <w:lang w:val="en-US"/>
        </w:rPr>
        <w:t xml:space="preserve"> to the</w:t>
      </w:r>
      <w:r w:rsidR="00204A47" w:rsidRPr="007A37E1">
        <w:rPr>
          <w:rFonts w:ascii="Arial" w:hAnsi="Arial" w:cs="Arial"/>
          <w:lang w:val="en-US"/>
        </w:rPr>
        <w:t xml:space="preserve"> case</w:t>
      </w:r>
      <w:r w:rsidR="000742B4" w:rsidRPr="007A37E1">
        <w:rPr>
          <w:rFonts w:ascii="Arial" w:hAnsi="Arial" w:cs="Arial"/>
          <w:lang w:val="en-US"/>
        </w:rPr>
        <w:t xml:space="preserve"> sought to be advanced by the respondents</w:t>
      </w:r>
      <w:r w:rsidR="00BF3AAC" w:rsidRPr="007A37E1">
        <w:rPr>
          <w:rFonts w:ascii="Arial" w:hAnsi="Arial" w:cs="Arial"/>
          <w:lang w:val="en-US"/>
        </w:rPr>
        <w:t>.</w:t>
      </w:r>
      <w:r w:rsidR="00204A47" w:rsidRPr="007A37E1">
        <w:rPr>
          <w:rFonts w:ascii="Arial" w:hAnsi="Arial" w:cs="Arial"/>
          <w:lang w:val="en-US"/>
        </w:rPr>
        <w:t xml:space="preserve"> Had a properly pleaded case been advanced,</w:t>
      </w:r>
      <w:r w:rsidR="000742B4" w:rsidRPr="007A37E1">
        <w:rPr>
          <w:rFonts w:ascii="Arial" w:hAnsi="Arial" w:cs="Arial"/>
          <w:lang w:val="en-US"/>
        </w:rPr>
        <w:t xml:space="preserve"> no doubt, the</w:t>
      </w:r>
      <w:r w:rsidR="00204A47" w:rsidRPr="007A37E1">
        <w:rPr>
          <w:rFonts w:ascii="Arial" w:hAnsi="Arial" w:cs="Arial"/>
          <w:lang w:val="en-US"/>
        </w:rPr>
        <w:t xml:space="preserve"> Minister would have been expected to put up the necessary evidence to justify the regulations.</w:t>
      </w:r>
    </w:p>
    <w:p w14:paraId="57185D31" w14:textId="4285F69D" w:rsidR="00EB5002" w:rsidRPr="007A37E1" w:rsidRDefault="00EB5002" w:rsidP="00974860">
      <w:pPr>
        <w:spacing w:line="360" w:lineRule="auto"/>
        <w:jc w:val="both"/>
        <w:rPr>
          <w:rFonts w:ascii="Arial" w:hAnsi="Arial" w:cs="Arial"/>
          <w:i/>
        </w:rPr>
      </w:pPr>
    </w:p>
    <w:p w14:paraId="5CBC140A" w14:textId="51AA8C47" w:rsidR="00EB5002" w:rsidRPr="007A37E1" w:rsidRDefault="000742B4" w:rsidP="00974860">
      <w:pPr>
        <w:spacing w:line="360" w:lineRule="auto"/>
        <w:jc w:val="both"/>
        <w:rPr>
          <w:rFonts w:ascii="Arial" w:hAnsi="Arial" w:cs="Arial"/>
        </w:rPr>
      </w:pPr>
      <w:r w:rsidRPr="007A37E1">
        <w:rPr>
          <w:rFonts w:ascii="Arial" w:hAnsi="Arial" w:cs="Arial"/>
        </w:rPr>
        <w:t>[</w:t>
      </w:r>
      <w:r w:rsidR="007A549D" w:rsidRPr="007A37E1">
        <w:rPr>
          <w:rFonts w:ascii="Arial" w:hAnsi="Arial" w:cs="Arial"/>
        </w:rPr>
        <w:t>9</w:t>
      </w:r>
      <w:r w:rsidR="00904BAC" w:rsidRPr="007A37E1">
        <w:rPr>
          <w:rFonts w:ascii="Arial" w:hAnsi="Arial" w:cs="Arial"/>
        </w:rPr>
        <w:t>8</w:t>
      </w:r>
      <w:r w:rsidR="00EB5002" w:rsidRPr="007A37E1">
        <w:rPr>
          <w:rFonts w:ascii="Arial" w:hAnsi="Arial" w:cs="Arial"/>
        </w:rPr>
        <w:t>]</w:t>
      </w:r>
      <w:r w:rsidR="00EB5002" w:rsidRPr="007A37E1">
        <w:rPr>
          <w:rFonts w:ascii="Arial" w:hAnsi="Arial" w:cs="Arial"/>
        </w:rPr>
        <w:tab/>
        <w:t>The respondents made two fleeting references in the founding affidavit to an attack under the Bill of Rights. Paragraph 3.11 stated: ‘</w:t>
      </w:r>
      <w:r w:rsidR="00436FD4" w:rsidRPr="007A37E1">
        <w:rPr>
          <w:rFonts w:ascii="Arial" w:hAnsi="Arial" w:cs="Arial"/>
        </w:rPr>
        <w:t>[</w:t>
      </w:r>
      <w:r w:rsidR="00EB5002" w:rsidRPr="007A37E1">
        <w:rPr>
          <w:rFonts w:ascii="Arial" w:hAnsi="Arial" w:cs="Arial"/>
        </w:rPr>
        <w:t>i</w:t>
      </w:r>
      <w:r w:rsidR="00436FD4" w:rsidRPr="007A37E1">
        <w:rPr>
          <w:rFonts w:ascii="Arial" w:hAnsi="Arial" w:cs="Arial"/>
        </w:rPr>
        <w:t>]</w:t>
      </w:r>
      <w:r w:rsidR="00EB5002" w:rsidRPr="007A37E1">
        <w:rPr>
          <w:rFonts w:ascii="Arial" w:hAnsi="Arial" w:cs="Arial"/>
        </w:rPr>
        <w:t xml:space="preserve">n general, these </w:t>
      </w:r>
      <w:r w:rsidR="007A549D" w:rsidRPr="007A37E1">
        <w:rPr>
          <w:rFonts w:ascii="Arial" w:hAnsi="Arial" w:cs="Arial"/>
        </w:rPr>
        <w:t>regulations violated</w:t>
      </w:r>
      <w:r w:rsidR="00EB5002" w:rsidRPr="007A37E1">
        <w:rPr>
          <w:rFonts w:ascii="Arial" w:hAnsi="Arial" w:cs="Arial"/>
        </w:rPr>
        <w:t xml:space="preserve"> almost </w:t>
      </w:r>
      <w:r w:rsidR="007A549D" w:rsidRPr="007A37E1">
        <w:rPr>
          <w:rFonts w:ascii="Arial" w:hAnsi="Arial" w:cs="Arial"/>
        </w:rPr>
        <w:t>all clauses</w:t>
      </w:r>
      <w:r w:rsidR="00DF76A3" w:rsidRPr="007A37E1">
        <w:rPr>
          <w:rFonts w:ascii="Arial" w:hAnsi="Arial" w:cs="Arial"/>
        </w:rPr>
        <w:t xml:space="preserve"> </w:t>
      </w:r>
      <w:r w:rsidR="00EB5002" w:rsidRPr="007A37E1">
        <w:rPr>
          <w:rFonts w:ascii="Arial" w:hAnsi="Arial" w:cs="Arial"/>
        </w:rPr>
        <w:t>in the Bill of Rights . . .’. Later, para 10 added:</w:t>
      </w:r>
    </w:p>
    <w:p w14:paraId="3659AB69" w14:textId="77777777" w:rsidR="00EB5002" w:rsidRPr="007A37E1" w:rsidRDefault="00EB5002" w:rsidP="00974860">
      <w:pPr>
        <w:spacing w:line="360" w:lineRule="auto"/>
        <w:jc w:val="both"/>
        <w:rPr>
          <w:rFonts w:ascii="Arial" w:hAnsi="Arial" w:cs="Arial"/>
          <w:sz w:val="22"/>
          <w:szCs w:val="22"/>
          <w:u w:val="single"/>
        </w:rPr>
      </w:pPr>
      <w:r w:rsidRPr="007A37E1">
        <w:rPr>
          <w:rFonts w:ascii="Arial" w:hAnsi="Arial" w:cs="Arial"/>
          <w:sz w:val="22"/>
          <w:szCs w:val="22"/>
        </w:rPr>
        <w:t>‘</w:t>
      </w:r>
      <w:r w:rsidRPr="007A37E1">
        <w:rPr>
          <w:rFonts w:ascii="Arial" w:hAnsi="Arial" w:cs="Arial"/>
          <w:i/>
          <w:sz w:val="22"/>
          <w:szCs w:val="22"/>
          <w:u w:val="single"/>
        </w:rPr>
        <w:t xml:space="preserve">RE </w:t>
      </w:r>
      <w:r w:rsidRPr="007A37E1">
        <w:rPr>
          <w:rFonts w:ascii="Arial" w:hAnsi="Arial" w:cs="Arial"/>
          <w:sz w:val="22"/>
          <w:szCs w:val="22"/>
          <w:u w:val="single"/>
        </w:rPr>
        <w:t>PARAGRAPH 3.11: BILL OF RIGHTS</w:t>
      </w:r>
    </w:p>
    <w:p w14:paraId="2911A493" w14:textId="77777777" w:rsidR="00EB5002" w:rsidRPr="007A37E1" w:rsidRDefault="00EB5002" w:rsidP="00974860">
      <w:pPr>
        <w:spacing w:line="360" w:lineRule="auto"/>
        <w:jc w:val="both"/>
        <w:rPr>
          <w:rFonts w:ascii="Arial" w:hAnsi="Arial" w:cs="Arial"/>
          <w:sz w:val="22"/>
          <w:szCs w:val="22"/>
        </w:rPr>
      </w:pPr>
      <w:r w:rsidRPr="007A37E1">
        <w:rPr>
          <w:rFonts w:ascii="Arial" w:hAnsi="Arial" w:cs="Arial"/>
          <w:sz w:val="22"/>
          <w:szCs w:val="22"/>
        </w:rPr>
        <w:t>We specifically challenged the right of the [Minister] to have implemented law which had extensively violated our Bill of Rights in various ways which we shall argue at the hearing.’</w:t>
      </w:r>
    </w:p>
    <w:p w14:paraId="24E3758B" w14:textId="77777777" w:rsidR="00EB5002" w:rsidRPr="007A37E1" w:rsidRDefault="00EB5002" w:rsidP="00974860">
      <w:pPr>
        <w:spacing w:line="360" w:lineRule="auto"/>
        <w:jc w:val="both"/>
        <w:rPr>
          <w:rFonts w:ascii="Arial" w:hAnsi="Arial" w:cs="Arial"/>
        </w:rPr>
      </w:pPr>
      <w:r w:rsidRPr="007A37E1">
        <w:rPr>
          <w:rFonts w:ascii="Arial" w:hAnsi="Arial" w:cs="Arial"/>
        </w:rPr>
        <w:t>This constituted the sum total of the Bill of Rights attack and, as should be evident, was far from the degree of specificity that is required when pleading a constitutional attack.</w:t>
      </w:r>
    </w:p>
    <w:p w14:paraId="45211CAE" w14:textId="77777777" w:rsidR="00EB5002" w:rsidRPr="007A37E1" w:rsidRDefault="00EB5002" w:rsidP="00974860">
      <w:pPr>
        <w:spacing w:line="360" w:lineRule="auto"/>
        <w:jc w:val="both"/>
        <w:rPr>
          <w:rFonts w:ascii="Arial" w:hAnsi="Arial" w:cs="Arial"/>
        </w:rPr>
      </w:pPr>
    </w:p>
    <w:p w14:paraId="33CD1F52" w14:textId="418B8A06" w:rsidR="000742B4" w:rsidRPr="007A37E1" w:rsidRDefault="007B1898" w:rsidP="00974860">
      <w:pPr>
        <w:spacing w:line="360" w:lineRule="auto"/>
        <w:jc w:val="both"/>
        <w:rPr>
          <w:rFonts w:ascii="Arial" w:hAnsi="Arial" w:cs="Arial"/>
        </w:rPr>
      </w:pPr>
      <w:r w:rsidRPr="007A37E1">
        <w:rPr>
          <w:rFonts w:ascii="Arial" w:hAnsi="Arial" w:cs="Arial"/>
        </w:rPr>
        <w:t>[</w:t>
      </w:r>
      <w:r w:rsidR="007A549D" w:rsidRPr="007A37E1">
        <w:rPr>
          <w:rFonts w:ascii="Arial" w:hAnsi="Arial" w:cs="Arial"/>
        </w:rPr>
        <w:t>9</w:t>
      </w:r>
      <w:r w:rsidR="00904BAC" w:rsidRPr="007A37E1">
        <w:rPr>
          <w:rFonts w:ascii="Arial" w:hAnsi="Arial" w:cs="Arial"/>
        </w:rPr>
        <w:t>9</w:t>
      </w:r>
      <w:r w:rsidR="00EB5002" w:rsidRPr="007A37E1">
        <w:rPr>
          <w:rFonts w:ascii="Arial" w:hAnsi="Arial" w:cs="Arial"/>
        </w:rPr>
        <w:t>]</w:t>
      </w:r>
      <w:r w:rsidR="00EB5002" w:rsidRPr="007A37E1">
        <w:rPr>
          <w:rFonts w:ascii="Arial" w:hAnsi="Arial" w:cs="Arial"/>
        </w:rPr>
        <w:tab/>
        <w:t xml:space="preserve">At the very least it was for the respondents to allege: (a) </w:t>
      </w:r>
      <w:r w:rsidR="005D213A" w:rsidRPr="007A37E1">
        <w:rPr>
          <w:rFonts w:ascii="Arial" w:hAnsi="Arial" w:cs="Arial"/>
        </w:rPr>
        <w:t>each</w:t>
      </w:r>
      <w:r w:rsidR="00EB5002" w:rsidRPr="007A37E1">
        <w:rPr>
          <w:rFonts w:ascii="Arial" w:hAnsi="Arial" w:cs="Arial"/>
        </w:rPr>
        <w:t xml:space="preserve"> specific regulation sought to be impugned; (b) which constitutional right was alleged to be violated by the impugned regulation; and</w:t>
      </w:r>
      <w:r w:rsidR="00DF76A3" w:rsidRPr="007A37E1">
        <w:rPr>
          <w:rFonts w:ascii="Arial" w:hAnsi="Arial" w:cs="Arial"/>
        </w:rPr>
        <w:t>,</w:t>
      </w:r>
      <w:r w:rsidR="00EB5002" w:rsidRPr="007A37E1">
        <w:rPr>
          <w:rFonts w:ascii="Arial" w:hAnsi="Arial" w:cs="Arial"/>
        </w:rPr>
        <w:t xml:space="preserve"> (c) how the regulation allegedly infringed the specific right. Absent this, it could hardly have been expected of the </w:t>
      </w:r>
      <w:r w:rsidR="005D213A" w:rsidRPr="007A37E1">
        <w:rPr>
          <w:rFonts w:ascii="Arial" w:hAnsi="Arial" w:cs="Arial"/>
        </w:rPr>
        <w:t>M</w:t>
      </w:r>
      <w:r w:rsidR="00EB5002" w:rsidRPr="007A37E1">
        <w:rPr>
          <w:rFonts w:ascii="Arial" w:hAnsi="Arial" w:cs="Arial"/>
        </w:rPr>
        <w:t xml:space="preserve">inister to </w:t>
      </w:r>
      <w:r w:rsidR="005D213A" w:rsidRPr="007A37E1">
        <w:rPr>
          <w:rFonts w:ascii="Arial" w:hAnsi="Arial" w:cs="Arial"/>
        </w:rPr>
        <w:t xml:space="preserve">appreciate the scope of the challenge and </w:t>
      </w:r>
      <w:r w:rsidR="00EB5002" w:rsidRPr="007A37E1">
        <w:rPr>
          <w:rFonts w:ascii="Arial" w:hAnsi="Arial" w:cs="Arial"/>
        </w:rPr>
        <w:t>put up the necessar</w:t>
      </w:r>
      <w:r w:rsidR="004F465B" w:rsidRPr="007A37E1">
        <w:rPr>
          <w:rFonts w:ascii="Arial" w:hAnsi="Arial" w:cs="Arial"/>
        </w:rPr>
        <w:t>y evidence to justify the regul</w:t>
      </w:r>
      <w:r w:rsidR="005D213A" w:rsidRPr="007A37E1">
        <w:rPr>
          <w:rFonts w:ascii="Arial" w:hAnsi="Arial" w:cs="Arial"/>
        </w:rPr>
        <w:t>ation</w:t>
      </w:r>
      <w:r w:rsidR="00EB5002" w:rsidRPr="007A37E1">
        <w:rPr>
          <w:rFonts w:ascii="Arial" w:hAnsi="Arial" w:cs="Arial"/>
        </w:rPr>
        <w:t>. It was not for the Minister to justify each of the regulations in a vacuum.</w:t>
      </w:r>
    </w:p>
    <w:p w14:paraId="6C51D5AF" w14:textId="77777777" w:rsidR="000742B4" w:rsidRPr="007A37E1" w:rsidRDefault="000742B4" w:rsidP="00974860">
      <w:pPr>
        <w:spacing w:line="360" w:lineRule="auto"/>
        <w:jc w:val="both"/>
        <w:rPr>
          <w:rFonts w:ascii="Arial" w:hAnsi="Arial" w:cs="Arial"/>
        </w:rPr>
      </w:pPr>
    </w:p>
    <w:p w14:paraId="2256081E" w14:textId="58CD78BD" w:rsidR="00EB5002" w:rsidRPr="007A37E1" w:rsidRDefault="000742B4" w:rsidP="00974860">
      <w:pPr>
        <w:spacing w:line="360" w:lineRule="auto"/>
        <w:jc w:val="both"/>
        <w:rPr>
          <w:rFonts w:ascii="Arial" w:hAnsi="Arial" w:cs="Arial"/>
        </w:rPr>
      </w:pPr>
      <w:r w:rsidRPr="007A37E1">
        <w:rPr>
          <w:rFonts w:ascii="Arial" w:hAnsi="Arial" w:cs="Arial"/>
        </w:rPr>
        <w:t>[</w:t>
      </w:r>
      <w:r w:rsidR="00904BAC" w:rsidRPr="007A37E1">
        <w:rPr>
          <w:rFonts w:ascii="Arial" w:hAnsi="Arial" w:cs="Arial"/>
        </w:rPr>
        <w:t>100</w:t>
      </w:r>
      <w:r w:rsidRPr="007A37E1">
        <w:rPr>
          <w:rFonts w:ascii="Arial" w:hAnsi="Arial" w:cs="Arial"/>
        </w:rPr>
        <w:t>]</w:t>
      </w:r>
      <w:r w:rsidRPr="007A37E1">
        <w:rPr>
          <w:rFonts w:ascii="Arial" w:hAnsi="Arial" w:cs="Arial"/>
        </w:rPr>
        <w:tab/>
      </w:r>
      <w:r w:rsidR="00EB5002" w:rsidRPr="007A37E1">
        <w:rPr>
          <w:rFonts w:ascii="Arial" w:hAnsi="Arial" w:cs="Arial"/>
        </w:rPr>
        <w:t>This was not merely a matter of form or ‘elegance’ as the high court suggested.</w:t>
      </w:r>
    </w:p>
    <w:p w14:paraId="3A6A37F3" w14:textId="765AAAE5" w:rsidR="000742B4" w:rsidRPr="007A37E1" w:rsidRDefault="000742B4" w:rsidP="00974860">
      <w:pPr>
        <w:spacing w:line="360" w:lineRule="auto"/>
        <w:jc w:val="both"/>
        <w:rPr>
          <w:rFonts w:ascii="Arial" w:hAnsi="Arial" w:cs="Arial"/>
          <w:lang w:val="en-US"/>
        </w:rPr>
      </w:pPr>
      <w:r w:rsidRPr="007A37E1">
        <w:rPr>
          <w:rFonts w:ascii="Arial" w:hAnsi="Arial" w:cs="Arial"/>
          <w:lang w:val="en-US"/>
        </w:rPr>
        <w:t xml:space="preserve">The high court was willing to see a case where there was none and unjustifiably excused the </w:t>
      </w:r>
      <w:r w:rsidR="004F465B" w:rsidRPr="007A37E1">
        <w:rPr>
          <w:rFonts w:ascii="Arial" w:hAnsi="Arial" w:cs="Arial"/>
          <w:lang w:val="en-US"/>
        </w:rPr>
        <w:t xml:space="preserve">manner in which it was framed. </w:t>
      </w:r>
      <w:r w:rsidRPr="007A37E1">
        <w:rPr>
          <w:rFonts w:ascii="Arial" w:hAnsi="Arial" w:cs="Arial"/>
          <w:lang w:val="en-US"/>
        </w:rPr>
        <w:t>To sum up</w:t>
      </w:r>
      <w:r w:rsidR="00DF76A3" w:rsidRPr="007A37E1">
        <w:rPr>
          <w:rFonts w:ascii="Arial" w:hAnsi="Arial" w:cs="Arial"/>
          <w:lang w:val="en-US"/>
        </w:rPr>
        <w:t xml:space="preserve"> on this aspect of the case</w:t>
      </w:r>
      <w:r w:rsidRPr="007A37E1">
        <w:rPr>
          <w:rFonts w:ascii="Arial" w:hAnsi="Arial" w:cs="Arial"/>
          <w:lang w:val="en-US"/>
        </w:rPr>
        <w:t>: The case put forward by the respondents was w</w:t>
      </w:r>
      <w:r w:rsidR="005D213A" w:rsidRPr="007A37E1">
        <w:rPr>
          <w:rFonts w:ascii="Arial" w:hAnsi="Arial" w:cs="Arial"/>
          <w:lang w:val="en-US"/>
        </w:rPr>
        <w:t xml:space="preserve">holly </w:t>
      </w:r>
      <w:r w:rsidRPr="007A37E1">
        <w:rPr>
          <w:rFonts w:ascii="Arial" w:hAnsi="Arial" w:cs="Arial"/>
          <w:lang w:val="en-US"/>
        </w:rPr>
        <w:t>inadequate. There was no cogni</w:t>
      </w:r>
      <w:r w:rsidR="00F676DD" w:rsidRPr="007A37E1">
        <w:rPr>
          <w:rFonts w:ascii="Arial" w:hAnsi="Arial" w:cs="Arial"/>
          <w:lang w:val="en-US"/>
        </w:rPr>
        <w:t>s</w:t>
      </w:r>
      <w:r w:rsidRPr="007A37E1">
        <w:rPr>
          <w:rFonts w:ascii="Arial" w:hAnsi="Arial" w:cs="Arial"/>
          <w:lang w:val="en-US"/>
        </w:rPr>
        <w:t>able case</w:t>
      </w:r>
      <w:r w:rsidR="005D213A" w:rsidRPr="007A37E1">
        <w:rPr>
          <w:rFonts w:ascii="Arial" w:hAnsi="Arial" w:cs="Arial"/>
          <w:lang w:val="en-US"/>
        </w:rPr>
        <w:t xml:space="preserve"> to </w:t>
      </w:r>
      <w:r w:rsidR="005D213A" w:rsidRPr="007A37E1">
        <w:rPr>
          <w:rFonts w:ascii="Arial" w:hAnsi="Arial" w:cs="Arial"/>
          <w:lang w:val="en-US"/>
        </w:rPr>
        <w:lastRenderedPageBreak/>
        <w:t>answer</w:t>
      </w:r>
      <w:r w:rsidRPr="007A37E1">
        <w:rPr>
          <w:rFonts w:ascii="Arial" w:hAnsi="Arial" w:cs="Arial"/>
          <w:lang w:val="en-US"/>
        </w:rPr>
        <w:t xml:space="preserve">. The </w:t>
      </w:r>
      <w:r w:rsidR="00812621" w:rsidRPr="007A37E1">
        <w:rPr>
          <w:rFonts w:ascii="Arial" w:hAnsi="Arial" w:cs="Arial"/>
          <w:lang w:val="en-US"/>
        </w:rPr>
        <w:t xml:space="preserve">respondents ignored </w:t>
      </w:r>
      <w:r w:rsidR="00F676DD" w:rsidRPr="007A37E1">
        <w:rPr>
          <w:rFonts w:ascii="Arial" w:hAnsi="Arial" w:cs="Arial"/>
          <w:lang w:val="en-US"/>
        </w:rPr>
        <w:t xml:space="preserve">the </w:t>
      </w:r>
      <w:r w:rsidRPr="007A37E1">
        <w:rPr>
          <w:rFonts w:ascii="Arial" w:hAnsi="Arial" w:cs="Arial"/>
          <w:lang w:val="en-US"/>
        </w:rPr>
        <w:t>fundamental</w:t>
      </w:r>
      <w:r w:rsidR="005D213A" w:rsidRPr="007A37E1">
        <w:rPr>
          <w:rFonts w:ascii="Arial" w:hAnsi="Arial" w:cs="Arial"/>
          <w:lang w:val="en-US"/>
        </w:rPr>
        <w:t xml:space="preserve"> principle that an applicant’s case must</w:t>
      </w:r>
      <w:r w:rsidRPr="007A37E1">
        <w:rPr>
          <w:rFonts w:ascii="Arial" w:hAnsi="Arial" w:cs="Arial"/>
          <w:lang w:val="en-US"/>
        </w:rPr>
        <w:t xml:space="preserve"> </w:t>
      </w:r>
      <w:r w:rsidR="006C5514" w:rsidRPr="007A37E1">
        <w:rPr>
          <w:rFonts w:ascii="Arial" w:hAnsi="Arial" w:cs="Arial"/>
          <w:lang w:val="en-US"/>
        </w:rPr>
        <w:t xml:space="preserve">be </w:t>
      </w:r>
      <w:r w:rsidR="009C5D8E" w:rsidRPr="007A37E1">
        <w:rPr>
          <w:rFonts w:ascii="Arial" w:hAnsi="Arial" w:cs="Arial"/>
          <w:lang w:val="en-US"/>
        </w:rPr>
        <w:t xml:space="preserve">set out with sufficient specificity, clarity and supporting admissible evidence so that </w:t>
      </w:r>
      <w:r w:rsidRPr="007A37E1">
        <w:rPr>
          <w:rFonts w:ascii="Arial" w:hAnsi="Arial" w:cs="Arial"/>
          <w:lang w:val="en-US"/>
        </w:rPr>
        <w:t xml:space="preserve">the functionary or repository of power </w:t>
      </w:r>
      <w:r w:rsidR="009C5D8E" w:rsidRPr="007A37E1">
        <w:rPr>
          <w:rFonts w:ascii="Arial" w:hAnsi="Arial" w:cs="Arial"/>
          <w:lang w:val="en-US"/>
        </w:rPr>
        <w:t xml:space="preserve">knows the case </w:t>
      </w:r>
      <w:r w:rsidR="00DF76A3" w:rsidRPr="007A37E1">
        <w:rPr>
          <w:rFonts w:ascii="Arial" w:hAnsi="Arial" w:cs="Arial"/>
          <w:lang w:val="en-US"/>
        </w:rPr>
        <w:t xml:space="preserve">that has </w:t>
      </w:r>
      <w:r w:rsidR="009C5D8E" w:rsidRPr="007A37E1">
        <w:rPr>
          <w:rFonts w:ascii="Arial" w:hAnsi="Arial" w:cs="Arial"/>
          <w:lang w:val="en-US"/>
        </w:rPr>
        <w:t>to be met.</w:t>
      </w:r>
      <w:r w:rsidR="004F465B" w:rsidRPr="007A37E1">
        <w:rPr>
          <w:rFonts w:ascii="Arial" w:hAnsi="Arial" w:cs="Arial"/>
          <w:lang w:val="en-US"/>
        </w:rPr>
        <w:t xml:space="preserve"> </w:t>
      </w:r>
      <w:r w:rsidRPr="007A37E1">
        <w:rPr>
          <w:rFonts w:ascii="Arial" w:hAnsi="Arial" w:cs="Arial"/>
          <w:lang w:val="en-US"/>
        </w:rPr>
        <w:t xml:space="preserve">The </w:t>
      </w:r>
      <w:r w:rsidRPr="007A37E1">
        <w:rPr>
          <w:rFonts w:ascii="Arial" w:hAnsi="Arial" w:cs="Arial"/>
          <w:i/>
          <w:lang w:val="en-US"/>
        </w:rPr>
        <w:t>dicta</w:t>
      </w:r>
      <w:r w:rsidRPr="007A37E1">
        <w:rPr>
          <w:rFonts w:ascii="Arial" w:hAnsi="Arial" w:cs="Arial"/>
          <w:lang w:val="en-US"/>
        </w:rPr>
        <w:t xml:space="preserve"> of the Constitutional </w:t>
      </w:r>
      <w:r w:rsidR="00812621" w:rsidRPr="007A37E1">
        <w:rPr>
          <w:rFonts w:ascii="Arial" w:hAnsi="Arial" w:cs="Arial"/>
          <w:lang w:val="en-US"/>
        </w:rPr>
        <w:t>C</w:t>
      </w:r>
      <w:r w:rsidRPr="007A37E1">
        <w:rPr>
          <w:rFonts w:ascii="Arial" w:hAnsi="Arial" w:cs="Arial"/>
          <w:lang w:val="en-US"/>
        </w:rPr>
        <w:t xml:space="preserve">ourt on how a constitutional challenge should be couched were ignored. That </w:t>
      </w:r>
      <w:r w:rsidR="009C5D8E" w:rsidRPr="007A37E1">
        <w:rPr>
          <w:rFonts w:ascii="Arial" w:hAnsi="Arial" w:cs="Arial"/>
          <w:lang w:val="en-US"/>
        </w:rPr>
        <w:t xml:space="preserve">too </w:t>
      </w:r>
      <w:r w:rsidRPr="007A37E1">
        <w:rPr>
          <w:rFonts w:ascii="Arial" w:hAnsi="Arial" w:cs="Arial"/>
          <w:lang w:val="en-US"/>
        </w:rPr>
        <w:t>ought to have been clear to the high court.</w:t>
      </w:r>
    </w:p>
    <w:p w14:paraId="5982369F" w14:textId="77777777" w:rsidR="00EB5002" w:rsidRPr="007A37E1" w:rsidRDefault="00EB5002" w:rsidP="00974860">
      <w:pPr>
        <w:spacing w:line="360" w:lineRule="auto"/>
        <w:jc w:val="both"/>
        <w:rPr>
          <w:rFonts w:ascii="Arial" w:hAnsi="Arial" w:cs="Arial"/>
        </w:rPr>
      </w:pPr>
    </w:p>
    <w:p w14:paraId="737655CA" w14:textId="77777777" w:rsidR="00EB5002" w:rsidRPr="007A37E1" w:rsidRDefault="00EB5002" w:rsidP="00974860">
      <w:pPr>
        <w:spacing w:line="360" w:lineRule="auto"/>
        <w:jc w:val="both"/>
        <w:rPr>
          <w:rFonts w:ascii="Arial" w:hAnsi="Arial" w:cs="Arial"/>
          <w:b/>
        </w:rPr>
      </w:pPr>
      <w:r w:rsidRPr="007A37E1">
        <w:rPr>
          <w:rFonts w:ascii="Arial" w:hAnsi="Arial" w:cs="Arial"/>
          <w:b/>
          <w:i/>
        </w:rPr>
        <w:t>As to the third:</w:t>
      </w:r>
    </w:p>
    <w:p w14:paraId="643585B6" w14:textId="3749C1AF" w:rsidR="00902147" w:rsidRPr="007A37E1" w:rsidRDefault="000742B4" w:rsidP="00974860">
      <w:pPr>
        <w:spacing w:line="360" w:lineRule="auto"/>
        <w:jc w:val="both"/>
        <w:rPr>
          <w:rFonts w:ascii="Arial" w:hAnsi="Arial" w:cs="Arial"/>
        </w:rPr>
      </w:pPr>
      <w:r w:rsidRPr="007A37E1">
        <w:rPr>
          <w:rFonts w:ascii="Arial" w:hAnsi="Arial" w:cs="Arial"/>
        </w:rPr>
        <w:t>[</w:t>
      </w:r>
      <w:r w:rsidR="007B7D4C" w:rsidRPr="007A37E1">
        <w:rPr>
          <w:rFonts w:ascii="Arial" w:hAnsi="Arial" w:cs="Arial"/>
        </w:rPr>
        <w:t>10</w:t>
      </w:r>
      <w:r w:rsidR="00904BAC" w:rsidRPr="007A37E1">
        <w:rPr>
          <w:rFonts w:ascii="Arial" w:hAnsi="Arial" w:cs="Arial"/>
        </w:rPr>
        <w:t>1</w:t>
      </w:r>
      <w:r w:rsidR="00EB5002" w:rsidRPr="007A37E1">
        <w:rPr>
          <w:rFonts w:ascii="Arial" w:hAnsi="Arial" w:cs="Arial"/>
        </w:rPr>
        <w:t>]</w:t>
      </w:r>
      <w:r w:rsidR="00EB5002" w:rsidRPr="007A37E1">
        <w:rPr>
          <w:rFonts w:ascii="Arial" w:hAnsi="Arial" w:cs="Arial"/>
        </w:rPr>
        <w:tab/>
      </w:r>
      <w:r w:rsidR="009C5D8E" w:rsidRPr="007A37E1">
        <w:rPr>
          <w:rFonts w:ascii="Arial" w:hAnsi="Arial" w:cs="Arial"/>
        </w:rPr>
        <w:t>T</w:t>
      </w:r>
      <w:r w:rsidR="00EB5002" w:rsidRPr="007A37E1">
        <w:rPr>
          <w:rFonts w:ascii="Arial" w:hAnsi="Arial" w:cs="Arial"/>
        </w:rPr>
        <w:t>he exercise of public power, including the decision to promulgate regulations under s 27(2) of the Act must have a rational basis.</w:t>
      </w:r>
      <w:r w:rsidR="00902147" w:rsidRPr="007A37E1">
        <w:rPr>
          <w:rFonts w:ascii="Arial" w:hAnsi="Arial" w:cs="Arial"/>
        </w:rPr>
        <w:t xml:space="preserve"> In </w:t>
      </w:r>
      <w:r w:rsidR="00902147" w:rsidRPr="007A37E1">
        <w:rPr>
          <w:rFonts w:ascii="Arial" w:hAnsi="Arial" w:cs="Arial"/>
          <w:i/>
          <w:iCs/>
        </w:rPr>
        <w:t>Democratic Alliance v President of South Africa</w:t>
      </w:r>
      <w:r w:rsidR="00DF76A3" w:rsidRPr="007A37E1">
        <w:rPr>
          <w:rFonts w:ascii="Arial" w:hAnsi="Arial" w:cs="Arial"/>
          <w:iCs/>
        </w:rPr>
        <w:t>,</w:t>
      </w:r>
      <w:r w:rsidR="00902147" w:rsidRPr="007A37E1">
        <w:rPr>
          <w:rStyle w:val="FootnoteReference"/>
          <w:rFonts w:ascii="Arial" w:hAnsi="Arial" w:cs="Arial"/>
          <w:iCs/>
        </w:rPr>
        <w:footnoteReference w:id="34"/>
      </w:r>
      <w:r w:rsidR="00902147" w:rsidRPr="007A37E1">
        <w:rPr>
          <w:rFonts w:ascii="Arial" w:hAnsi="Arial" w:cs="Arial"/>
        </w:rPr>
        <w:t xml:space="preserve"> the Constitutional Court framed rationality review thus:</w:t>
      </w:r>
    </w:p>
    <w:p w14:paraId="3346448E" w14:textId="18A4649C" w:rsidR="002F2FF2" w:rsidRPr="007A37E1" w:rsidRDefault="00902147" w:rsidP="004F465B">
      <w:pPr>
        <w:spacing w:line="360" w:lineRule="auto"/>
        <w:jc w:val="both"/>
        <w:rPr>
          <w:rFonts w:ascii="Arial" w:hAnsi="Arial" w:cs="Arial"/>
          <w:sz w:val="22"/>
          <w:szCs w:val="22"/>
        </w:rPr>
      </w:pPr>
      <w:r w:rsidRPr="007A37E1">
        <w:rPr>
          <w:rFonts w:ascii="Arial" w:hAnsi="Arial" w:cs="Arial"/>
          <w:sz w:val="22"/>
          <w:szCs w:val="22"/>
        </w:rPr>
        <w:t>‘The reasoning in these cases shows that rationality review is really concerned with the evaluation of a relationship between means and ends: the relationship, connection or link (as it is variously referred to) between the means employed to achieve a particular purpose on the one hand and the purpose or end itself. The aim of the evaluation of the relationship is not to determine wh</w:t>
      </w:r>
      <w:r w:rsidR="002F2FF2" w:rsidRPr="007A37E1">
        <w:rPr>
          <w:rFonts w:ascii="Arial" w:hAnsi="Arial" w:cs="Arial"/>
          <w:sz w:val="22"/>
          <w:szCs w:val="22"/>
        </w:rPr>
        <w:t>et</w:t>
      </w:r>
      <w:r w:rsidRPr="007A37E1">
        <w:rPr>
          <w:rFonts w:ascii="Arial" w:hAnsi="Arial" w:cs="Arial"/>
          <w:sz w:val="22"/>
          <w:szCs w:val="22"/>
        </w:rPr>
        <w:t xml:space="preserve">her some means will achieve the purpose better than others but only whether </w:t>
      </w:r>
      <w:r w:rsidR="002F2FF2" w:rsidRPr="007A37E1">
        <w:rPr>
          <w:rFonts w:ascii="Arial" w:hAnsi="Arial" w:cs="Arial"/>
          <w:sz w:val="22"/>
          <w:szCs w:val="22"/>
        </w:rPr>
        <w:t>the means employed are rationally related to the purpose for which the power was conferred. Once there is a rational relationship, an executive decision of the kind with which we are concerned is constitutional</w:t>
      </w:r>
      <w:r w:rsidR="004F465B" w:rsidRPr="007A37E1">
        <w:rPr>
          <w:rFonts w:ascii="Arial" w:hAnsi="Arial" w:cs="Arial"/>
          <w:sz w:val="22"/>
          <w:szCs w:val="22"/>
        </w:rPr>
        <w:t>.</w:t>
      </w:r>
      <w:r w:rsidR="002F2FF2" w:rsidRPr="007A37E1">
        <w:rPr>
          <w:rFonts w:ascii="Arial" w:hAnsi="Arial" w:cs="Arial"/>
          <w:sz w:val="22"/>
          <w:szCs w:val="22"/>
        </w:rPr>
        <w:t>’</w:t>
      </w:r>
      <w:r w:rsidRPr="007A37E1">
        <w:rPr>
          <w:rFonts w:ascii="Arial" w:hAnsi="Arial" w:cs="Arial"/>
          <w:sz w:val="22"/>
          <w:szCs w:val="22"/>
        </w:rPr>
        <w:t xml:space="preserve"> </w:t>
      </w:r>
    </w:p>
    <w:p w14:paraId="1DC61308" w14:textId="4EBE6559" w:rsidR="00EB5002" w:rsidRPr="007A37E1" w:rsidRDefault="002F2FF2" w:rsidP="00974860">
      <w:pPr>
        <w:spacing w:line="360" w:lineRule="auto"/>
        <w:jc w:val="both"/>
        <w:rPr>
          <w:rFonts w:ascii="Arial" w:hAnsi="Arial" w:cs="Arial"/>
        </w:rPr>
      </w:pPr>
      <w:r w:rsidRPr="007A37E1">
        <w:rPr>
          <w:rFonts w:ascii="Arial" w:hAnsi="Arial" w:cs="Arial"/>
        </w:rPr>
        <w:t xml:space="preserve">Rationality review applies both to the process by which a decision is made and to the decision itself. </w:t>
      </w:r>
      <w:r w:rsidR="00EB5002" w:rsidRPr="007A37E1">
        <w:rPr>
          <w:rFonts w:ascii="Arial" w:hAnsi="Arial" w:cs="Arial"/>
        </w:rPr>
        <w:t>But an enq</w:t>
      </w:r>
      <w:r w:rsidR="00EB04CD" w:rsidRPr="007A37E1">
        <w:rPr>
          <w:rFonts w:ascii="Arial" w:hAnsi="Arial" w:cs="Arial"/>
        </w:rPr>
        <w:t>uiry into rationality, as this C</w:t>
      </w:r>
      <w:r w:rsidR="00EB5002" w:rsidRPr="007A37E1">
        <w:rPr>
          <w:rFonts w:ascii="Arial" w:hAnsi="Arial" w:cs="Arial"/>
        </w:rPr>
        <w:t xml:space="preserve">ourt observed in </w:t>
      </w:r>
      <w:r w:rsidR="00EB5002" w:rsidRPr="007A37E1">
        <w:rPr>
          <w:rFonts w:ascii="Arial" w:hAnsi="Arial" w:cs="Arial"/>
          <w:i/>
        </w:rPr>
        <w:t>Minister of Home Affairs and Others v Scalabrini Centre, Cape Town and Others</w:t>
      </w:r>
      <w:r w:rsidR="00EB5002" w:rsidRPr="007A37E1">
        <w:rPr>
          <w:rFonts w:ascii="Arial" w:hAnsi="Arial" w:cs="Arial"/>
        </w:rPr>
        <w:t>,</w:t>
      </w:r>
      <w:r w:rsidR="00EB5002" w:rsidRPr="007A37E1">
        <w:rPr>
          <w:rFonts w:ascii="Arial" w:hAnsi="Arial" w:cs="Arial"/>
          <w:i/>
        </w:rPr>
        <w:t xml:space="preserve"> </w:t>
      </w:r>
      <w:r w:rsidR="00EB5002" w:rsidRPr="007A37E1">
        <w:rPr>
          <w:rFonts w:ascii="Arial" w:hAnsi="Arial" w:cs="Arial"/>
        </w:rPr>
        <w:t>‘can be a slippery path that might easily take one inadvertently into assessing whether the decision was one the court considers to be reasonable</w:t>
      </w:r>
      <w:r w:rsidR="004F465B" w:rsidRPr="007A37E1">
        <w:rPr>
          <w:rFonts w:ascii="Arial" w:hAnsi="Arial" w:cs="Arial"/>
        </w:rPr>
        <w:t>’.</w:t>
      </w:r>
      <w:r w:rsidR="00EB5002" w:rsidRPr="007A37E1">
        <w:rPr>
          <w:rStyle w:val="FootnoteReference"/>
          <w:rFonts w:ascii="Arial" w:hAnsi="Arial" w:cs="Arial"/>
        </w:rPr>
        <w:footnoteReference w:id="35"/>
      </w:r>
      <w:r w:rsidR="00EB5002" w:rsidRPr="007A37E1">
        <w:rPr>
          <w:rFonts w:ascii="Arial" w:hAnsi="Arial" w:cs="Arial"/>
        </w:rPr>
        <w:t> </w:t>
      </w:r>
    </w:p>
    <w:p w14:paraId="52D4DC11" w14:textId="77777777" w:rsidR="00EB5002" w:rsidRPr="007A37E1" w:rsidRDefault="00EB5002" w:rsidP="00974860">
      <w:pPr>
        <w:spacing w:line="360" w:lineRule="auto"/>
        <w:jc w:val="both"/>
        <w:rPr>
          <w:rFonts w:ascii="Arial" w:hAnsi="Arial" w:cs="Arial"/>
        </w:rPr>
      </w:pPr>
    </w:p>
    <w:p w14:paraId="62419924" w14:textId="5D42162D" w:rsidR="00BE5CC9" w:rsidRPr="007A37E1" w:rsidRDefault="000742B4" w:rsidP="00974860">
      <w:pPr>
        <w:spacing w:line="360" w:lineRule="auto"/>
        <w:jc w:val="both"/>
        <w:rPr>
          <w:rFonts w:ascii="Arial" w:hAnsi="Arial" w:cs="Arial"/>
        </w:rPr>
      </w:pPr>
      <w:r w:rsidRPr="007A37E1">
        <w:rPr>
          <w:rFonts w:ascii="Arial" w:hAnsi="Arial" w:cs="Arial"/>
        </w:rPr>
        <w:t>[</w:t>
      </w:r>
      <w:r w:rsidR="007B7D4C" w:rsidRPr="007A37E1">
        <w:rPr>
          <w:rFonts w:ascii="Arial" w:hAnsi="Arial" w:cs="Arial"/>
        </w:rPr>
        <w:t>10</w:t>
      </w:r>
      <w:r w:rsidR="00904BAC" w:rsidRPr="007A37E1">
        <w:rPr>
          <w:rFonts w:ascii="Arial" w:hAnsi="Arial" w:cs="Arial"/>
        </w:rPr>
        <w:t>2</w:t>
      </w:r>
      <w:r w:rsidR="00EB5002" w:rsidRPr="007A37E1">
        <w:rPr>
          <w:rFonts w:ascii="Arial" w:hAnsi="Arial" w:cs="Arial"/>
        </w:rPr>
        <w:t>]</w:t>
      </w:r>
      <w:r w:rsidR="00EB5002" w:rsidRPr="007A37E1">
        <w:rPr>
          <w:rFonts w:ascii="Arial" w:hAnsi="Arial" w:cs="Arial"/>
        </w:rPr>
        <w:tab/>
      </w:r>
      <w:r w:rsidR="00BE5CC9" w:rsidRPr="007A37E1">
        <w:rPr>
          <w:rFonts w:ascii="Arial" w:hAnsi="Arial" w:cs="Arial"/>
        </w:rPr>
        <w:t>Here again,</w:t>
      </w:r>
      <w:r w:rsidR="00264A2A" w:rsidRPr="007A37E1">
        <w:rPr>
          <w:rFonts w:ascii="Arial" w:hAnsi="Arial" w:cs="Arial"/>
        </w:rPr>
        <w:t xml:space="preserve"> there was no properly pleaded case. There was a complaint that the proclamation of the national state of disaster was irrational and based on incorrect advice and unreliable information. There is no reference, in the summary set out in para 3 of the founding affidavit, to a cause of action based on the alleged irrationality of the regulations, nor does the rest of the founding affidavit raise such an attack in cogni</w:t>
      </w:r>
      <w:r w:rsidR="004E2AD5" w:rsidRPr="007A37E1">
        <w:rPr>
          <w:rFonts w:ascii="Arial" w:hAnsi="Arial" w:cs="Arial"/>
        </w:rPr>
        <w:t>s</w:t>
      </w:r>
      <w:r w:rsidR="00264A2A" w:rsidRPr="007A37E1">
        <w:rPr>
          <w:rFonts w:ascii="Arial" w:hAnsi="Arial" w:cs="Arial"/>
        </w:rPr>
        <w:t xml:space="preserve">able form. </w:t>
      </w:r>
      <w:r w:rsidR="0056447C">
        <w:rPr>
          <w:rFonts w:ascii="Arial" w:hAnsi="Arial" w:cs="Arial"/>
        </w:rPr>
        <w:t xml:space="preserve">                </w:t>
      </w:r>
      <w:r w:rsidR="00264A2A" w:rsidRPr="007A37E1">
        <w:rPr>
          <w:rFonts w:ascii="Arial" w:hAnsi="Arial" w:cs="Arial"/>
        </w:rPr>
        <w:t xml:space="preserve">A rationality attack also needs to be properly pleaded so that the functionary knows what </w:t>
      </w:r>
      <w:r w:rsidR="00264A2A" w:rsidRPr="007A37E1">
        <w:rPr>
          <w:rFonts w:ascii="Arial" w:hAnsi="Arial" w:cs="Arial"/>
        </w:rPr>
        <w:lastRenderedPageBreak/>
        <w:t>he or she is being called upon to explain. Despite the fact that no such attack was pleaded, supposed irrationality was at the heart of the high court’s condemnation of those particular regulations which it specifically considered.</w:t>
      </w:r>
    </w:p>
    <w:p w14:paraId="7BBDD788" w14:textId="77777777" w:rsidR="00264A2A" w:rsidRPr="007A37E1" w:rsidRDefault="00264A2A" w:rsidP="00974860">
      <w:pPr>
        <w:spacing w:line="360" w:lineRule="auto"/>
        <w:jc w:val="both"/>
        <w:rPr>
          <w:rFonts w:ascii="Arial" w:hAnsi="Arial" w:cs="Arial"/>
        </w:rPr>
      </w:pPr>
    </w:p>
    <w:p w14:paraId="4B0B60ED" w14:textId="291072B4" w:rsidR="00EB5002" w:rsidRPr="007A37E1" w:rsidRDefault="00264A2A" w:rsidP="00960528">
      <w:pPr>
        <w:tabs>
          <w:tab w:val="left" w:pos="851"/>
        </w:tabs>
        <w:spacing w:line="360" w:lineRule="auto"/>
        <w:jc w:val="both"/>
        <w:rPr>
          <w:rFonts w:ascii="Arial" w:hAnsi="Arial" w:cs="Arial"/>
        </w:rPr>
      </w:pPr>
      <w:r w:rsidRPr="007A37E1">
        <w:rPr>
          <w:rFonts w:ascii="Arial" w:hAnsi="Arial" w:cs="Arial"/>
        </w:rPr>
        <w:t>[10</w:t>
      </w:r>
      <w:r w:rsidR="00904BAC" w:rsidRPr="007A37E1">
        <w:rPr>
          <w:rFonts w:ascii="Arial" w:hAnsi="Arial" w:cs="Arial"/>
        </w:rPr>
        <w:t>3</w:t>
      </w:r>
      <w:r w:rsidRPr="007A37E1">
        <w:rPr>
          <w:rFonts w:ascii="Arial" w:hAnsi="Arial" w:cs="Arial"/>
        </w:rPr>
        <w:t>]</w:t>
      </w:r>
      <w:r w:rsidR="006E4A23" w:rsidRPr="007A37E1">
        <w:rPr>
          <w:rFonts w:ascii="Arial" w:hAnsi="Arial" w:cs="Arial"/>
        </w:rPr>
        <w:tab/>
      </w:r>
      <w:r w:rsidRPr="007A37E1">
        <w:rPr>
          <w:rFonts w:ascii="Arial" w:hAnsi="Arial" w:cs="Arial"/>
        </w:rPr>
        <w:t xml:space="preserve">However, and even if a rationality attack were to have been open to the present respondents in the high court, it had to be approached in accordance with the Constitutional Court’s rationality jurisprudence as encapsulated </w:t>
      </w:r>
      <w:r w:rsidRPr="007A37E1">
        <w:rPr>
          <w:rFonts w:ascii="Arial" w:hAnsi="Arial" w:cs="Arial"/>
          <w:i/>
        </w:rPr>
        <w:t>inter alia</w:t>
      </w:r>
      <w:r w:rsidRPr="007A37E1">
        <w:rPr>
          <w:rFonts w:ascii="Arial" w:hAnsi="Arial" w:cs="Arial"/>
        </w:rPr>
        <w:t xml:space="preserve"> in the passage cited above from </w:t>
      </w:r>
      <w:r w:rsidRPr="007A37E1">
        <w:rPr>
          <w:rFonts w:ascii="Arial" w:hAnsi="Arial" w:cs="Arial"/>
          <w:i/>
        </w:rPr>
        <w:t>Democratic Alliance</w:t>
      </w:r>
      <w:r w:rsidRPr="007A37E1">
        <w:rPr>
          <w:rFonts w:ascii="Arial" w:hAnsi="Arial" w:cs="Arial"/>
          <w:iCs/>
        </w:rPr>
        <w:t>.</w:t>
      </w:r>
      <w:r w:rsidR="000713F6" w:rsidRPr="007A37E1">
        <w:rPr>
          <w:rStyle w:val="FootnoteReference"/>
          <w:rFonts w:ascii="Arial" w:hAnsi="Arial" w:cs="Arial"/>
          <w:iCs/>
        </w:rPr>
        <w:footnoteReference w:id="36"/>
      </w:r>
      <w:r w:rsidRPr="007A37E1">
        <w:rPr>
          <w:rFonts w:ascii="Arial" w:hAnsi="Arial" w:cs="Arial"/>
        </w:rPr>
        <w:t xml:space="preserve"> </w:t>
      </w:r>
      <w:r w:rsidR="00EB5002" w:rsidRPr="007A37E1">
        <w:rPr>
          <w:rFonts w:ascii="Arial" w:hAnsi="Arial" w:cs="Arial"/>
        </w:rPr>
        <w:t xml:space="preserve">The high court was required to assess each regulation against the purpose and to determine whether there was a rational link between that regulation and the stated purpose of curbing the spread of COVID-19. But, the high court did not do this. Although the high court correctly stated the rationality test in paras 6.1 to 6.4 of its judgment, it did not </w:t>
      </w:r>
      <w:r w:rsidR="0095683A" w:rsidRPr="007A37E1">
        <w:rPr>
          <w:rFonts w:ascii="Arial" w:hAnsi="Arial" w:cs="Arial"/>
        </w:rPr>
        <w:t xml:space="preserve">thereafter </w:t>
      </w:r>
      <w:r w:rsidR="00EB5002" w:rsidRPr="007A37E1">
        <w:rPr>
          <w:rFonts w:ascii="Arial" w:hAnsi="Arial" w:cs="Arial"/>
        </w:rPr>
        <w:t>apply it in para 7 when subjecting specific measures in the regulations to the rationality test. First, in each case the high court deduced irrationality from the fact that some other conduct, thought by the court to be equally or more worthy of restriction, had not been restricted. Second, instead of limiting itself to an enquiry into the presence or absence of a rational connection between the measure and its purpose, the court strayed into considerations as to whether other (and in the court’s opinion, evidently better) means might have been adopted.</w:t>
      </w:r>
    </w:p>
    <w:p w14:paraId="0E923B64" w14:textId="77777777" w:rsidR="00EB5002" w:rsidRPr="007A37E1" w:rsidRDefault="00EB5002" w:rsidP="00974860">
      <w:pPr>
        <w:spacing w:line="360" w:lineRule="auto"/>
        <w:jc w:val="both"/>
        <w:rPr>
          <w:rFonts w:ascii="Arial" w:hAnsi="Arial" w:cs="Arial"/>
        </w:rPr>
      </w:pPr>
    </w:p>
    <w:p w14:paraId="1AFD3642" w14:textId="3DD7D0C0" w:rsidR="00EB5002" w:rsidRPr="007A37E1" w:rsidRDefault="000742B4" w:rsidP="004F465B">
      <w:pPr>
        <w:tabs>
          <w:tab w:val="left" w:pos="851"/>
        </w:tabs>
        <w:spacing w:line="360" w:lineRule="auto"/>
        <w:jc w:val="both"/>
        <w:rPr>
          <w:rFonts w:ascii="Arial" w:hAnsi="Arial" w:cs="Arial"/>
        </w:rPr>
      </w:pPr>
      <w:r w:rsidRPr="007A37E1">
        <w:rPr>
          <w:rFonts w:ascii="Arial" w:hAnsi="Arial" w:cs="Arial"/>
        </w:rPr>
        <w:t>[</w:t>
      </w:r>
      <w:r w:rsidR="007B7D4C" w:rsidRPr="007A37E1">
        <w:rPr>
          <w:rFonts w:ascii="Arial" w:hAnsi="Arial" w:cs="Arial"/>
        </w:rPr>
        <w:t>10</w:t>
      </w:r>
      <w:r w:rsidR="00904BAC" w:rsidRPr="007A37E1">
        <w:rPr>
          <w:rFonts w:ascii="Arial" w:hAnsi="Arial" w:cs="Arial"/>
        </w:rPr>
        <w:t>4</w:t>
      </w:r>
      <w:r w:rsidR="00EB5002" w:rsidRPr="007A37E1">
        <w:rPr>
          <w:rFonts w:ascii="Arial" w:hAnsi="Arial" w:cs="Arial"/>
        </w:rPr>
        <w:t>]</w:t>
      </w:r>
      <w:r w:rsidR="00EB5002" w:rsidRPr="007A37E1">
        <w:rPr>
          <w:rFonts w:ascii="Arial" w:hAnsi="Arial" w:cs="Arial"/>
        </w:rPr>
        <w:tab/>
        <w:t>The first error can be illustrated with reference to the high court’s first case of supposed irrationality. Reg</w:t>
      </w:r>
      <w:r w:rsidR="004F465B" w:rsidRPr="007A37E1">
        <w:rPr>
          <w:rFonts w:ascii="Arial" w:hAnsi="Arial" w:cs="Arial"/>
        </w:rPr>
        <w:t>ulation</w:t>
      </w:r>
      <w:r w:rsidR="00EB5002" w:rsidRPr="007A37E1">
        <w:rPr>
          <w:rFonts w:ascii="Arial" w:hAnsi="Arial" w:cs="Arial"/>
        </w:rPr>
        <w:t xml:space="preserve"> 33(1) of the Level 3 </w:t>
      </w:r>
      <w:r w:rsidR="00264A2A" w:rsidRPr="007A37E1">
        <w:rPr>
          <w:rFonts w:ascii="Arial" w:hAnsi="Arial" w:cs="Arial"/>
        </w:rPr>
        <w:t>r</w:t>
      </w:r>
      <w:r w:rsidR="00EB5002" w:rsidRPr="007A37E1">
        <w:rPr>
          <w:rFonts w:ascii="Arial" w:hAnsi="Arial" w:cs="Arial"/>
        </w:rPr>
        <w:t xml:space="preserve">egulations confined people to their homes except for certain permitted purposes. This meant </w:t>
      </w:r>
      <w:r w:rsidR="00EB5002" w:rsidRPr="007A37E1">
        <w:rPr>
          <w:rFonts w:ascii="Arial" w:hAnsi="Arial" w:cs="Arial"/>
          <w:i/>
          <w:iCs/>
        </w:rPr>
        <w:t>inter alia</w:t>
      </w:r>
      <w:r w:rsidR="00EB5002" w:rsidRPr="007A37E1">
        <w:rPr>
          <w:rFonts w:ascii="Arial" w:hAnsi="Arial" w:cs="Arial"/>
        </w:rPr>
        <w:t xml:space="preserve"> that loved ones could not visit a dying person </w:t>
      </w:r>
      <w:r w:rsidR="00B60503" w:rsidRPr="007A37E1">
        <w:rPr>
          <w:rFonts w:ascii="Arial" w:hAnsi="Arial" w:cs="Arial"/>
        </w:rPr>
        <w:t>at</w:t>
      </w:r>
      <w:r w:rsidR="00EB5002" w:rsidRPr="007A37E1">
        <w:rPr>
          <w:rFonts w:ascii="Arial" w:hAnsi="Arial" w:cs="Arial"/>
        </w:rPr>
        <w:t xml:space="preserve"> home. This was said by the high court to be irrational on the basis that once the person died, reg</w:t>
      </w:r>
      <w:r w:rsidR="00DF76A3" w:rsidRPr="007A37E1">
        <w:rPr>
          <w:rFonts w:ascii="Arial" w:hAnsi="Arial" w:cs="Arial"/>
        </w:rPr>
        <w:t>ulation</w:t>
      </w:r>
      <w:r w:rsidR="00EB5002" w:rsidRPr="007A37E1">
        <w:rPr>
          <w:rFonts w:ascii="Arial" w:hAnsi="Arial" w:cs="Arial"/>
        </w:rPr>
        <w:t xml:space="preserve"> 35 permitted up to 50 people to attend the deceased’s funeral. In terms of the objective rationality test, the high court should have asked whether the restrictions on movement contained in reg</w:t>
      </w:r>
      <w:r w:rsidR="00DF76A3" w:rsidRPr="007A37E1">
        <w:rPr>
          <w:rFonts w:ascii="Arial" w:hAnsi="Arial" w:cs="Arial"/>
        </w:rPr>
        <w:t>ulation</w:t>
      </w:r>
      <w:r w:rsidR="00EB5002" w:rsidRPr="007A37E1">
        <w:rPr>
          <w:rFonts w:ascii="Arial" w:hAnsi="Arial" w:cs="Arial"/>
        </w:rPr>
        <w:t xml:space="preserve"> 33(1) were rationally connected with the purpose for which the measure was enacted, namely to restrict the spread of the virus. If the answer to this question was yes (as we think it </w:t>
      </w:r>
      <w:r w:rsidR="00DF76A3" w:rsidRPr="007A37E1">
        <w:rPr>
          <w:rFonts w:ascii="Arial" w:hAnsi="Arial" w:cs="Arial"/>
        </w:rPr>
        <w:t xml:space="preserve">should </w:t>
      </w:r>
      <w:r w:rsidR="00EB5002" w:rsidRPr="007A37E1">
        <w:rPr>
          <w:rFonts w:ascii="Arial" w:hAnsi="Arial" w:cs="Arial"/>
        </w:rPr>
        <w:t>have been), reg</w:t>
      </w:r>
      <w:r w:rsidR="00DF76A3" w:rsidRPr="007A37E1">
        <w:rPr>
          <w:rFonts w:ascii="Arial" w:hAnsi="Arial" w:cs="Arial"/>
        </w:rPr>
        <w:t>ulation</w:t>
      </w:r>
      <w:r w:rsidR="00EB5002" w:rsidRPr="007A37E1">
        <w:rPr>
          <w:rFonts w:ascii="Arial" w:hAnsi="Arial" w:cs="Arial"/>
        </w:rPr>
        <w:t xml:space="preserve"> 33(1) was not deprived of objective rationality merely because reg</w:t>
      </w:r>
      <w:r w:rsidR="00DF76A3" w:rsidRPr="007A37E1">
        <w:rPr>
          <w:rFonts w:ascii="Arial" w:hAnsi="Arial" w:cs="Arial"/>
        </w:rPr>
        <w:t>ulation</w:t>
      </w:r>
      <w:r w:rsidR="00EB5002" w:rsidRPr="007A37E1">
        <w:rPr>
          <w:rFonts w:ascii="Arial" w:hAnsi="Arial" w:cs="Arial"/>
        </w:rPr>
        <w:t xml:space="preserve"> 35 permitted up to 50 people to attend a funeral. This is so even </w:t>
      </w:r>
      <w:r w:rsidR="00B60503" w:rsidRPr="007A37E1">
        <w:rPr>
          <w:rFonts w:ascii="Arial" w:hAnsi="Arial" w:cs="Arial"/>
        </w:rPr>
        <w:t xml:space="preserve">if there was a </w:t>
      </w:r>
      <w:r w:rsidR="00B60503" w:rsidRPr="007A37E1">
        <w:rPr>
          <w:rFonts w:ascii="Arial" w:hAnsi="Arial" w:cs="Arial"/>
        </w:rPr>
        <w:lastRenderedPageBreak/>
        <w:t>case to be made</w:t>
      </w:r>
      <w:r w:rsidR="00EB5002" w:rsidRPr="007A37E1">
        <w:rPr>
          <w:rFonts w:ascii="Arial" w:hAnsi="Arial" w:cs="Arial"/>
        </w:rPr>
        <w:t xml:space="preserve"> </w:t>
      </w:r>
      <w:r w:rsidR="00B60503" w:rsidRPr="007A37E1">
        <w:rPr>
          <w:rFonts w:ascii="Arial" w:hAnsi="Arial" w:cs="Arial"/>
        </w:rPr>
        <w:t>that</w:t>
      </w:r>
      <w:r w:rsidR="00EB5002" w:rsidRPr="007A37E1">
        <w:rPr>
          <w:rFonts w:ascii="Arial" w:hAnsi="Arial" w:cs="Arial"/>
        </w:rPr>
        <w:t xml:space="preserve"> </w:t>
      </w:r>
      <w:r w:rsidR="00B60503" w:rsidRPr="007A37E1">
        <w:rPr>
          <w:rFonts w:ascii="Arial" w:hAnsi="Arial" w:cs="Arial"/>
        </w:rPr>
        <w:t xml:space="preserve">the regulations should have </w:t>
      </w:r>
      <w:r w:rsidR="00EB5002" w:rsidRPr="007A37E1">
        <w:rPr>
          <w:rFonts w:ascii="Arial" w:hAnsi="Arial" w:cs="Arial"/>
        </w:rPr>
        <w:t>prohibited funerals or restricted attendance to a smaller number</w:t>
      </w:r>
      <w:r w:rsidR="00B60503" w:rsidRPr="007A37E1">
        <w:rPr>
          <w:rFonts w:ascii="Arial" w:hAnsi="Arial" w:cs="Arial"/>
        </w:rPr>
        <w:t xml:space="preserve"> so a</w:t>
      </w:r>
      <w:r w:rsidR="004F465B" w:rsidRPr="007A37E1">
        <w:rPr>
          <w:rFonts w:ascii="Arial" w:hAnsi="Arial" w:cs="Arial"/>
        </w:rPr>
        <w:t>s to reduce the spread of COVID</w:t>
      </w:r>
      <w:r w:rsidR="00686E95" w:rsidRPr="007A37E1">
        <w:rPr>
          <w:rFonts w:ascii="Arial" w:hAnsi="Arial" w:cs="Arial"/>
        </w:rPr>
        <w:t>-</w:t>
      </w:r>
      <w:r w:rsidR="00B60503" w:rsidRPr="007A37E1">
        <w:rPr>
          <w:rFonts w:ascii="Arial" w:hAnsi="Arial" w:cs="Arial"/>
        </w:rPr>
        <w:t>19</w:t>
      </w:r>
      <w:r w:rsidR="00EB5002" w:rsidRPr="007A37E1">
        <w:rPr>
          <w:rFonts w:ascii="Arial" w:hAnsi="Arial" w:cs="Arial"/>
        </w:rPr>
        <w:t xml:space="preserve"> (we do not suggest that </w:t>
      </w:r>
      <w:r w:rsidR="00264A2A" w:rsidRPr="007A37E1">
        <w:rPr>
          <w:rFonts w:ascii="Arial" w:hAnsi="Arial" w:cs="Arial"/>
        </w:rPr>
        <w:t>the Minister</w:t>
      </w:r>
      <w:r w:rsidR="00EB5002" w:rsidRPr="007A37E1">
        <w:rPr>
          <w:rFonts w:ascii="Arial" w:hAnsi="Arial" w:cs="Arial"/>
        </w:rPr>
        <w:t xml:space="preserve"> should have done so)</w:t>
      </w:r>
      <w:r w:rsidR="00DA2FF2" w:rsidRPr="007A37E1">
        <w:rPr>
          <w:rFonts w:ascii="Arial" w:hAnsi="Arial" w:cs="Arial"/>
        </w:rPr>
        <w:t>. That a regulatory scheme is under-inclusive does not make specific regulations or the regulatory scheme as a whole irrational, under the legal test for irrationality.</w:t>
      </w:r>
      <w:r w:rsidR="00B60503" w:rsidRPr="007A37E1">
        <w:rPr>
          <w:rFonts w:ascii="Arial" w:hAnsi="Arial" w:cs="Arial"/>
        </w:rPr>
        <w:t xml:space="preserve"> </w:t>
      </w:r>
      <w:r w:rsidR="00DA2FF2" w:rsidRPr="007A37E1">
        <w:rPr>
          <w:rFonts w:ascii="Arial" w:hAnsi="Arial" w:cs="Arial"/>
        </w:rPr>
        <w:t xml:space="preserve">Such a scheme may be open to challenge on the grounds of arbitrariness or unfair discrimination. But that was not </w:t>
      </w:r>
      <w:r w:rsidR="0095683A" w:rsidRPr="007A37E1">
        <w:rPr>
          <w:rFonts w:ascii="Arial" w:hAnsi="Arial" w:cs="Arial"/>
        </w:rPr>
        <w:t>the</w:t>
      </w:r>
      <w:r w:rsidR="00DA2FF2" w:rsidRPr="007A37E1">
        <w:rPr>
          <w:rFonts w:ascii="Arial" w:hAnsi="Arial" w:cs="Arial"/>
        </w:rPr>
        <w:t xml:space="preserve"> case brought by the respondents.</w:t>
      </w:r>
    </w:p>
    <w:p w14:paraId="7F174E06" w14:textId="77777777" w:rsidR="00EB5002" w:rsidRPr="007A37E1" w:rsidRDefault="00EB5002" w:rsidP="00974860">
      <w:pPr>
        <w:spacing w:line="360" w:lineRule="auto"/>
        <w:jc w:val="both"/>
        <w:rPr>
          <w:rFonts w:ascii="Arial" w:hAnsi="Arial" w:cs="Arial"/>
        </w:rPr>
      </w:pPr>
    </w:p>
    <w:p w14:paraId="3C194A65" w14:textId="4EB9E07A" w:rsidR="00EB5002" w:rsidRPr="007A37E1" w:rsidRDefault="000742B4" w:rsidP="00974860">
      <w:pPr>
        <w:spacing w:line="360" w:lineRule="auto"/>
        <w:jc w:val="both"/>
        <w:rPr>
          <w:rFonts w:ascii="Arial" w:hAnsi="Arial" w:cs="Arial"/>
        </w:rPr>
      </w:pPr>
      <w:r w:rsidRPr="007A37E1">
        <w:rPr>
          <w:rFonts w:ascii="Arial" w:hAnsi="Arial" w:cs="Arial"/>
        </w:rPr>
        <w:t>[</w:t>
      </w:r>
      <w:r w:rsidR="007A549D" w:rsidRPr="007A37E1">
        <w:rPr>
          <w:rFonts w:ascii="Arial" w:hAnsi="Arial" w:cs="Arial"/>
        </w:rPr>
        <w:t>10</w:t>
      </w:r>
      <w:r w:rsidR="00904BAC" w:rsidRPr="007A37E1">
        <w:rPr>
          <w:rFonts w:ascii="Arial" w:hAnsi="Arial" w:cs="Arial"/>
        </w:rPr>
        <w:t>5</w:t>
      </w:r>
      <w:r w:rsidR="00EB5002" w:rsidRPr="007A37E1">
        <w:rPr>
          <w:rFonts w:ascii="Arial" w:hAnsi="Arial" w:cs="Arial"/>
        </w:rPr>
        <w:t>]</w:t>
      </w:r>
      <w:r w:rsidR="00EB5002" w:rsidRPr="007A37E1">
        <w:rPr>
          <w:rFonts w:ascii="Arial" w:hAnsi="Arial" w:cs="Arial"/>
        </w:rPr>
        <w:tab/>
        <w:t>The second error can be illustrated with reference to the high court’s fifth case of supposed irrationality. Reg</w:t>
      </w:r>
      <w:r w:rsidR="004F465B" w:rsidRPr="007A37E1">
        <w:rPr>
          <w:rFonts w:ascii="Arial" w:hAnsi="Arial" w:cs="Arial"/>
        </w:rPr>
        <w:t>ulation</w:t>
      </w:r>
      <w:r w:rsidR="00EB5002" w:rsidRPr="007A37E1">
        <w:rPr>
          <w:rFonts w:ascii="Arial" w:hAnsi="Arial" w:cs="Arial"/>
        </w:rPr>
        <w:t xml:space="preserve"> 35, while permitting funerals with up to 50 attendees, prohibited night vigils. The high court asked itself, rhetorically, why night vigils were wholly banned if the purpose was to prevent the spread of the virus through close proximity. Why not rather impose ‘time, distance and closed casket prohibitions’? Why not allow a vigil without the body of the deceased? Here the high court regarded the prohibition of night vigils as irrational because, in the court’s opinion, there were more appropriate (ie less restrictive) ways of achieving the lawmaker’s purpose. That is not a</w:t>
      </w:r>
      <w:r w:rsidR="008B1578" w:rsidRPr="007A37E1">
        <w:rPr>
          <w:rFonts w:ascii="Arial" w:hAnsi="Arial" w:cs="Arial"/>
        </w:rPr>
        <w:t>n application of the</w:t>
      </w:r>
      <w:r w:rsidR="00EB5002" w:rsidRPr="007A37E1">
        <w:rPr>
          <w:rFonts w:ascii="Arial" w:hAnsi="Arial" w:cs="Arial"/>
        </w:rPr>
        <w:t xml:space="preserve"> rationality test. </w:t>
      </w:r>
      <w:r w:rsidR="008B1578" w:rsidRPr="007A37E1">
        <w:rPr>
          <w:rFonts w:ascii="Arial" w:hAnsi="Arial" w:cs="Arial"/>
        </w:rPr>
        <w:t xml:space="preserve">It engages in the very enquiry that the rationality test precludes, that is, whether the court can craft a better regulation than the Minister did. </w:t>
      </w:r>
      <w:r w:rsidR="00EB5002" w:rsidRPr="007A37E1">
        <w:rPr>
          <w:rFonts w:ascii="Arial" w:hAnsi="Arial" w:cs="Arial"/>
        </w:rPr>
        <w:t>The high court should have asked itself whether prohibiting night vigils is rationally related to the purpose of restricting the spread of the virus, not whether a more limited restriction might also have achieved that purpose.</w:t>
      </w:r>
    </w:p>
    <w:p w14:paraId="27417A75" w14:textId="77777777" w:rsidR="005D1751" w:rsidRPr="007A37E1" w:rsidRDefault="005D1751" w:rsidP="00974860">
      <w:pPr>
        <w:spacing w:line="360" w:lineRule="auto"/>
        <w:jc w:val="both"/>
        <w:rPr>
          <w:rFonts w:ascii="Arial" w:hAnsi="Arial" w:cs="Arial"/>
        </w:rPr>
      </w:pPr>
    </w:p>
    <w:p w14:paraId="3147D53E" w14:textId="68D6CC2F" w:rsidR="00EB5002" w:rsidRPr="007A37E1" w:rsidRDefault="000742B4" w:rsidP="00974860">
      <w:pPr>
        <w:spacing w:line="360" w:lineRule="auto"/>
        <w:jc w:val="both"/>
        <w:rPr>
          <w:rFonts w:ascii="Arial" w:hAnsi="Arial" w:cs="Arial"/>
        </w:rPr>
      </w:pPr>
      <w:r w:rsidRPr="007A37E1">
        <w:rPr>
          <w:rFonts w:ascii="Arial" w:hAnsi="Arial" w:cs="Arial"/>
        </w:rPr>
        <w:t>[</w:t>
      </w:r>
      <w:r w:rsidR="007A549D" w:rsidRPr="007A37E1">
        <w:rPr>
          <w:rFonts w:ascii="Arial" w:hAnsi="Arial" w:cs="Arial"/>
        </w:rPr>
        <w:t>10</w:t>
      </w:r>
      <w:r w:rsidR="00904BAC" w:rsidRPr="007A37E1">
        <w:rPr>
          <w:rFonts w:ascii="Arial" w:hAnsi="Arial" w:cs="Arial"/>
        </w:rPr>
        <w:t>6</w:t>
      </w:r>
      <w:r w:rsidR="00EB5002" w:rsidRPr="007A37E1">
        <w:rPr>
          <w:rFonts w:ascii="Arial" w:hAnsi="Arial" w:cs="Arial"/>
        </w:rPr>
        <w:t>]</w:t>
      </w:r>
      <w:r w:rsidR="00EB5002" w:rsidRPr="007A37E1">
        <w:rPr>
          <w:rFonts w:ascii="Arial" w:hAnsi="Arial" w:cs="Arial"/>
        </w:rPr>
        <w:tab/>
        <w:t xml:space="preserve">These </w:t>
      </w:r>
      <w:r w:rsidR="008B1578" w:rsidRPr="007A37E1">
        <w:rPr>
          <w:rFonts w:ascii="Arial" w:hAnsi="Arial" w:cs="Arial"/>
        </w:rPr>
        <w:t xml:space="preserve">legal </w:t>
      </w:r>
      <w:r w:rsidR="00EB5002" w:rsidRPr="007A37E1">
        <w:rPr>
          <w:rFonts w:ascii="Arial" w:hAnsi="Arial" w:cs="Arial"/>
        </w:rPr>
        <w:t>errors permeated the high court’s finding</w:t>
      </w:r>
      <w:r w:rsidR="008B1578" w:rsidRPr="007A37E1">
        <w:rPr>
          <w:rFonts w:ascii="Arial" w:hAnsi="Arial" w:cs="Arial"/>
        </w:rPr>
        <w:t>s</w:t>
      </w:r>
      <w:r w:rsidR="00EB5002" w:rsidRPr="007A37E1">
        <w:rPr>
          <w:rFonts w:ascii="Arial" w:hAnsi="Arial" w:cs="Arial"/>
        </w:rPr>
        <w:t xml:space="preserve"> in respect of </w:t>
      </w:r>
      <w:r w:rsidR="00F77F8B" w:rsidRPr="007A37E1">
        <w:rPr>
          <w:rFonts w:ascii="Arial" w:hAnsi="Arial" w:cs="Arial"/>
        </w:rPr>
        <w:t xml:space="preserve">the validity of </w:t>
      </w:r>
      <w:r w:rsidR="00EB5002" w:rsidRPr="007A37E1">
        <w:rPr>
          <w:rFonts w:ascii="Arial" w:hAnsi="Arial" w:cs="Arial"/>
        </w:rPr>
        <w:t xml:space="preserve">the regulations. In that, the approach was </w:t>
      </w:r>
      <w:r w:rsidR="004F459F" w:rsidRPr="007A37E1">
        <w:rPr>
          <w:rFonts w:ascii="Arial" w:hAnsi="Arial" w:cs="Arial"/>
        </w:rPr>
        <w:t xml:space="preserve">also </w:t>
      </w:r>
      <w:r w:rsidR="00EB5002" w:rsidRPr="007A37E1">
        <w:rPr>
          <w:rFonts w:ascii="Arial" w:hAnsi="Arial" w:cs="Arial"/>
        </w:rPr>
        <w:t xml:space="preserve">fatally flawed. The </w:t>
      </w:r>
      <w:r w:rsidR="00CD6CA8" w:rsidRPr="007A37E1">
        <w:rPr>
          <w:rFonts w:ascii="Arial" w:hAnsi="Arial" w:cs="Arial"/>
        </w:rPr>
        <w:t xml:space="preserve">high </w:t>
      </w:r>
      <w:r w:rsidR="00EB5002" w:rsidRPr="007A37E1">
        <w:rPr>
          <w:rFonts w:ascii="Arial" w:hAnsi="Arial" w:cs="Arial"/>
        </w:rPr>
        <w:t>court did not properly apply the rationality test to each of the impugned regulations. Instead, it embarked upon a comparative exercise and for the rest, it relied upon conjecture and speculation. It lost from sight that the question is not whether some other measure might better achieve the purpose or might be more appropriate, only whether the measure actually employed is rationally related to the purpose.</w:t>
      </w:r>
    </w:p>
    <w:p w14:paraId="6B327486" w14:textId="77777777" w:rsidR="007B7D4C" w:rsidRPr="007A37E1" w:rsidRDefault="007B7D4C" w:rsidP="00974860">
      <w:pPr>
        <w:tabs>
          <w:tab w:val="left" w:pos="284"/>
        </w:tabs>
        <w:spacing w:line="360" w:lineRule="auto"/>
        <w:jc w:val="both"/>
        <w:rPr>
          <w:rFonts w:ascii="Arial" w:hAnsi="Arial" w:cs="Arial"/>
          <w:i/>
        </w:rPr>
      </w:pPr>
    </w:p>
    <w:p w14:paraId="13CB848B" w14:textId="77777777" w:rsidR="0088193E" w:rsidRPr="007A37E1" w:rsidRDefault="0088193E" w:rsidP="00974860">
      <w:pPr>
        <w:tabs>
          <w:tab w:val="left" w:pos="284"/>
        </w:tabs>
        <w:spacing w:line="360" w:lineRule="auto"/>
        <w:jc w:val="both"/>
        <w:rPr>
          <w:rFonts w:ascii="Arial" w:hAnsi="Arial" w:cs="Arial"/>
          <w:i/>
        </w:rPr>
      </w:pPr>
    </w:p>
    <w:p w14:paraId="01A87190" w14:textId="77777777" w:rsidR="0088193E" w:rsidRPr="007A37E1" w:rsidRDefault="0088193E" w:rsidP="00974860">
      <w:pPr>
        <w:tabs>
          <w:tab w:val="left" w:pos="284"/>
        </w:tabs>
        <w:spacing w:line="360" w:lineRule="auto"/>
        <w:jc w:val="both"/>
        <w:rPr>
          <w:rFonts w:ascii="Arial" w:hAnsi="Arial" w:cs="Arial"/>
          <w:i/>
        </w:rPr>
      </w:pPr>
    </w:p>
    <w:p w14:paraId="4834AF7A" w14:textId="652D8F2B" w:rsidR="00B70BB5" w:rsidRPr="007A37E1" w:rsidRDefault="00AC67BC" w:rsidP="00974860">
      <w:pPr>
        <w:tabs>
          <w:tab w:val="left" w:pos="284"/>
        </w:tabs>
        <w:spacing w:line="360" w:lineRule="auto"/>
        <w:jc w:val="both"/>
        <w:rPr>
          <w:rFonts w:ascii="Arial" w:hAnsi="Arial" w:cs="Arial"/>
          <w:b/>
          <w:i/>
        </w:rPr>
      </w:pPr>
      <w:r w:rsidRPr="007A37E1">
        <w:rPr>
          <w:rFonts w:ascii="Arial" w:hAnsi="Arial" w:cs="Arial"/>
          <w:b/>
          <w:i/>
        </w:rPr>
        <w:lastRenderedPageBreak/>
        <w:t>As to the fourth:</w:t>
      </w:r>
    </w:p>
    <w:p w14:paraId="0C245CA8" w14:textId="0B26D382" w:rsidR="00AC67BC" w:rsidRPr="007A37E1" w:rsidRDefault="00AC67BC" w:rsidP="00974860">
      <w:pPr>
        <w:tabs>
          <w:tab w:val="left" w:pos="284"/>
        </w:tabs>
        <w:spacing w:line="360" w:lineRule="auto"/>
        <w:jc w:val="both"/>
        <w:rPr>
          <w:rFonts w:ascii="Arial" w:hAnsi="Arial" w:cs="Arial"/>
          <w:color w:val="242121"/>
          <w:shd w:val="clear" w:color="auto" w:fill="FFFFFF"/>
        </w:rPr>
      </w:pPr>
      <w:r w:rsidRPr="007A37E1">
        <w:rPr>
          <w:rFonts w:ascii="Arial" w:hAnsi="Arial" w:cs="Arial"/>
        </w:rPr>
        <w:t>[</w:t>
      </w:r>
      <w:r w:rsidR="007A549D" w:rsidRPr="007A37E1">
        <w:rPr>
          <w:rFonts w:ascii="Arial" w:hAnsi="Arial" w:cs="Arial"/>
        </w:rPr>
        <w:t>10</w:t>
      </w:r>
      <w:r w:rsidR="00904BAC" w:rsidRPr="007A37E1">
        <w:rPr>
          <w:rFonts w:ascii="Arial" w:hAnsi="Arial" w:cs="Arial"/>
        </w:rPr>
        <w:t>7</w:t>
      </w:r>
      <w:r w:rsidRPr="007A37E1">
        <w:rPr>
          <w:rFonts w:ascii="Arial" w:hAnsi="Arial" w:cs="Arial"/>
        </w:rPr>
        <w:t>]</w:t>
      </w:r>
      <w:r w:rsidRPr="007A37E1">
        <w:rPr>
          <w:rFonts w:ascii="Arial" w:hAnsi="Arial" w:cs="Arial"/>
        </w:rPr>
        <w:tab/>
      </w:r>
      <w:r w:rsidR="00F45958" w:rsidRPr="007A37E1">
        <w:rPr>
          <w:rFonts w:ascii="Arial" w:hAnsi="Arial" w:cs="Arial"/>
          <w:color w:val="242121"/>
          <w:shd w:val="clear" w:color="auto" w:fill="FFFFFF"/>
        </w:rPr>
        <w:t xml:space="preserve">An order of </w:t>
      </w:r>
      <w:r w:rsidRPr="007A37E1">
        <w:rPr>
          <w:rFonts w:ascii="Arial" w:hAnsi="Arial" w:cs="Arial"/>
          <w:color w:val="242121"/>
          <w:shd w:val="clear" w:color="auto" w:fill="FFFFFF"/>
        </w:rPr>
        <w:t xml:space="preserve">court binds all those to whom it applies. It must </w:t>
      </w:r>
      <w:r w:rsidR="00F45958" w:rsidRPr="007A37E1">
        <w:rPr>
          <w:rFonts w:ascii="Arial" w:hAnsi="Arial" w:cs="Arial"/>
          <w:color w:val="242121"/>
          <w:shd w:val="clear" w:color="auto" w:fill="FFFFFF"/>
        </w:rPr>
        <w:t xml:space="preserve">therefore </w:t>
      </w:r>
      <w:r w:rsidRPr="007A37E1">
        <w:rPr>
          <w:rFonts w:ascii="Arial" w:hAnsi="Arial" w:cs="Arial"/>
          <w:color w:val="242121"/>
          <w:shd w:val="clear" w:color="auto" w:fill="FFFFFF"/>
        </w:rPr>
        <w:t>be written in a clear and accessible manner</w:t>
      </w:r>
      <w:r w:rsidR="00B85011" w:rsidRPr="007A37E1">
        <w:rPr>
          <w:rFonts w:ascii="Arial" w:hAnsi="Arial" w:cs="Arial"/>
          <w:color w:val="242121"/>
          <w:shd w:val="clear" w:color="auto" w:fill="FFFFFF"/>
        </w:rPr>
        <w:t xml:space="preserve">. </w:t>
      </w:r>
      <w:r w:rsidR="00B555DC" w:rsidRPr="007A37E1">
        <w:rPr>
          <w:rFonts w:ascii="Arial" w:hAnsi="Arial" w:cs="Arial"/>
          <w:color w:val="242121"/>
          <w:shd w:val="clear" w:color="auto" w:fill="FFFFFF"/>
        </w:rPr>
        <w:t>Here</w:t>
      </w:r>
      <w:r w:rsidR="00B85011" w:rsidRPr="007A37E1">
        <w:rPr>
          <w:rFonts w:ascii="Arial" w:hAnsi="Arial" w:cs="Arial"/>
          <w:color w:val="242121"/>
          <w:shd w:val="clear" w:color="auto" w:fill="FFFFFF"/>
        </w:rPr>
        <w:t>,</w:t>
      </w:r>
      <w:r w:rsidR="00B555DC" w:rsidRPr="007A37E1">
        <w:rPr>
          <w:rFonts w:ascii="Arial" w:hAnsi="Arial" w:cs="Arial"/>
          <w:color w:val="242121"/>
          <w:shd w:val="clear" w:color="auto" w:fill="FFFFFF"/>
        </w:rPr>
        <w:t xml:space="preserve"> aside from the first order striking down the regulations, the remaining orders are vague. </w:t>
      </w:r>
      <w:r w:rsidR="008463C7" w:rsidRPr="007A37E1">
        <w:rPr>
          <w:rFonts w:ascii="Arial" w:hAnsi="Arial" w:cs="Arial"/>
          <w:color w:val="242121"/>
          <w:shd w:val="clear" w:color="auto" w:fill="FFFFFF"/>
        </w:rPr>
        <w:t xml:space="preserve">Paragraphs 2 and 3 </w:t>
      </w:r>
      <w:r w:rsidR="00306656" w:rsidRPr="007A37E1">
        <w:rPr>
          <w:rFonts w:ascii="Arial" w:hAnsi="Arial" w:cs="Arial"/>
          <w:color w:val="242121"/>
          <w:shd w:val="clear" w:color="auto" w:fill="FFFFFF"/>
        </w:rPr>
        <w:t>of the court order require the M</w:t>
      </w:r>
      <w:r w:rsidR="008463C7" w:rsidRPr="007A37E1">
        <w:rPr>
          <w:rFonts w:ascii="Arial" w:hAnsi="Arial" w:cs="Arial"/>
          <w:color w:val="242121"/>
          <w:shd w:val="clear" w:color="auto" w:fill="FFFFFF"/>
        </w:rPr>
        <w:t>inister to ‘review, amend and republish’ all of the regulations</w:t>
      </w:r>
      <w:r w:rsidR="00735258" w:rsidRPr="007A37E1">
        <w:rPr>
          <w:rFonts w:ascii="Arial" w:hAnsi="Arial" w:cs="Arial"/>
          <w:color w:val="242121"/>
          <w:shd w:val="clear" w:color="auto" w:fill="FFFFFF"/>
        </w:rPr>
        <w:t>, save for the five that have been specified. These orders do not tell the Minister</w:t>
      </w:r>
      <w:r w:rsidR="008463C7" w:rsidRPr="007A37E1">
        <w:rPr>
          <w:rFonts w:ascii="Arial" w:hAnsi="Arial" w:cs="Arial"/>
          <w:color w:val="242121"/>
          <w:shd w:val="clear" w:color="auto" w:fill="FFFFFF"/>
        </w:rPr>
        <w:t xml:space="preserve"> </w:t>
      </w:r>
      <w:r w:rsidR="00735258" w:rsidRPr="007A37E1">
        <w:rPr>
          <w:rFonts w:ascii="Arial" w:hAnsi="Arial" w:cs="Arial"/>
          <w:color w:val="242121"/>
          <w:shd w:val="clear" w:color="auto" w:fill="FFFFFF"/>
        </w:rPr>
        <w:t>what is required of her to comply. More particularly, they do not indicate which regulations in particular should be amended,</w:t>
      </w:r>
      <w:r w:rsidR="00306656" w:rsidRPr="007A37E1">
        <w:rPr>
          <w:rFonts w:ascii="Arial" w:hAnsi="Arial" w:cs="Arial"/>
          <w:color w:val="242121"/>
          <w:shd w:val="clear" w:color="auto" w:fill="FFFFFF"/>
        </w:rPr>
        <w:t xml:space="preserve"> how and in what respects. The M</w:t>
      </w:r>
      <w:r w:rsidR="00735258" w:rsidRPr="007A37E1">
        <w:rPr>
          <w:rFonts w:ascii="Arial" w:hAnsi="Arial" w:cs="Arial"/>
          <w:color w:val="242121"/>
          <w:shd w:val="clear" w:color="auto" w:fill="FFFFFF"/>
        </w:rPr>
        <w:t>inister is thus left to speculate as to the respects in which the regulations are unconstitutional and how that should be remedied. In the judgment on the application for leave to appeal, the court expresse</w:t>
      </w:r>
      <w:r w:rsidR="008B1578" w:rsidRPr="007A37E1">
        <w:rPr>
          <w:rFonts w:ascii="Arial" w:hAnsi="Arial" w:cs="Arial"/>
          <w:color w:val="242121"/>
          <w:shd w:val="clear" w:color="auto" w:fill="FFFFFF"/>
        </w:rPr>
        <w:t>d</w:t>
      </w:r>
      <w:r w:rsidR="00735258" w:rsidRPr="007A37E1">
        <w:rPr>
          <w:rFonts w:ascii="Arial" w:hAnsi="Arial" w:cs="Arial"/>
          <w:color w:val="242121"/>
          <w:shd w:val="clear" w:color="auto" w:fill="FFFFFF"/>
        </w:rPr>
        <w:t xml:space="preserve"> the view that it is a ‘simple exercise’ to review the regulations and revise them so as to ‘remove the irrationalities’. But that is easier said t</w:t>
      </w:r>
      <w:r w:rsidR="00306656" w:rsidRPr="007A37E1">
        <w:rPr>
          <w:rFonts w:ascii="Arial" w:hAnsi="Arial" w:cs="Arial"/>
          <w:color w:val="242121"/>
          <w:shd w:val="clear" w:color="auto" w:fill="FFFFFF"/>
        </w:rPr>
        <w:t>han done, especially where the M</w:t>
      </w:r>
      <w:r w:rsidR="00735258" w:rsidRPr="007A37E1">
        <w:rPr>
          <w:rFonts w:ascii="Arial" w:hAnsi="Arial" w:cs="Arial"/>
          <w:color w:val="242121"/>
          <w:shd w:val="clear" w:color="auto" w:fill="FFFFFF"/>
        </w:rPr>
        <w:t>inister has been left in the dark as to the basis upon which each of the regulations have been held to be irrational and, accordingly, what manner of amendment would cure the defect.</w:t>
      </w:r>
    </w:p>
    <w:p w14:paraId="3A715DE7" w14:textId="77777777" w:rsidR="00C86937" w:rsidRPr="007A37E1" w:rsidRDefault="00C86937" w:rsidP="00974860">
      <w:pPr>
        <w:tabs>
          <w:tab w:val="left" w:pos="284"/>
        </w:tabs>
        <w:spacing w:line="360" w:lineRule="auto"/>
        <w:jc w:val="both"/>
        <w:rPr>
          <w:rFonts w:ascii="Arial" w:hAnsi="Arial" w:cs="Arial"/>
        </w:rPr>
      </w:pPr>
    </w:p>
    <w:p w14:paraId="73B6AA07" w14:textId="7E3460C5" w:rsidR="00735258" w:rsidRPr="007A37E1" w:rsidRDefault="00735258" w:rsidP="00974860">
      <w:pPr>
        <w:tabs>
          <w:tab w:val="left" w:pos="284"/>
        </w:tabs>
        <w:spacing w:line="360" w:lineRule="auto"/>
        <w:jc w:val="both"/>
        <w:rPr>
          <w:rFonts w:ascii="Arial" w:hAnsi="Arial" w:cs="Arial"/>
        </w:rPr>
      </w:pPr>
      <w:r w:rsidRPr="007A37E1">
        <w:rPr>
          <w:rFonts w:ascii="Arial" w:hAnsi="Arial" w:cs="Arial"/>
        </w:rPr>
        <w:t>[</w:t>
      </w:r>
      <w:r w:rsidR="007A549D" w:rsidRPr="007A37E1">
        <w:rPr>
          <w:rFonts w:ascii="Arial" w:hAnsi="Arial" w:cs="Arial"/>
        </w:rPr>
        <w:t>10</w:t>
      </w:r>
      <w:r w:rsidR="00904BAC" w:rsidRPr="007A37E1">
        <w:rPr>
          <w:rFonts w:ascii="Arial" w:hAnsi="Arial" w:cs="Arial"/>
        </w:rPr>
        <w:t>8</w:t>
      </w:r>
      <w:r w:rsidRPr="007A37E1">
        <w:rPr>
          <w:rFonts w:ascii="Arial" w:hAnsi="Arial" w:cs="Arial"/>
        </w:rPr>
        <w:t>]</w:t>
      </w:r>
      <w:r w:rsidRPr="007A37E1">
        <w:rPr>
          <w:rFonts w:ascii="Arial" w:hAnsi="Arial" w:cs="Arial"/>
        </w:rPr>
        <w:tab/>
        <w:t>As it was put in</w:t>
      </w:r>
      <w:r w:rsidR="009D60F1" w:rsidRPr="007A37E1">
        <w:rPr>
          <w:rFonts w:ascii="Arial" w:hAnsi="Arial" w:cs="Arial"/>
        </w:rPr>
        <w:t xml:space="preserve"> </w:t>
      </w:r>
      <w:r w:rsidR="009D60F1" w:rsidRPr="007A37E1">
        <w:rPr>
          <w:rFonts w:ascii="Arial" w:hAnsi="Arial" w:cs="Arial"/>
          <w:bCs/>
          <w:i/>
        </w:rPr>
        <w:t>Minister of Water and Environmental Affairs v Kloof Conservancy:</w:t>
      </w:r>
    </w:p>
    <w:p w14:paraId="5B39C02A" w14:textId="77F947E5" w:rsidR="00735258" w:rsidRPr="007A37E1" w:rsidRDefault="009D60F1" w:rsidP="00974860">
      <w:pPr>
        <w:tabs>
          <w:tab w:val="left" w:pos="284"/>
        </w:tabs>
        <w:spacing w:line="360" w:lineRule="auto"/>
        <w:jc w:val="both"/>
        <w:rPr>
          <w:rFonts w:ascii="Arial" w:hAnsi="Arial" w:cs="Arial"/>
          <w:sz w:val="22"/>
          <w:szCs w:val="22"/>
        </w:rPr>
      </w:pPr>
      <w:r w:rsidRPr="007A37E1">
        <w:rPr>
          <w:rFonts w:ascii="Arial" w:hAnsi="Arial" w:cs="Arial"/>
          <w:sz w:val="22"/>
          <w:szCs w:val="22"/>
        </w:rPr>
        <w:t>‘</w:t>
      </w:r>
      <w:r w:rsidR="00735258" w:rsidRPr="007A37E1">
        <w:rPr>
          <w:rFonts w:ascii="Arial" w:hAnsi="Arial" w:cs="Arial"/>
          <w:sz w:val="22"/>
          <w:szCs w:val="22"/>
        </w:rPr>
        <w:t>Moreover, interrogating the suggestion appears to lead one to the conclusion that the order is indeterminate, open ended and irredeemably vague. For, it seems impossible for the Minister to know with any measure of confidence what she is obliged by the order of court to do. Here, the court offers the Minister no guidance as to when she is required to step in. Litigants who are required to comply with court orders, at the risk otherwise of being in contempt if they do not, must know with clarity what is r</w:t>
      </w:r>
      <w:r w:rsidRPr="007A37E1">
        <w:rPr>
          <w:rFonts w:ascii="Arial" w:hAnsi="Arial" w:cs="Arial"/>
          <w:sz w:val="22"/>
          <w:szCs w:val="22"/>
        </w:rPr>
        <w:t xml:space="preserve">equired of them . . . </w:t>
      </w:r>
      <w:r w:rsidR="00735258" w:rsidRPr="007A37E1">
        <w:rPr>
          <w:rFonts w:ascii="Arial" w:hAnsi="Arial" w:cs="Arial"/>
          <w:sz w:val="22"/>
          <w:szCs w:val="22"/>
        </w:rPr>
        <w:t> Courts are entitled to operate on the assumption that government will comply with orders of court . . . But, in order to do that, it has to know where its obligations start and end. It does seem to me to be difficult in the extreme for the Minister to know with any measure of confidence precisely what steps she is required to take to comply with the order of the high court.’</w:t>
      </w:r>
      <w:r w:rsidRPr="007A37E1">
        <w:rPr>
          <w:rStyle w:val="FootnoteReference"/>
          <w:rFonts w:ascii="Arial" w:hAnsi="Arial" w:cs="Arial"/>
          <w:sz w:val="22"/>
          <w:szCs w:val="22"/>
        </w:rPr>
        <w:footnoteReference w:id="37"/>
      </w:r>
    </w:p>
    <w:p w14:paraId="6FF4DA57" w14:textId="1F692721" w:rsidR="005E5151" w:rsidRPr="007A37E1" w:rsidRDefault="005E5151" w:rsidP="00974860">
      <w:pPr>
        <w:tabs>
          <w:tab w:val="left" w:pos="284"/>
        </w:tabs>
        <w:spacing w:line="360" w:lineRule="auto"/>
        <w:jc w:val="both"/>
        <w:rPr>
          <w:rFonts w:ascii="Arial" w:hAnsi="Arial" w:cs="Arial"/>
          <w:sz w:val="22"/>
          <w:szCs w:val="22"/>
        </w:rPr>
      </w:pPr>
    </w:p>
    <w:p w14:paraId="0BA5D842" w14:textId="7081FC20" w:rsidR="006E4A23" w:rsidRPr="007A37E1" w:rsidRDefault="006E4A23" w:rsidP="00974860">
      <w:pPr>
        <w:tabs>
          <w:tab w:val="left" w:pos="284"/>
        </w:tabs>
        <w:spacing w:line="360" w:lineRule="auto"/>
        <w:jc w:val="both"/>
        <w:rPr>
          <w:rFonts w:ascii="Arial" w:hAnsi="Arial" w:cs="Arial"/>
          <w:b/>
          <w:i/>
        </w:rPr>
      </w:pPr>
      <w:r w:rsidRPr="007A37E1">
        <w:rPr>
          <w:rFonts w:ascii="Arial" w:hAnsi="Arial" w:cs="Arial"/>
          <w:b/>
          <w:i/>
        </w:rPr>
        <w:t>Other challenges</w:t>
      </w:r>
    </w:p>
    <w:p w14:paraId="5DF98D57" w14:textId="22171B64" w:rsidR="00BD2CC6" w:rsidRPr="007A37E1" w:rsidRDefault="00633623" w:rsidP="00974860">
      <w:pPr>
        <w:tabs>
          <w:tab w:val="left" w:pos="284"/>
        </w:tabs>
        <w:spacing w:line="360" w:lineRule="auto"/>
        <w:jc w:val="both"/>
        <w:rPr>
          <w:rFonts w:ascii="Arial" w:hAnsi="Arial" w:cs="Arial"/>
        </w:rPr>
      </w:pPr>
      <w:r w:rsidRPr="007A37E1">
        <w:rPr>
          <w:rFonts w:ascii="Arial" w:hAnsi="Arial" w:cs="Arial"/>
        </w:rPr>
        <w:t>[</w:t>
      </w:r>
      <w:r w:rsidR="007A549D" w:rsidRPr="007A37E1">
        <w:rPr>
          <w:rFonts w:ascii="Arial" w:hAnsi="Arial" w:cs="Arial"/>
        </w:rPr>
        <w:t>10</w:t>
      </w:r>
      <w:r w:rsidR="00904BAC" w:rsidRPr="007A37E1">
        <w:rPr>
          <w:rFonts w:ascii="Arial" w:hAnsi="Arial" w:cs="Arial"/>
        </w:rPr>
        <w:t>9</w:t>
      </w:r>
      <w:r w:rsidRPr="007A37E1">
        <w:rPr>
          <w:rFonts w:ascii="Arial" w:hAnsi="Arial" w:cs="Arial"/>
        </w:rPr>
        <w:t>]</w:t>
      </w:r>
      <w:r w:rsidRPr="007A37E1">
        <w:rPr>
          <w:rFonts w:ascii="Arial" w:hAnsi="Arial" w:cs="Arial"/>
        </w:rPr>
        <w:tab/>
        <w:t>Finally, because it was persisted with in the respondents</w:t>
      </w:r>
      <w:r w:rsidR="007720A0" w:rsidRPr="007A37E1">
        <w:rPr>
          <w:rFonts w:ascii="Arial" w:hAnsi="Arial" w:cs="Arial"/>
        </w:rPr>
        <w:t>’</w:t>
      </w:r>
      <w:r w:rsidRPr="007A37E1">
        <w:rPr>
          <w:rFonts w:ascii="Arial" w:hAnsi="Arial" w:cs="Arial"/>
        </w:rPr>
        <w:t xml:space="preserve"> heads of argument, we deal with the question of wh</w:t>
      </w:r>
      <w:r w:rsidR="00DE3C35" w:rsidRPr="007A37E1">
        <w:rPr>
          <w:rFonts w:ascii="Arial" w:hAnsi="Arial" w:cs="Arial"/>
        </w:rPr>
        <w:t>e</w:t>
      </w:r>
      <w:r w:rsidRPr="007A37E1">
        <w:rPr>
          <w:rFonts w:ascii="Arial" w:hAnsi="Arial" w:cs="Arial"/>
        </w:rPr>
        <w:t>t</w:t>
      </w:r>
      <w:r w:rsidR="00DE3C35" w:rsidRPr="007A37E1">
        <w:rPr>
          <w:rFonts w:ascii="Arial" w:hAnsi="Arial" w:cs="Arial"/>
        </w:rPr>
        <w:t>her the Minister was required to</w:t>
      </w:r>
      <w:r w:rsidR="00EF7C78" w:rsidRPr="007A37E1">
        <w:rPr>
          <w:rFonts w:ascii="Arial" w:hAnsi="Arial" w:cs="Arial"/>
        </w:rPr>
        <w:t xml:space="preserve"> obtain approval for the </w:t>
      </w:r>
      <w:r w:rsidR="00EF7C78" w:rsidRPr="007A37E1">
        <w:rPr>
          <w:rFonts w:ascii="Arial" w:hAnsi="Arial" w:cs="Arial"/>
        </w:rPr>
        <w:lastRenderedPageBreak/>
        <w:t xml:space="preserve">regulations from the NCOP. </w:t>
      </w:r>
      <w:r w:rsidR="00BB7D83" w:rsidRPr="007A37E1">
        <w:rPr>
          <w:rFonts w:ascii="Arial" w:hAnsi="Arial" w:cs="Arial"/>
        </w:rPr>
        <w:t>In this regard</w:t>
      </w:r>
      <w:r w:rsidR="00430641" w:rsidRPr="007A37E1">
        <w:rPr>
          <w:rFonts w:ascii="Arial" w:hAnsi="Arial" w:cs="Arial"/>
        </w:rPr>
        <w:t>,</w:t>
      </w:r>
      <w:r w:rsidR="00EF7C78" w:rsidRPr="007A37E1">
        <w:rPr>
          <w:rFonts w:ascii="Arial" w:hAnsi="Arial" w:cs="Arial"/>
        </w:rPr>
        <w:t xml:space="preserve"> </w:t>
      </w:r>
      <w:r w:rsidR="00BB7D83" w:rsidRPr="007A37E1">
        <w:rPr>
          <w:rFonts w:ascii="Arial" w:hAnsi="Arial" w:cs="Arial"/>
        </w:rPr>
        <w:t>it is necessary to have regard first, to s</w:t>
      </w:r>
      <w:r w:rsidR="00C56D7D" w:rsidRPr="007A37E1">
        <w:rPr>
          <w:rFonts w:ascii="Arial" w:hAnsi="Arial" w:cs="Arial"/>
        </w:rPr>
        <w:t xml:space="preserve"> </w:t>
      </w:r>
      <w:r w:rsidR="00BB7D83" w:rsidRPr="007A37E1">
        <w:rPr>
          <w:rFonts w:ascii="Arial" w:hAnsi="Arial" w:cs="Arial"/>
        </w:rPr>
        <w:t>27</w:t>
      </w:r>
      <w:r w:rsidR="00A85ACF" w:rsidRPr="007A37E1">
        <w:rPr>
          <w:rFonts w:ascii="Arial" w:hAnsi="Arial" w:cs="Arial"/>
        </w:rPr>
        <w:t>(2)</w:t>
      </w:r>
      <w:r w:rsidR="00BB7D83" w:rsidRPr="007A37E1">
        <w:rPr>
          <w:rFonts w:ascii="Arial" w:hAnsi="Arial" w:cs="Arial"/>
        </w:rPr>
        <w:t xml:space="preserve"> of the Act</w:t>
      </w:r>
      <w:r w:rsidR="00D812BB" w:rsidRPr="007A37E1">
        <w:rPr>
          <w:rFonts w:ascii="Arial" w:hAnsi="Arial" w:cs="Arial"/>
        </w:rPr>
        <w:t>,</w:t>
      </w:r>
      <w:r w:rsidR="00576C85" w:rsidRPr="007A37E1">
        <w:rPr>
          <w:rFonts w:ascii="Arial" w:hAnsi="Arial" w:cs="Arial"/>
        </w:rPr>
        <w:t xml:space="preserve"> </w:t>
      </w:r>
      <w:r w:rsidR="00B57CFE" w:rsidRPr="007A37E1">
        <w:rPr>
          <w:rFonts w:ascii="Arial" w:hAnsi="Arial" w:cs="Arial"/>
        </w:rPr>
        <w:t xml:space="preserve">which </w:t>
      </w:r>
      <w:r w:rsidR="00394F55" w:rsidRPr="007A37E1">
        <w:rPr>
          <w:rFonts w:ascii="Arial" w:hAnsi="Arial" w:cs="Arial"/>
        </w:rPr>
        <w:t>bestows on the Minister very specific regulation</w:t>
      </w:r>
      <w:r w:rsidR="00430641" w:rsidRPr="007A37E1">
        <w:rPr>
          <w:rFonts w:ascii="Arial" w:hAnsi="Arial" w:cs="Arial"/>
        </w:rPr>
        <w:t>-</w:t>
      </w:r>
      <w:r w:rsidR="00394F55" w:rsidRPr="007A37E1">
        <w:rPr>
          <w:rFonts w:ascii="Arial" w:hAnsi="Arial" w:cs="Arial"/>
        </w:rPr>
        <w:t>making powers</w:t>
      </w:r>
      <w:r w:rsidR="00062124" w:rsidRPr="007A37E1">
        <w:rPr>
          <w:rFonts w:ascii="Arial" w:hAnsi="Arial" w:cs="Arial"/>
        </w:rPr>
        <w:t xml:space="preserve"> after declaring a</w:t>
      </w:r>
      <w:r w:rsidR="00C61FF2" w:rsidRPr="007A37E1">
        <w:rPr>
          <w:rFonts w:ascii="Arial" w:hAnsi="Arial" w:cs="Arial"/>
        </w:rPr>
        <w:t xml:space="preserve"> national</w:t>
      </w:r>
      <w:r w:rsidR="00062124" w:rsidRPr="007A37E1">
        <w:rPr>
          <w:rFonts w:ascii="Arial" w:hAnsi="Arial" w:cs="Arial"/>
        </w:rPr>
        <w:t xml:space="preserve"> state of disaster.</w:t>
      </w:r>
      <w:r w:rsidR="00C61FF2" w:rsidRPr="007A37E1">
        <w:rPr>
          <w:rFonts w:ascii="Arial" w:hAnsi="Arial" w:cs="Arial"/>
        </w:rPr>
        <w:t xml:space="preserve"> These involve</w:t>
      </w:r>
      <w:r w:rsidR="00876256" w:rsidRPr="007A37E1">
        <w:rPr>
          <w:rFonts w:ascii="Arial" w:hAnsi="Arial" w:cs="Arial"/>
        </w:rPr>
        <w:t>,</w:t>
      </w:r>
      <w:r w:rsidR="00C61FF2" w:rsidRPr="007A37E1">
        <w:rPr>
          <w:rFonts w:ascii="Arial" w:hAnsi="Arial" w:cs="Arial"/>
        </w:rPr>
        <w:t xml:space="preserve"> </w:t>
      </w:r>
      <w:r w:rsidR="00C61FF2" w:rsidRPr="007A37E1">
        <w:rPr>
          <w:rFonts w:ascii="Arial" w:hAnsi="Arial" w:cs="Arial"/>
          <w:i/>
        </w:rPr>
        <w:t>inter alia</w:t>
      </w:r>
      <w:r w:rsidR="00C61FF2" w:rsidRPr="007A37E1">
        <w:rPr>
          <w:rFonts w:ascii="Arial" w:hAnsi="Arial" w:cs="Arial"/>
        </w:rPr>
        <w:t>, the employment of resources</w:t>
      </w:r>
      <w:r w:rsidR="00525CAB" w:rsidRPr="007A37E1">
        <w:rPr>
          <w:rFonts w:ascii="Arial" w:hAnsi="Arial" w:cs="Arial"/>
        </w:rPr>
        <w:t>, the release of personnel of a national organ of s</w:t>
      </w:r>
      <w:r w:rsidR="00A85ACF" w:rsidRPr="007A37E1">
        <w:rPr>
          <w:rFonts w:ascii="Arial" w:hAnsi="Arial" w:cs="Arial"/>
        </w:rPr>
        <w:t>t</w:t>
      </w:r>
      <w:r w:rsidR="00525CAB" w:rsidRPr="007A37E1">
        <w:rPr>
          <w:rFonts w:ascii="Arial" w:hAnsi="Arial" w:cs="Arial"/>
        </w:rPr>
        <w:t xml:space="preserve">ate </w:t>
      </w:r>
      <w:r w:rsidR="00A85ACF" w:rsidRPr="007A37E1">
        <w:rPr>
          <w:rFonts w:ascii="Arial" w:hAnsi="Arial" w:cs="Arial"/>
        </w:rPr>
        <w:t>for rendering</w:t>
      </w:r>
      <w:r w:rsidR="008A0C32" w:rsidRPr="007A37E1">
        <w:rPr>
          <w:rFonts w:ascii="Arial" w:hAnsi="Arial" w:cs="Arial"/>
        </w:rPr>
        <w:t xml:space="preserve"> emergency services</w:t>
      </w:r>
      <w:r w:rsidR="00C56D7D" w:rsidRPr="007A37E1">
        <w:rPr>
          <w:rFonts w:ascii="Arial" w:hAnsi="Arial" w:cs="Arial"/>
        </w:rPr>
        <w:t xml:space="preserve"> and</w:t>
      </w:r>
      <w:r w:rsidR="008A0C32" w:rsidRPr="007A37E1">
        <w:rPr>
          <w:rFonts w:ascii="Arial" w:hAnsi="Arial" w:cs="Arial"/>
        </w:rPr>
        <w:t xml:space="preserve"> </w:t>
      </w:r>
      <w:r w:rsidR="00C41F0D" w:rsidRPr="007A37E1">
        <w:rPr>
          <w:rFonts w:ascii="Arial" w:hAnsi="Arial" w:cs="Arial"/>
        </w:rPr>
        <w:t>regulating the movement of persons</w:t>
      </w:r>
      <w:r w:rsidR="00003584" w:rsidRPr="007A37E1">
        <w:rPr>
          <w:rFonts w:ascii="Arial" w:hAnsi="Arial" w:cs="Arial"/>
        </w:rPr>
        <w:t>,</w:t>
      </w:r>
      <w:r w:rsidR="00C41F0D" w:rsidRPr="007A37E1">
        <w:rPr>
          <w:rFonts w:ascii="Arial" w:hAnsi="Arial" w:cs="Arial"/>
        </w:rPr>
        <w:t xml:space="preserve"> traffic</w:t>
      </w:r>
      <w:r w:rsidR="00003584" w:rsidRPr="007A37E1">
        <w:rPr>
          <w:rFonts w:ascii="Arial" w:hAnsi="Arial" w:cs="Arial"/>
        </w:rPr>
        <w:t xml:space="preserve"> and goods. That subsection contains a list</w:t>
      </w:r>
      <w:r w:rsidR="00B439A9" w:rsidRPr="007A37E1">
        <w:rPr>
          <w:rFonts w:ascii="Arial" w:hAnsi="Arial" w:cs="Arial"/>
        </w:rPr>
        <w:t xml:space="preserve"> of</w:t>
      </w:r>
      <w:r w:rsidR="00C90D4D" w:rsidRPr="007A37E1">
        <w:rPr>
          <w:rFonts w:ascii="Arial" w:hAnsi="Arial" w:cs="Arial"/>
        </w:rPr>
        <w:t xml:space="preserve"> matter</w:t>
      </w:r>
      <w:r w:rsidR="00B439A9" w:rsidRPr="007A37E1">
        <w:rPr>
          <w:rFonts w:ascii="Arial" w:hAnsi="Arial" w:cs="Arial"/>
        </w:rPr>
        <w:t>s</w:t>
      </w:r>
      <w:r w:rsidR="00C90D4D" w:rsidRPr="007A37E1">
        <w:rPr>
          <w:rFonts w:ascii="Arial" w:hAnsi="Arial" w:cs="Arial"/>
        </w:rPr>
        <w:t xml:space="preserve"> that</w:t>
      </w:r>
      <w:r w:rsidR="00F87E65" w:rsidRPr="007A37E1">
        <w:rPr>
          <w:rFonts w:ascii="Arial" w:hAnsi="Arial" w:cs="Arial"/>
        </w:rPr>
        <w:t xml:space="preserve"> is</w:t>
      </w:r>
      <w:r w:rsidR="001560EB" w:rsidRPr="007A37E1">
        <w:rPr>
          <w:rFonts w:ascii="Arial" w:hAnsi="Arial" w:cs="Arial"/>
        </w:rPr>
        <w:t xml:space="preserve"> exclusively</w:t>
      </w:r>
      <w:r w:rsidR="00F87E65" w:rsidRPr="007A37E1">
        <w:rPr>
          <w:rFonts w:ascii="Arial" w:hAnsi="Arial" w:cs="Arial"/>
        </w:rPr>
        <w:t xml:space="preserve"> within </w:t>
      </w:r>
      <w:r w:rsidR="00D26A87" w:rsidRPr="007A37E1">
        <w:rPr>
          <w:rFonts w:ascii="Arial" w:hAnsi="Arial" w:cs="Arial"/>
        </w:rPr>
        <w:t xml:space="preserve">the </w:t>
      </w:r>
      <w:r w:rsidR="000C7FD8" w:rsidRPr="007A37E1">
        <w:rPr>
          <w:rFonts w:ascii="Arial" w:hAnsi="Arial" w:cs="Arial"/>
        </w:rPr>
        <w:t>Minister’s remit</w:t>
      </w:r>
      <w:r w:rsidR="001560EB" w:rsidRPr="007A37E1">
        <w:rPr>
          <w:rFonts w:ascii="Arial" w:hAnsi="Arial" w:cs="Arial"/>
        </w:rPr>
        <w:t xml:space="preserve">. </w:t>
      </w:r>
    </w:p>
    <w:p w14:paraId="04F52AF1" w14:textId="3FAFADA2" w:rsidR="00BD2CC6" w:rsidRPr="007A37E1" w:rsidRDefault="00BD2CC6" w:rsidP="00974860">
      <w:pPr>
        <w:tabs>
          <w:tab w:val="left" w:pos="284"/>
        </w:tabs>
        <w:spacing w:line="360" w:lineRule="auto"/>
        <w:jc w:val="both"/>
        <w:rPr>
          <w:rFonts w:ascii="Arial" w:hAnsi="Arial" w:cs="Arial"/>
        </w:rPr>
      </w:pPr>
    </w:p>
    <w:p w14:paraId="21EB56F7" w14:textId="4A4364A3" w:rsidR="00EA1CA1" w:rsidRPr="007A37E1" w:rsidRDefault="009C3CDF" w:rsidP="00974860">
      <w:pPr>
        <w:tabs>
          <w:tab w:val="left" w:pos="284"/>
        </w:tabs>
        <w:spacing w:line="360" w:lineRule="auto"/>
        <w:jc w:val="both"/>
        <w:rPr>
          <w:rFonts w:ascii="Arial" w:hAnsi="Arial" w:cs="Arial"/>
        </w:rPr>
      </w:pPr>
      <w:r w:rsidRPr="007A37E1">
        <w:rPr>
          <w:rFonts w:ascii="Arial" w:hAnsi="Arial" w:cs="Arial"/>
        </w:rPr>
        <w:t>[</w:t>
      </w:r>
      <w:r w:rsidR="007A549D" w:rsidRPr="007A37E1">
        <w:rPr>
          <w:rFonts w:ascii="Arial" w:hAnsi="Arial" w:cs="Arial"/>
        </w:rPr>
        <w:t>1</w:t>
      </w:r>
      <w:r w:rsidR="00904BAC" w:rsidRPr="007A37E1">
        <w:rPr>
          <w:rFonts w:ascii="Arial" w:hAnsi="Arial" w:cs="Arial"/>
        </w:rPr>
        <w:t>10</w:t>
      </w:r>
      <w:r w:rsidRPr="007A37E1">
        <w:rPr>
          <w:rFonts w:ascii="Arial" w:hAnsi="Arial" w:cs="Arial"/>
        </w:rPr>
        <w:t>]</w:t>
      </w:r>
      <w:r w:rsidR="00745C46" w:rsidRPr="007A37E1">
        <w:rPr>
          <w:rFonts w:ascii="Arial" w:hAnsi="Arial" w:cs="Arial"/>
        </w:rPr>
        <w:tab/>
        <w:t>T</w:t>
      </w:r>
      <w:r w:rsidR="00174C54" w:rsidRPr="007A37E1">
        <w:rPr>
          <w:rFonts w:ascii="Arial" w:hAnsi="Arial" w:cs="Arial"/>
        </w:rPr>
        <w:t xml:space="preserve">he </w:t>
      </w:r>
      <w:r w:rsidR="00745C46" w:rsidRPr="007A37E1">
        <w:rPr>
          <w:rFonts w:ascii="Arial" w:hAnsi="Arial" w:cs="Arial"/>
        </w:rPr>
        <w:t>provisions of the Act</w:t>
      </w:r>
      <w:r w:rsidR="00174C54" w:rsidRPr="007A37E1">
        <w:rPr>
          <w:rFonts w:ascii="Arial" w:hAnsi="Arial" w:cs="Arial"/>
        </w:rPr>
        <w:t xml:space="preserve"> following </w:t>
      </w:r>
      <w:r w:rsidR="004F459F" w:rsidRPr="007A37E1">
        <w:rPr>
          <w:rFonts w:ascii="Arial" w:hAnsi="Arial" w:cs="Arial"/>
        </w:rPr>
        <w:t xml:space="preserve">upon </w:t>
      </w:r>
      <w:r w:rsidR="00174C54" w:rsidRPr="007A37E1">
        <w:rPr>
          <w:rFonts w:ascii="Arial" w:hAnsi="Arial" w:cs="Arial"/>
        </w:rPr>
        <w:t>s</w:t>
      </w:r>
      <w:r w:rsidR="00C56D7D" w:rsidRPr="007A37E1">
        <w:rPr>
          <w:rFonts w:ascii="Arial" w:hAnsi="Arial" w:cs="Arial"/>
        </w:rPr>
        <w:t xml:space="preserve"> </w:t>
      </w:r>
      <w:r w:rsidR="00174C54" w:rsidRPr="007A37E1">
        <w:rPr>
          <w:rFonts w:ascii="Arial" w:hAnsi="Arial" w:cs="Arial"/>
        </w:rPr>
        <w:t>27</w:t>
      </w:r>
      <w:r w:rsidR="00745C46" w:rsidRPr="007A37E1">
        <w:rPr>
          <w:rFonts w:ascii="Arial" w:hAnsi="Arial" w:cs="Arial"/>
        </w:rPr>
        <w:t xml:space="preserve"> resort under Chapter 4 entitled ‘Provincial Disaster Management’</w:t>
      </w:r>
      <w:r w:rsidR="002D54B5" w:rsidRPr="007A37E1">
        <w:rPr>
          <w:rFonts w:ascii="Arial" w:hAnsi="Arial" w:cs="Arial"/>
        </w:rPr>
        <w:t xml:space="preserve"> and</w:t>
      </w:r>
      <w:r w:rsidR="00745C46" w:rsidRPr="007A37E1">
        <w:rPr>
          <w:rFonts w:ascii="Arial" w:hAnsi="Arial" w:cs="Arial"/>
        </w:rPr>
        <w:t xml:space="preserve"> </w:t>
      </w:r>
      <w:r w:rsidR="002D54B5" w:rsidRPr="007A37E1">
        <w:rPr>
          <w:rFonts w:ascii="Arial" w:hAnsi="Arial" w:cs="Arial"/>
        </w:rPr>
        <w:t>set out a provincial disaster management framework</w:t>
      </w:r>
      <w:r w:rsidR="00D24B11" w:rsidRPr="007A37E1">
        <w:rPr>
          <w:rFonts w:ascii="Arial" w:hAnsi="Arial" w:cs="Arial"/>
        </w:rPr>
        <w:t>.</w:t>
      </w:r>
      <w:r w:rsidR="002D54B5" w:rsidRPr="007A37E1">
        <w:rPr>
          <w:rFonts w:ascii="Arial" w:hAnsi="Arial" w:cs="Arial"/>
        </w:rPr>
        <w:t xml:space="preserve"> </w:t>
      </w:r>
      <w:r w:rsidR="00D24B11" w:rsidRPr="007A37E1">
        <w:rPr>
          <w:rFonts w:ascii="Arial" w:hAnsi="Arial" w:cs="Arial"/>
        </w:rPr>
        <w:t>It obliges each province to establish a disaster management centre</w:t>
      </w:r>
      <w:r w:rsidR="006E01C6" w:rsidRPr="007A37E1">
        <w:rPr>
          <w:rFonts w:ascii="Arial" w:hAnsi="Arial" w:cs="Arial"/>
        </w:rPr>
        <w:t xml:space="preserve"> and </w:t>
      </w:r>
      <w:r w:rsidR="00672051" w:rsidRPr="007A37E1">
        <w:rPr>
          <w:rFonts w:ascii="Arial" w:hAnsi="Arial" w:cs="Arial"/>
        </w:rPr>
        <w:t xml:space="preserve">sets out the powers and duties of such centres. </w:t>
      </w:r>
      <w:r w:rsidR="00C421D8" w:rsidRPr="007A37E1">
        <w:rPr>
          <w:rFonts w:ascii="Arial" w:hAnsi="Arial" w:cs="Arial"/>
        </w:rPr>
        <w:t xml:space="preserve">Section 32 of the Act provides that a provincial </w:t>
      </w:r>
      <w:r w:rsidR="00DC0B8A" w:rsidRPr="007A37E1">
        <w:rPr>
          <w:rFonts w:ascii="Arial" w:hAnsi="Arial" w:cs="Arial"/>
        </w:rPr>
        <w:t>disaster management centre must upon request assist the National Centre</w:t>
      </w:r>
      <w:r w:rsidR="00287D5C" w:rsidRPr="007A37E1">
        <w:rPr>
          <w:rFonts w:ascii="Arial" w:hAnsi="Arial" w:cs="Arial"/>
        </w:rPr>
        <w:t xml:space="preserve">. </w:t>
      </w:r>
      <w:r w:rsidR="00B72F9C" w:rsidRPr="007A37E1">
        <w:rPr>
          <w:rFonts w:ascii="Arial" w:hAnsi="Arial" w:cs="Arial"/>
        </w:rPr>
        <w:t xml:space="preserve">Section 33 provides that </w:t>
      </w:r>
      <w:r w:rsidR="006D4D06" w:rsidRPr="007A37E1">
        <w:rPr>
          <w:rFonts w:ascii="Arial" w:hAnsi="Arial" w:cs="Arial"/>
        </w:rPr>
        <w:t>‘</w:t>
      </w:r>
      <w:r w:rsidR="00DB0525" w:rsidRPr="007A37E1">
        <w:rPr>
          <w:rFonts w:ascii="Arial" w:hAnsi="Arial" w:cs="Arial"/>
        </w:rPr>
        <w:t>[</w:t>
      </w:r>
      <w:r w:rsidR="00B72F9C" w:rsidRPr="007A37E1">
        <w:rPr>
          <w:rFonts w:ascii="Arial" w:hAnsi="Arial" w:cs="Arial"/>
        </w:rPr>
        <w:t>a</w:t>
      </w:r>
      <w:r w:rsidR="00DB0525" w:rsidRPr="007A37E1">
        <w:rPr>
          <w:rFonts w:ascii="Arial" w:hAnsi="Arial" w:cs="Arial"/>
        </w:rPr>
        <w:t>]</w:t>
      </w:r>
      <w:r w:rsidR="00B72F9C" w:rsidRPr="007A37E1">
        <w:rPr>
          <w:rFonts w:ascii="Arial" w:hAnsi="Arial" w:cs="Arial"/>
        </w:rPr>
        <w:t xml:space="preserve"> provincial disaster management centre</w:t>
      </w:r>
      <w:r w:rsidR="006D4D06" w:rsidRPr="007A37E1">
        <w:rPr>
          <w:rFonts w:ascii="Arial" w:hAnsi="Arial" w:cs="Arial"/>
        </w:rPr>
        <w:t>,</w:t>
      </w:r>
      <w:r w:rsidR="00C2471B" w:rsidRPr="007A37E1">
        <w:rPr>
          <w:rFonts w:ascii="Arial" w:hAnsi="Arial" w:cs="Arial"/>
        </w:rPr>
        <w:t xml:space="preserve"> t</w:t>
      </w:r>
      <w:r w:rsidR="006D4D06" w:rsidRPr="007A37E1">
        <w:rPr>
          <w:rFonts w:ascii="Arial" w:hAnsi="Arial" w:cs="Arial"/>
        </w:rPr>
        <w:t xml:space="preserve">o the </w:t>
      </w:r>
      <w:r w:rsidR="00F80DDE" w:rsidRPr="007A37E1">
        <w:rPr>
          <w:rFonts w:ascii="Arial" w:hAnsi="Arial" w:cs="Arial"/>
        </w:rPr>
        <w:t>extent that it has the capacity</w:t>
      </w:r>
      <w:r w:rsidR="006D4D06" w:rsidRPr="007A37E1">
        <w:rPr>
          <w:rFonts w:ascii="Arial" w:hAnsi="Arial" w:cs="Arial"/>
        </w:rPr>
        <w:t>,</w:t>
      </w:r>
      <w:r w:rsidR="00F80DDE" w:rsidRPr="007A37E1">
        <w:rPr>
          <w:rFonts w:ascii="Arial" w:hAnsi="Arial" w:cs="Arial"/>
        </w:rPr>
        <w:t xml:space="preserve"> must give guidance</w:t>
      </w:r>
      <w:r w:rsidR="006D4D06" w:rsidRPr="007A37E1">
        <w:rPr>
          <w:rFonts w:ascii="Arial" w:hAnsi="Arial" w:cs="Arial"/>
        </w:rPr>
        <w:t xml:space="preserve"> </w:t>
      </w:r>
      <w:r w:rsidR="007B1425" w:rsidRPr="007A37E1">
        <w:rPr>
          <w:rFonts w:ascii="Arial" w:hAnsi="Arial" w:cs="Arial"/>
        </w:rPr>
        <w:t>to organs of state, the private sector, non-governmental organisations</w:t>
      </w:r>
      <w:r w:rsidR="00AE3D32" w:rsidRPr="007A37E1">
        <w:rPr>
          <w:rFonts w:ascii="Arial" w:hAnsi="Arial" w:cs="Arial"/>
        </w:rPr>
        <w:t>, communities and individuals</w:t>
      </w:r>
      <w:r w:rsidR="0012173C" w:rsidRPr="007A37E1">
        <w:rPr>
          <w:rFonts w:ascii="Arial" w:hAnsi="Arial" w:cs="Arial"/>
        </w:rPr>
        <w:t xml:space="preserve"> </w:t>
      </w:r>
      <w:r w:rsidR="006D4D06" w:rsidRPr="007A37E1">
        <w:rPr>
          <w:rFonts w:ascii="Arial" w:hAnsi="Arial" w:cs="Arial"/>
        </w:rPr>
        <w:t xml:space="preserve">in the province </w:t>
      </w:r>
      <w:r w:rsidR="0012173C" w:rsidRPr="007A37E1">
        <w:rPr>
          <w:rFonts w:ascii="Arial" w:hAnsi="Arial" w:cs="Arial"/>
        </w:rPr>
        <w:t>to assess and prevent or reduce the risk of disaster</w:t>
      </w:r>
      <w:r w:rsidR="006D4D06" w:rsidRPr="007A37E1">
        <w:rPr>
          <w:rFonts w:ascii="Arial" w:hAnsi="Arial" w:cs="Arial"/>
        </w:rPr>
        <w:t>s’</w:t>
      </w:r>
      <w:r w:rsidR="0012173C" w:rsidRPr="007A37E1">
        <w:rPr>
          <w:rFonts w:ascii="Arial" w:hAnsi="Arial" w:cs="Arial"/>
        </w:rPr>
        <w:t>.</w:t>
      </w:r>
      <w:r w:rsidR="00C2471B" w:rsidRPr="007A37E1">
        <w:rPr>
          <w:rFonts w:ascii="Arial" w:hAnsi="Arial" w:cs="Arial"/>
        </w:rPr>
        <w:t xml:space="preserve"> </w:t>
      </w:r>
      <w:r w:rsidR="002D70AD" w:rsidRPr="007A37E1">
        <w:rPr>
          <w:rFonts w:ascii="Arial" w:hAnsi="Arial" w:cs="Arial"/>
        </w:rPr>
        <w:t>Section 33(1)</w:t>
      </w:r>
      <w:r w:rsidR="002D70AD" w:rsidRPr="007A37E1">
        <w:rPr>
          <w:rFonts w:ascii="Arial" w:hAnsi="Arial" w:cs="Arial"/>
          <w:i/>
        </w:rPr>
        <w:t>(</w:t>
      </w:r>
      <w:r w:rsidR="002D70AD" w:rsidRPr="007A37E1">
        <w:rPr>
          <w:rFonts w:ascii="Arial" w:hAnsi="Arial" w:cs="Arial"/>
          <w:i/>
          <w:iCs/>
        </w:rPr>
        <w:t>a</w:t>
      </w:r>
      <w:r w:rsidR="002D70AD" w:rsidRPr="007A37E1">
        <w:rPr>
          <w:rFonts w:ascii="Arial" w:hAnsi="Arial" w:cs="Arial"/>
          <w:i/>
        </w:rPr>
        <w:t xml:space="preserve">) </w:t>
      </w:r>
      <w:r w:rsidR="002D70AD" w:rsidRPr="007A37E1">
        <w:rPr>
          <w:rFonts w:ascii="Arial" w:hAnsi="Arial" w:cs="Arial"/>
        </w:rPr>
        <w:t xml:space="preserve">sets </w:t>
      </w:r>
      <w:r w:rsidR="003F0ADB" w:rsidRPr="007A37E1">
        <w:rPr>
          <w:rFonts w:ascii="Arial" w:hAnsi="Arial" w:cs="Arial"/>
        </w:rPr>
        <w:t>out the ways and means of doing so. So too, a provincial disaster manag</w:t>
      </w:r>
      <w:r w:rsidR="009B10D9" w:rsidRPr="007A37E1">
        <w:rPr>
          <w:rFonts w:ascii="Arial" w:hAnsi="Arial" w:cs="Arial"/>
        </w:rPr>
        <w:t>e</w:t>
      </w:r>
      <w:r w:rsidR="003F0ADB" w:rsidRPr="007A37E1">
        <w:rPr>
          <w:rFonts w:ascii="Arial" w:hAnsi="Arial" w:cs="Arial"/>
        </w:rPr>
        <w:t>ment</w:t>
      </w:r>
      <w:r w:rsidR="009B10D9" w:rsidRPr="007A37E1">
        <w:rPr>
          <w:rFonts w:ascii="Arial" w:hAnsi="Arial" w:cs="Arial"/>
        </w:rPr>
        <w:t xml:space="preserve"> centre has a duty to monitor, measure </w:t>
      </w:r>
      <w:r w:rsidR="002F67E3" w:rsidRPr="007A37E1">
        <w:rPr>
          <w:rFonts w:ascii="Arial" w:hAnsi="Arial" w:cs="Arial"/>
        </w:rPr>
        <w:t xml:space="preserve">performance and evaluate disaster management plans and prevention, mitigation and response </w:t>
      </w:r>
      <w:r w:rsidR="00D5696E" w:rsidRPr="007A37E1">
        <w:rPr>
          <w:rFonts w:ascii="Arial" w:hAnsi="Arial" w:cs="Arial"/>
        </w:rPr>
        <w:t>initiatives</w:t>
      </w:r>
      <w:r w:rsidR="002F67E3" w:rsidRPr="007A37E1">
        <w:rPr>
          <w:rFonts w:ascii="Arial" w:hAnsi="Arial" w:cs="Arial"/>
        </w:rPr>
        <w:t xml:space="preserve">. </w:t>
      </w:r>
      <w:r w:rsidR="00120772" w:rsidRPr="007A37E1">
        <w:rPr>
          <w:rFonts w:ascii="Arial" w:hAnsi="Arial" w:cs="Arial"/>
        </w:rPr>
        <w:t>Part 3 of Chapter 4 of the Act</w:t>
      </w:r>
      <w:r w:rsidR="00B72F9C" w:rsidRPr="007A37E1">
        <w:rPr>
          <w:rFonts w:ascii="Arial" w:hAnsi="Arial" w:cs="Arial"/>
        </w:rPr>
        <w:t xml:space="preserve"> </w:t>
      </w:r>
      <w:r w:rsidR="002E5D81" w:rsidRPr="007A37E1">
        <w:rPr>
          <w:rFonts w:ascii="Arial" w:hAnsi="Arial" w:cs="Arial"/>
        </w:rPr>
        <w:t>deals with the powers and dut</w:t>
      </w:r>
      <w:r w:rsidR="00C81FED" w:rsidRPr="007A37E1">
        <w:rPr>
          <w:rFonts w:ascii="Arial" w:hAnsi="Arial" w:cs="Arial"/>
        </w:rPr>
        <w:t>i</w:t>
      </w:r>
      <w:r w:rsidR="002E5D81" w:rsidRPr="007A37E1">
        <w:rPr>
          <w:rFonts w:ascii="Arial" w:hAnsi="Arial" w:cs="Arial"/>
        </w:rPr>
        <w:t>es of provincial government</w:t>
      </w:r>
      <w:r w:rsidR="00C81FED" w:rsidRPr="007A37E1">
        <w:rPr>
          <w:rFonts w:ascii="Arial" w:hAnsi="Arial" w:cs="Arial"/>
        </w:rPr>
        <w:t>.</w:t>
      </w:r>
      <w:r w:rsidR="006D213B" w:rsidRPr="007A37E1">
        <w:rPr>
          <w:rFonts w:ascii="Arial" w:hAnsi="Arial" w:cs="Arial"/>
        </w:rPr>
        <w:t xml:space="preserve"> Section 40 is significant. It states that </w:t>
      </w:r>
      <w:r w:rsidR="006D4D06" w:rsidRPr="007A37E1">
        <w:rPr>
          <w:rFonts w:ascii="Arial" w:hAnsi="Arial" w:cs="Arial"/>
        </w:rPr>
        <w:t>‘</w:t>
      </w:r>
      <w:r w:rsidR="00DB0525" w:rsidRPr="007A37E1">
        <w:rPr>
          <w:rFonts w:ascii="Arial" w:hAnsi="Arial" w:cs="Arial"/>
        </w:rPr>
        <w:t>[</w:t>
      </w:r>
      <w:r w:rsidR="006D213B" w:rsidRPr="007A37E1">
        <w:rPr>
          <w:rFonts w:ascii="Arial" w:hAnsi="Arial" w:cs="Arial"/>
        </w:rPr>
        <w:t>t</w:t>
      </w:r>
      <w:r w:rsidR="00DB0525" w:rsidRPr="007A37E1">
        <w:rPr>
          <w:rFonts w:ascii="Arial" w:hAnsi="Arial" w:cs="Arial"/>
        </w:rPr>
        <w:t>]</w:t>
      </w:r>
      <w:r w:rsidR="006D213B" w:rsidRPr="007A37E1">
        <w:rPr>
          <w:rFonts w:ascii="Arial" w:hAnsi="Arial" w:cs="Arial"/>
        </w:rPr>
        <w:t>he executive of a</w:t>
      </w:r>
      <w:r w:rsidR="004578C1" w:rsidRPr="007A37E1">
        <w:rPr>
          <w:rFonts w:ascii="Arial" w:hAnsi="Arial" w:cs="Arial"/>
        </w:rPr>
        <w:t xml:space="preserve"> province is primarily responsible for the co-ordination and management </w:t>
      </w:r>
      <w:r w:rsidR="008750B9" w:rsidRPr="007A37E1">
        <w:rPr>
          <w:rFonts w:ascii="Arial" w:hAnsi="Arial" w:cs="Arial"/>
        </w:rPr>
        <w:t>of provincial disasters that occur in the province</w:t>
      </w:r>
      <w:r w:rsidR="00DB0525" w:rsidRPr="007A37E1">
        <w:rPr>
          <w:rFonts w:ascii="Arial" w:hAnsi="Arial" w:cs="Arial"/>
        </w:rPr>
        <w:t xml:space="preserve"> . . .</w:t>
      </w:r>
      <w:r w:rsidR="006D4D06" w:rsidRPr="007A37E1">
        <w:rPr>
          <w:rFonts w:ascii="Arial" w:hAnsi="Arial" w:cs="Arial"/>
        </w:rPr>
        <w:t>’</w:t>
      </w:r>
      <w:r w:rsidR="00D821B5" w:rsidRPr="007A37E1">
        <w:rPr>
          <w:rFonts w:ascii="Arial" w:hAnsi="Arial" w:cs="Arial"/>
        </w:rPr>
        <w:t xml:space="preserve"> and to that end </w:t>
      </w:r>
      <w:r w:rsidR="005A63F6" w:rsidRPr="007A37E1">
        <w:rPr>
          <w:rFonts w:ascii="Arial" w:hAnsi="Arial" w:cs="Arial"/>
        </w:rPr>
        <w:t>must employ existing legislation and contingency arrangements</w:t>
      </w:r>
      <w:r w:rsidR="00EA045B" w:rsidRPr="007A37E1">
        <w:rPr>
          <w:rFonts w:ascii="Arial" w:hAnsi="Arial" w:cs="Arial"/>
        </w:rPr>
        <w:t xml:space="preserve"> as ‘augmented</w:t>
      </w:r>
      <w:r w:rsidR="00636103" w:rsidRPr="007A37E1">
        <w:rPr>
          <w:rFonts w:ascii="Arial" w:hAnsi="Arial" w:cs="Arial"/>
        </w:rPr>
        <w:t xml:space="preserve"> </w:t>
      </w:r>
      <w:r w:rsidR="00EA045B" w:rsidRPr="007A37E1">
        <w:rPr>
          <w:rFonts w:ascii="Arial" w:hAnsi="Arial" w:cs="Arial"/>
        </w:rPr>
        <w:t>by regulations</w:t>
      </w:r>
      <w:r w:rsidR="00636103" w:rsidRPr="007A37E1">
        <w:rPr>
          <w:rFonts w:ascii="Arial" w:hAnsi="Arial" w:cs="Arial"/>
        </w:rPr>
        <w:t xml:space="preserve"> or directions made or issued in terms of </w:t>
      </w:r>
      <w:r w:rsidR="0056447C">
        <w:rPr>
          <w:rFonts w:ascii="Arial" w:hAnsi="Arial" w:cs="Arial"/>
        </w:rPr>
        <w:t xml:space="preserve">         </w:t>
      </w:r>
      <w:r w:rsidR="00636103" w:rsidRPr="007A37E1">
        <w:rPr>
          <w:rFonts w:ascii="Arial" w:hAnsi="Arial" w:cs="Arial"/>
        </w:rPr>
        <w:t>s 41(2)</w:t>
      </w:r>
      <w:r w:rsidR="00DB0525" w:rsidRPr="007A37E1">
        <w:rPr>
          <w:rFonts w:ascii="Arial" w:hAnsi="Arial" w:cs="Arial"/>
        </w:rPr>
        <w:t>’</w:t>
      </w:r>
      <w:r w:rsidR="00C56D7D" w:rsidRPr="007A37E1">
        <w:rPr>
          <w:rFonts w:ascii="Arial" w:hAnsi="Arial" w:cs="Arial"/>
        </w:rPr>
        <w:t>.</w:t>
      </w:r>
      <w:r w:rsidR="006919D3" w:rsidRPr="007A37E1">
        <w:rPr>
          <w:rStyle w:val="FootnoteReference"/>
          <w:rFonts w:ascii="Arial" w:hAnsi="Arial" w:cs="Arial"/>
        </w:rPr>
        <w:footnoteReference w:id="38"/>
      </w:r>
      <w:r w:rsidR="00042FEA" w:rsidRPr="007A37E1">
        <w:rPr>
          <w:rFonts w:ascii="Arial" w:hAnsi="Arial" w:cs="Arial"/>
        </w:rPr>
        <w:t xml:space="preserve"> In terms of the </w:t>
      </w:r>
      <w:r w:rsidR="009F7A28" w:rsidRPr="007A37E1">
        <w:rPr>
          <w:rFonts w:ascii="Arial" w:hAnsi="Arial" w:cs="Arial"/>
        </w:rPr>
        <w:t>last-mentioned subsection</w:t>
      </w:r>
      <w:r w:rsidR="00430641" w:rsidRPr="007A37E1">
        <w:rPr>
          <w:rFonts w:ascii="Arial" w:hAnsi="Arial" w:cs="Arial"/>
        </w:rPr>
        <w:t>,</w:t>
      </w:r>
      <w:r w:rsidR="009F7A28" w:rsidRPr="007A37E1">
        <w:rPr>
          <w:rFonts w:ascii="Arial" w:hAnsi="Arial" w:cs="Arial"/>
        </w:rPr>
        <w:t xml:space="preserve"> the Premier of a Province </w:t>
      </w:r>
      <w:r w:rsidR="009A00B5" w:rsidRPr="007A37E1">
        <w:rPr>
          <w:rFonts w:ascii="Arial" w:hAnsi="Arial" w:cs="Arial"/>
        </w:rPr>
        <w:t>may</w:t>
      </w:r>
      <w:r w:rsidR="00DB0525" w:rsidRPr="007A37E1">
        <w:rPr>
          <w:rFonts w:ascii="Arial" w:hAnsi="Arial" w:cs="Arial"/>
        </w:rPr>
        <w:t>,</w:t>
      </w:r>
      <w:r w:rsidR="009A00B5" w:rsidRPr="007A37E1">
        <w:rPr>
          <w:rFonts w:ascii="Arial" w:hAnsi="Arial" w:cs="Arial"/>
        </w:rPr>
        <w:t xml:space="preserve"> after a consul</w:t>
      </w:r>
      <w:r w:rsidR="00D15FF8" w:rsidRPr="007A37E1">
        <w:rPr>
          <w:rFonts w:ascii="Arial" w:hAnsi="Arial" w:cs="Arial"/>
        </w:rPr>
        <w:t>t</w:t>
      </w:r>
      <w:r w:rsidR="009A00B5" w:rsidRPr="007A37E1">
        <w:rPr>
          <w:rFonts w:ascii="Arial" w:hAnsi="Arial" w:cs="Arial"/>
        </w:rPr>
        <w:t>ation p</w:t>
      </w:r>
      <w:r w:rsidR="00D15FF8" w:rsidRPr="007A37E1">
        <w:rPr>
          <w:rFonts w:ascii="Arial" w:hAnsi="Arial" w:cs="Arial"/>
        </w:rPr>
        <w:t>r</w:t>
      </w:r>
      <w:r w:rsidR="009A00B5" w:rsidRPr="007A37E1">
        <w:rPr>
          <w:rFonts w:ascii="Arial" w:hAnsi="Arial" w:cs="Arial"/>
        </w:rPr>
        <w:t>ocess</w:t>
      </w:r>
      <w:r w:rsidR="00DB0525" w:rsidRPr="007A37E1">
        <w:rPr>
          <w:rFonts w:ascii="Arial" w:hAnsi="Arial" w:cs="Arial"/>
        </w:rPr>
        <w:t>,</w:t>
      </w:r>
      <w:r w:rsidR="00D15FF8" w:rsidRPr="007A37E1">
        <w:rPr>
          <w:rFonts w:ascii="Arial" w:hAnsi="Arial" w:cs="Arial"/>
        </w:rPr>
        <w:t xml:space="preserve"> declare a provincial state of disaster </w:t>
      </w:r>
      <w:r w:rsidR="000D6F77" w:rsidRPr="007A37E1">
        <w:rPr>
          <w:rFonts w:ascii="Arial" w:hAnsi="Arial" w:cs="Arial"/>
        </w:rPr>
        <w:t>and may then make regulations of the kind that the Minister may ma</w:t>
      </w:r>
      <w:r w:rsidR="003359F2" w:rsidRPr="007A37E1">
        <w:rPr>
          <w:rFonts w:ascii="Arial" w:hAnsi="Arial" w:cs="Arial"/>
        </w:rPr>
        <w:t>k</w:t>
      </w:r>
      <w:r w:rsidR="000D6F77" w:rsidRPr="007A37E1">
        <w:rPr>
          <w:rFonts w:ascii="Arial" w:hAnsi="Arial" w:cs="Arial"/>
        </w:rPr>
        <w:t>e in terms of s</w:t>
      </w:r>
      <w:r w:rsidR="00C56D7D" w:rsidRPr="007A37E1">
        <w:rPr>
          <w:rFonts w:ascii="Arial" w:hAnsi="Arial" w:cs="Arial"/>
        </w:rPr>
        <w:t xml:space="preserve"> </w:t>
      </w:r>
      <w:r w:rsidR="000D6F77" w:rsidRPr="007A37E1">
        <w:rPr>
          <w:rFonts w:ascii="Arial" w:hAnsi="Arial" w:cs="Arial"/>
        </w:rPr>
        <w:t>27</w:t>
      </w:r>
      <w:r w:rsidR="003359F2" w:rsidRPr="007A37E1">
        <w:rPr>
          <w:rFonts w:ascii="Arial" w:hAnsi="Arial" w:cs="Arial"/>
        </w:rPr>
        <w:t>.</w:t>
      </w:r>
      <w:r w:rsidR="00DB0525" w:rsidRPr="007A37E1">
        <w:rPr>
          <w:rFonts w:ascii="Arial" w:hAnsi="Arial" w:cs="Arial"/>
        </w:rPr>
        <w:t xml:space="preserve"> </w:t>
      </w:r>
    </w:p>
    <w:p w14:paraId="6A8C81A7" w14:textId="77777777" w:rsidR="00EA1CA1" w:rsidRPr="007A37E1" w:rsidRDefault="00EA1CA1" w:rsidP="00974860">
      <w:pPr>
        <w:tabs>
          <w:tab w:val="left" w:pos="284"/>
        </w:tabs>
        <w:spacing w:line="360" w:lineRule="auto"/>
        <w:jc w:val="both"/>
        <w:rPr>
          <w:rFonts w:ascii="Arial" w:hAnsi="Arial" w:cs="Arial"/>
        </w:rPr>
      </w:pPr>
    </w:p>
    <w:p w14:paraId="681B1238" w14:textId="692F3247" w:rsidR="00D67F4B" w:rsidRPr="007A37E1" w:rsidRDefault="00BD2CC6" w:rsidP="00974860">
      <w:pPr>
        <w:tabs>
          <w:tab w:val="left" w:pos="284"/>
        </w:tabs>
        <w:spacing w:line="360" w:lineRule="auto"/>
        <w:jc w:val="both"/>
        <w:rPr>
          <w:rFonts w:ascii="Arial" w:hAnsi="Arial" w:cs="Arial"/>
        </w:rPr>
      </w:pPr>
      <w:r w:rsidRPr="007A37E1">
        <w:rPr>
          <w:rFonts w:ascii="Arial" w:hAnsi="Arial" w:cs="Arial"/>
        </w:rPr>
        <w:t>[</w:t>
      </w:r>
      <w:r w:rsidR="007A549D" w:rsidRPr="007A37E1">
        <w:rPr>
          <w:rFonts w:ascii="Arial" w:hAnsi="Arial" w:cs="Arial"/>
        </w:rPr>
        <w:t>1</w:t>
      </w:r>
      <w:r w:rsidR="00904BAC" w:rsidRPr="007A37E1">
        <w:rPr>
          <w:rFonts w:ascii="Arial" w:hAnsi="Arial" w:cs="Arial"/>
        </w:rPr>
        <w:t>11</w:t>
      </w:r>
      <w:r w:rsidRPr="007A37E1">
        <w:rPr>
          <w:rFonts w:ascii="Arial" w:hAnsi="Arial" w:cs="Arial"/>
        </w:rPr>
        <w:t>]</w:t>
      </w:r>
      <w:r w:rsidRPr="007A37E1">
        <w:rPr>
          <w:rFonts w:ascii="Arial" w:hAnsi="Arial" w:cs="Arial"/>
        </w:rPr>
        <w:tab/>
      </w:r>
      <w:r w:rsidR="001560EB" w:rsidRPr="007A37E1">
        <w:rPr>
          <w:rFonts w:ascii="Arial" w:hAnsi="Arial" w:cs="Arial"/>
        </w:rPr>
        <w:t>S</w:t>
      </w:r>
      <w:r w:rsidR="005F76F9" w:rsidRPr="007A37E1">
        <w:rPr>
          <w:rFonts w:ascii="Arial" w:hAnsi="Arial" w:cs="Arial"/>
        </w:rPr>
        <w:t>ubs</w:t>
      </w:r>
      <w:r w:rsidR="001560EB" w:rsidRPr="007A37E1">
        <w:rPr>
          <w:rFonts w:ascii="Arial" w:hAnsi="Arial" w:cs="Arial"/>
        </w:rPr>
        <w:t>ection</w:t>
      </w:r>
      <w:r w:rsidR="00C56D7D" w:rsidRPr="007A37E1">
        <w:rPr>
          <w:rFonts w:ascii="Arial" w:hAnsi="Arial" w:cs="Arial"/>
        </w:rPr>
        <w:t>s</w:t>
      </w:r>
      <w:r w:rsidR="001560EB" w:rsidRPr="007A37E1">
        <w:rPr>
          <w:rFonts w:ascii="Arial" w:hAnsi="Arial" w:cs="Arial"/>
        </w:rPr>
        <w:t xml:space="preserve"> 59</w:t>
      </w:r>
      <w:r w:rsidR="00D231D6" w:rsidRPr="007A37E1">
        <w:rPr>
          <w:rFonts w:ascii="Arial" w:hAnsi="Arial" w:cs="Arial"/>
        </w:rPr>
        <w:t xml:space="preserve">(1) and </w:t>
      </w:r>
      <w:r w:rsidR="003E5A15" w:rsidRPr="007A37E1">
        <w:rPr>
          <w:rFonts w:ascii="Arial" w:hAnsi="Arial" w:cs="Arial"/>
        </w:rPr>
        <w:t>(4)</w:t>
      </w:r>
      <w:r w:rsidR="00B95A80" w:rsidRPr="007A37E1">
        <w:rPr>
          <w:rFonts w:ascii="Arial" w:hAnsi="Arial" w:cs="Arial"/>
        </w:rPr>
        <w:t>,</w:t>
      </w:r>
      <w:r w:rsidR="001560EB" w:rsidRPr="007A37E1">
        <w:rPr>
          <w:rFonts w:ascii="Arial" w:hAnsi="Arial" w:cs="Arial"/>
        </w:rPr>
        <w:t xml:space="preserve"> on the other hand</w:t>
      </w:r>
      <w:r w:rsidR="00B95A80" w:rsidRPr="007A37E1">
        <w:rPr>
          <w:rFonts w:ascii="Arial" w:hAnsi="Arial" w:cs="Arial"/>
        </w:rPr>
        <w:t>,</w:t>
      </w:r>
      <w:r w:rsidR="001560EB" w:rsidRPr="007A37E1">
        <w:rPr>
          <w:rFonts w:ascii="Arial" w:hAnsi="Arial" w:cs="Arial"/>
        </w:rPr>
        <w:t xml:space="preserve"> which the </w:t>
      </w:r>
      <w:r w:rsidR="00B95A80" w:rsidRPr="007A37E1">
        <w:rPr>
          <w:rFonts w:ascii="Arial" w:hAnsi="Arial" w:cs="Arial"/>
        </w:rPr>
        <w:t xml:space="preserve">respondents contend should be read </w:t>
      </w:r>
      <w:r w:rsidR="00C56D7D" w:rsidRPr="007A37E1">
        <w:rPr>
          <w:rFonts w:ascii="Arial" w:hAnsi="Arial" w:cs="Arial"/>
        </w:rPr>
        <w:t xml:space="preserve">with </w:t>
      </w:r>
      <w:r w:rsidR="00A27C56" w:rsidRPr="007A37E1">
        <w:rPr>
          <w:rFonts w:ascii="Arial" w:hAnsi="Arial" w:cs="Arial"/>
        </w:rPr>
        <w:t>s 146 of the Constitution</w:t>
      </w:r>
      <w:r w:rsidR="00C56D7D" w:rsidRPr="007A37E1">
        <w:rPr>
          <w:rFonts w:ascii="Arial" w:hAnsi="Arial" w:cs="Arial"/>
        </w:rPr>
        <w:t>,</w:t>
      </w:r>
      <w:r w:rsidR="00A27C56" w:rsidRPr="007A37E1">
        <w:rPr>
          <w:rFonts w:ascii="Arial" w:hAnsi="Arial" w:cs="Arial"/>
        </w:rPr>
        <w:t xml:space="preserve"> read as follows:</w:t>
      </w:r>
    </w:p>
    <w:p w14:paraId="29AD4821" w14:textId="6E86765C" w:rsidR="00766FF8" w:rsidRPr="007A37E1" w:rsidRDefault="00766FF8" w:rsidP="00114453">
      <w:pPr>
        <w:tabs>
          <w:tab w:val="left" w:pos="284"/>
        </w:tabs>
        <w:spacing w:line="360" w:lineRule="auto"/>
        <w:jc w:val="both"/>
        <w:rPr>
          <w:rFonts w:ascii="Arial" w:hAnsi="Arial" w:cs="Arial"/>
          <w:sz w:val="22"/>
          <w:szCs w:val="22"/>
        </w:rPr>
      </w:pPr>
      <w:r w:rsidRPr="007A37E1">
        <w:rPr>
          <w:rFonts w:ascii="Arial" w:hAnsi="Arial" w:cs="Arial"/>
          <w:sz w:val="22"/>
          <w:szCs w:val="22"/>
        </w:rPr>
        <w:t>‘</w:t>
      </w:r>
      <w:r w:rsidR="00114453" w:rsidRPr="007A37E1">
        <w:rPr>
          <w:rFonts w:ascii="Arial" w:hAnsi="Arial" w:cs="Arial"/>
          <w:sz w:val="22"/>
          <w:szCs w:val="22"/>
        </w:rPr>
        <w:t>59.</w:t>
      </w:r>
      <w:r w:rsidR="00DB0525" w:rsidRPr="007A37E1">
        <w:rPr>
          <w:rFonts w:ascii="Arial" w:hAnsi="Arial" w:cs="Arial"/>
          <w:sz w:val="22"/>
          <w:szCs w:val="22"/>
        </w:rPr>
        <w:t xml:space="preserve"> </w:t>
      </w:r>
      <w:r w:rsidR="00114453" w:rsidRPr="007A37E1">
        <w:rPr>
          <w:rFonts w:ascii="Arial" w:hAnsi="Arial" w:cs="Arial"/>
          <w:sz w:val="22"/>
          <w:szCs w:val="22"/>
        </w:rPr>
        <w:t>Regulations.—</w:t>
      </w:r>
    </w:p>
    <w:p w14:paraId="787657A0" w14:textId="3108623B" w:rsidR="00114453" w:rsidRPr="007A37E1" w:rsidRDefault="00114453" w:rsidP="00114453">
      <w:pPr>
        <w:tabs>
          <w:tab w:val="left" w:pos="284"/>
        </w:tabs>
        <w:spacing w:line="360" w:lineRule="auto"/>
        <w:jc w:val="both"/>
        <w:rPr>
          <w:rFonts w:ascii="Arial" w:hAnsi="Arial" w:cs="Arial"/>
          <w:sz w:val="22"/>
          <w:szCs w:val="22"/>
        </w:rPr>
      </w:pPr>
      <w:r w:rsidRPr="007A37E1">
        <w:rPr>
          <w:rFonts w:ascii="Arial" w:hAnsi="Arial" w:cs="Arial"/>
          <w:sz w:val="22"/>
          <w:szCs w:val="22"/>
        </w:rPr>
        <w:lastRenderedPageBreak/>
        <w:t>(1) The Minister may make regulations not inconsistent with this Act—</w:t>
      </w:r>
    </w:p>
    <w:p w14:paraId="76310F2D" w14:textId="54F28442" w:rsidR="00114453" w:rsidRPr="007A37E1" w:rsidRDefault="00114453" w:rsidP="00766FF8">
      <w:pPr>
        <w:tabs>
          <w:tab w:val="left" w:pos="284"/>
          <w:tab w:val="left" w:pos="567"/>
        </w:tabs>
        <w:spacing w:line="360" w:lineRule="auto"/>
        <w:jc w:val="both"/>
        <w:rPr>
          <w:rFonts w:ascii="Arial" w:hAnsi="Arial" w:cs="Arial"/>
          <w:sz w:val="22"/>
          <w:szCs w:val="22"/>
        </w:rPr>
      </w:pPr>
      <w:r w:rsidRPr="007A37E1">
        <w:rPr>
          <w:rFonts w:ascii="Arial" w:hAnsi="Arial" w:cs="Arial"/>
          <w:i/>
          <w:sz w:val="22"/>
          <w:szCs w:val="22"/>
        </w:rPr>
        <w:t>(a)</w:t>
      </w:r>
      <w:r w:rsidR="00766FF8" w:rsidRPr="007A37E1">
        <w:rPr>
          <w:rFonts w:ascii="Arial" w:hAnsi="Arial" w:cs="Arial"/>
          <w:i/>
          <w:sz w:val="22"/>
          <w:szCs w:val="22"/>
        </w:rPr>
        <w:tab/>
      </w:r>
      <w:r w:rsidR="00766FF8" w:rsidRPr="007A37E1">
        <w:rPr>
          <w:rFonts w:ascii="Arial" w:hAnsi="Arial" w:cs="Arial"/>
          <w:i/>
          <w:sz w:val="22"/>
          <w:szCs w:val="22"/>
        </w:rPr>
        <w:tab/>
      </w:r>
      <w:r w:rsidRPr="007A37E1">
        <w:rPr>
          <w:rFonts w:ascii="Arial" w:hAnsi="Arial" w:cs="Arial"/>
          <w:sz w:val="22"/>
          <w:szCs w:val="22"/>
        </w:rPr>
        <w:t>concerning any matter that—</w:t>
      </w:r>
    </w:p>
    <w:p w14:paraId="42747E36" w14:textId="0F058E1A" w:rsidR="00114453" w:rsidRPr="007A37E1" w:rsidRDefault="00766FF8" w:rsidP="00766FF8">
      <w:pPr>
        <w:tabs>
          <w:tab w:val="left" w:pos="284"/>
          <w:tab w:val="left" w:pos="851"/>
        </w:tabs>
        <w:spacing w:line="360" w:lineRule="auto"/>
        <w:jc w:val="both"/>
        <w:rPr>
          <w:rFonts w:ascii="Arial" w:hAnsi="Arial" w:cs="Arial"/>
          <w:sz w:val="22"/>
          <w:szCs w:val="22"/>
        </w:rPr>
      </w:pPr>
      <w:r w:rsidRPr="007A37E1">
        <w:rPr>
          <w:rFonts w:ascii="Arial" w:hAnsi="Arial" w:cs="Arial"/>
          <w:sz w:val="22"/>
          <w:szCs w:val="22"/>
        </w:rPr>
        <w:tab/>
      </w:r>
      <w:r w:rsidRPr="007A37E1">
        <w:rPr>
          <w:rFonts w:ascii="Arial" w:hAnsi="Arial" w:cs="Arial"/>
          <w:sz w:val="22"/>
          <w:szCs w:val="22"/>
        </w:rPr>
        <w:tab/>
      </w:r>
      <w:r w:rsidR="00114453" w:rsidRPr="007A37E1">
        <w:rPr>
          <w:rFonts w:ascii="Arial" w:hAnsi="Arial" w:cs="Arial"/>
          <w:sz w:val="22"/>
          <w:szCs w:val="22"/>
        </w:rPr>
        <w:t>(i)  may or must be prescribed in terms of a provision of this Act; or</w:t>
      </w:r>
    </w:p>
    <w:p w14:paraId="3B1092D2" w14:textId="67F45A84" w:rsidR="00114453" w:rsidRPr="007A37E1" w:rsidRDefault="00766FF8" w:rsidP="00114453">
      <w:pPr>
        <w:tabs>
          <w:tab w:val="left" w:pos="284"/>
        </w:tabs>
        <w:spacing w:line="360" w:lineRule="auto"/>
        <w:jc w:val="both"/>
        <w:rPr>
          <w:rFonts w:ascii="Arial" w:hAnsi="Arial" w:cs="Arial"/>
          <w:sz w:val="22"/>
          <w:szCs w:val="22"/>
        </w:rPr>
      </w:pPr>
      <w:r w:rsidRPr="007A37E1">
        <w:rPr>
          <w:rFonts w:ascii="Arial" w:hAnsi="Arial" w:cs="Arial"/>
          <w:sz w:val="22"/>
          <w:szCs w:val="22"/>
        </w:rPr>
        <w:tab/>
      </w:r>
      <w:r w:rsidRPr="007A37E1">
        <w:rPr>
          <w:rFonts w:ascii="Arial" w:hAnsi="Arial" w:cs="Arial"/>
          <w:sz w:val="22"/>
          <w:szCs w:val="22"/>
        </w:rPr>
        <w:tab/>
      </w:r>
      <w:r w:rsidR="00114453" w:rsidRPr="007A37E1">
        <w:rPr>
          <w:rFonts w:ascii="Arial" w:hAnsi="Arial" w:cs="Arial"/>
          <w:sz w:val="22"/>
          <w:szCs w:val="22"/>
        </w:rPr>
        <w:t>(ii)  is necessary to prescribe for the effective carrying out of the objects of this Act;</w:t>
      </w:r>
    </w:p>
    <w:p w14:paraId="423E6E3C" w14:textId="5C6D8B3B" w:rsidR="00114453" w:rsidRPr="007A37E1" w:rsidRDefault="00114453" w:rsidP="00766FF8">
      <w:pPr>
        <w:tabs>
          <w:tab w:val="left" w:pos="284"/>
          <w:tab w:val="left" w:pos="567"/>
        </w:tabs>
        <w:spacing w:line="360" w:lineRule="auto"/>
        <w:ind w:left="567" w:hanging="567"/>
        <w:jc w:val="both"/>
        <w:rPr>
          <w:rFonts w:ascii="Arial" w:hAnsi="Arial" w:cs="Arial"/>
          <w:sz w:val="22"/>
          <w:szCs w:val="22"/>
        </w:rPr>
      </w:pPr>
      <w:r w:rsidRPr="007A37E1">
        <w:rPr>
          <w:rFonts w:ascii="Arial" w:hAnsi="Arial" w:cs="Arial"/>
          <w:i/>
          <w:sz w:val="22"/>
          <w:szCs w:val="22"/>
        </w:rPr>
        <w:t>(b)</w:t>
      </w:r>
      <w:r w:rsidR="00766FF8" w:rsidRPr="007A37E1">
        <w:rPr>
          <w:rFonts w:ascii="Arial" w:hAnsi="Arial" w:cs="Arial"/>
          <w:i/>
          <w:sz w:val="22"/>
          <w:szCs w:val="22"/>
        </w:rPr>
        <w:tab/>
      </w:r>
      <w:r w:rsidR="00766FF8" w:rsidRPr="007A37E1">
        <w:rPr>
          <w:rFonts w:ascii="Arial" w:hAnsi="Arial" w:cs="Arial"/>
          <w:sz w:val="22"/>
          <w:szCs w:val="22"/>
        </w:rPr>
        <w:tab/>
      </w:r>
      <w:r w:rsidRPr="007A37E1">
        <w:rPr>
          <w:rFonts w:ascii="Arial" w:hAnsi="Arial" w:cs="Arial"/>
          <w:sz w:val="22"/>
          <w:szCs w:val="22"/>
        </w:rPr>
        <w:t>providing for the payment, out of moneys appropriated by Parliament for this purpose, of compensation to any person, or the dependants of any person, whose death, bodily injury or disablement results from any event occurring in the course of the performance of any function entrusted to such person in terms of this Act;</w:t>
      </w:r>
    </w:p>
    <w:p w14:paraId="3C8CD703" w14:textId="570FF064" w:rsidR="00114453" w:rsidRPr="007A37E1" w:rsidRDefault="00114453" w:rsidP="00766FF8">
      <w:pPr>
        <w:tabs>
          <w:tab w:val="left" w:pos="284"/>
          <w:tab w:val="left" w:pos="567"/>
        </w:tabs>
        <w:spacing w:line="360" w:lineRule="auto"/>
        <w:ind w:left="567" w:hanging="567"/>
        <w:jc w:val="both"/>
        <w:rPr>
          <w:rFonts w:ascii="Arial" w:hAnsi="Arial" w:cs="Arial"/>
          <w:sz w:val="22"/>
          <w:szCs w:val="22"/>
        </w:rPr>
      </w:pPr>
      <w:r w:rsidRPr="007A37E1">
        <w:rPr>
          <w:rFonts w:ascii="Arial" w:hAnsi="Arial" w:cs="Arial"/>
          <w:i/>
          <w:sz w:val="22"/>
          <w:szCs w:val="22"/>
        </w:rPr>
        <w:t>(c)</w:t>
      </w:r>
      <w:r w:rsidR="00766FF8" w:rsidRPr="007A37E1">
        <w:rPr>
          <w:rFonts w:ascii="Arial" w:hAnsi="Arial" w:cs="Arial"/>
          <w:i/>
          <w:sz w:val="22"/>
          <w:szCs w:val="22"/>
        </w:rPr>
        <w:tab/>
      </w:r>
      <w:r w:rsidR="00766FF8" w:rsidRPr="007A37E1">
        <w:rPr>
          <w:rFonts w:ascii="Arial" w:hAnsi="Arial" w:cs="Arial"/>
          <w:i/>
          <w:sz w:val="22"/>
          <w:szCs w:val="22"/>
        </w:rPr>
        <w:tab/>
      </w:r>
      <w:r w:rsidRPr="007A37E1">
        <w:rPr>
          <w:rFonts w:ascii="Arial" w:hAnsi="Arial" w:cs="Arial"/>
          <w:sz w:val="22"/>
          <w:szCs w:val="22"/>
        </w:rPr>
        <w:t>concerning the focus areas of the national disaster management education, training and research frameworks; and</w:t>
      </w:r>
    </w:p>
    <w:p w14:paraId="7FA9E05C" w14:textId="62ED6C5B" w:rsidR="00D67F4B" w:rsidRPr="007A37E1" w:rsidRDefault="00114453" w:rsidP="00766FF8">
      <w:pPr>
        <w:tabs>
          <w:tab w:val="left" w:pos="284"/>
          <w:tab w:val="left" w:pos="567"/>
        </w:tabs>
        <w:spacing w:line="360" w:lineRule="auto"/>
        <w:jc w:val="both"/>
        <w:rPr>
          <w:rFonts w:ascii="Arial" w:hAnsi="Arial" w:cs="Arial"/>
          <w:sz w:val="22"/>
          <w:szCs w:val="22"/>
        </w:rPr>
      </w:pPr>
      <w:r w:rsidRPr="007A37E1">
        <w:rPr>
          <w:rFonts w:ascii="Arial" w:hAnsi="Arial" w:cs="Arial"/>
          <w:i/>
          <w:sz w:val="22"/>
          <w:szCs w:val="22"/>
        </w:rPr>
        <w:t>(d)</w:t>
      </w:r>
      <w:r w:rsidR="00766FF8" w:rsidRPr="007A37E1">
        <w:rPr>
          <w:rFonts w:ascii="Arial" w:hAnsi="Arial" w:cs="Arial"/>
          <w:i/>
          <w:sz w:val="22"/>
          <w:szCs w:val="22"/>
        </w:rPr>
        <w:tab/>
      </w:r>
      <w:r w:rsidR="00766FF8" w:rsidRPr="007A37E1">
        <w:rPr>
          <w:rFonts w:ascii="Arial" w:hAnsi="Arial" w:cs="Arial"/>
          <w:i/>
          <w:sz w:val="22"/>
          <w:szCs w:val="22"/>
        </w:rPr>
        <w:tab/>
      </w:r>
      <w:r w:rsidRPr="007A37E1">
        <w:rPr>
          <w:rFonts w:ascii="Arial" w:hAnsi="Arial" w:cs="Arial"/>
          <w:sz w:val="22"/>
          <w:szCs w:val="22"/>
        </w:rPr>
        <w:t>concerning the declaration and classification of disasters.</w:t>
      </w:r>
    </w:p>
    <w:p w14:paraId="4962BB4C" w14:textId="0232CC46" w:rsidR="00766FF8" w:rsidRPr="007A37E1" w:rsidRDefault="00766FF8" w:rsidP="00766FF8">
      <w:pPr>
        <w:tabs>
          <w:tab w:val="left" w:pos="284"/>
          <w:tab w:val="left" w:pos="567"/>
        </w:tabs>
        <w:spacing w:after="120" w:line="360" w:lineRule="auto"/>
        <w:jc w:val="both"/>
        <w:rPr>
          <w:rFonts w:ascii="Arial" w:hAnsi="Arial" w:cs="Arial"/>
          <w:sz w:val="22"/>
          <w:szCs w:val="22"/>
        </w:rPr>
      </w:pPr>
      <w:r w:rsidRPr="007A37E1">
        <w:rPr>
          <w:rFonts w:ascii="Arial" w:hAnsi="Arial" w:cs="Arial"/>
          <w:sz w:val="22"/>
          <w:szCs w:val="22"/>
        </w:rPr>
        <w:t>. . .</w:t>
      </w:r>
    </w:p>
    <w:p w14:paraId="241B035D" w14:textId="37779E7C" w:rsidR="00114453" w:rsidRPr="007A37E1" w:rsidRDefault="00114453" w:rsidP="00114453">
      <w:pPr>
        <w:tabs>
          <w:tab w:val="left" w:pos="284"/>
        </w:tabs>
        <w:spacing w:line="360" w:lineRule="auto"/>
        <w:jc w:val="both"/>
        <w:rPr>
          <w:rFonts w:ascii="Arial" w:hAnsi="Arial" w:cs="Arial"/>
          <w:sz w:val="22"/>
          <w:szCs w:val="22"/>
        </w:rPr>
      </w:pPr>
      <w:r w:rsidRPr="007A37E1">
        <w:rPr>
          <w:rFonts w:ascii="Arial" w:hAnsi="Arial" w:cs="Arial"/>
          <w:sz w:val="22"/>
          <w:szCs w:val="22"/>
        </w:rPr>
        <w:t>(4)  Any regulations made by the Minister in terms of subsection (1) must be referred to the National Council of Provinces for purposes of section 146(6) of the Constitution.</w:t>
      </w:r>
      <w:r w:rsidR="00766FF8" w:rsidRPr="007A37E1">
        <w:rPr>
          <w:rFonts w:ascii="Arial" w:hAnsi="Arial" w:cs="Arial"/>
          <w:sz w:val="22"/>
          <w:szCs w:val="22"/>
        </w:rPr>
        <w:t>’</w:t>
      </w:r>
    </w:p>
    <w:p w14:paraId="4DCFCADB" w14:textId="77777777" w:rsidR="001D1D64" w:rsidRPr="007A37E1" w:rsidRDefault="001D1D64" w:rsidP="00974860">
      <w:pPr>
        <w:tabs>
          <w:tab w:val="left" w:pos="284"/>
        </w:tabs>
        <w:spacing w:line="360" w:lineRule="auto"/>
        <w:jc w:val="both"/>
        <w:rPr>
          <w:rFonts w:ascii="Arial" w:hAnsi="Arial" w:cs="Arial"/>
        </w:rPr>
      </w:pPr>
    </w:p>
    <w:p w14:paraId="200EE9A4" w14:textId="5590950D" w:rsidR="005E5151" w:rsidRPr="007A37E1" w:rsidRDefault="00C0676B" w:rsidP="00974860">
      <w:pPr>
        <w:tabs>
          <w:tab w:val="left" w:pos="284"/>
        </w:tabs>
        <w:spacing w:line="360" w:lineRule="auto"/>
        <w:jc w:val="both"/>
        <w:rPr>
          <w:rFonts w:ascii="Arial" w:hAnsi="Arial" w:cs="Arial"/>
        </w:rPr>
      </w:pPr>
      <w:r w:rsidRPr="007A37E1">
        <w:rPr>
          <w:rFonts w:ascii="Arial" w:hAnsi="Arial" w:cs="Arial"/>
        </w:rPr>
        <w:t>[</w:t>
      </w:r>
      <w:r w:rsidR="00D62D08" w:rsidRPr="007A37E1">
        <w:rPr>
          <w:rFonts w:ascii="Arial" w:hAnsi="Arial" w:cs="Arial"/>
        </w:rPr>
        <w:t>11</w:t>
      </w:r>
      <w:r w:rsidR="00904BAC" w:rsidRPr="007A37E1">
        <w:rPr>
          <w:rFonts w:ascii="Arial" w:hAnsi="Arial" w:cs="Arial"/>
        </w:rPr>
        <w:t>2</w:t>
      </w:r>
      <w:r w:rsidRPr="007A37E1">
        <w:rPr>
          <w:rFonts w:ascii="Arial" w:hAnsi="Arial" w:cs="Arial"/>
        </w:rPr>
        <w:t>]</w:t>
      </w:r>
      <w:r w:rsidRPr="007A37E1">
        <w:rPr>
          <w:rFonts w:ascii="Arial" w:hAnsi="Arial" w:cs="Arial"/>
        </w:rPr>
        <w:tab/>
      </w:r>
      <w:r w:rsidR="001875E9" w:rsidRPr="007A37E1">
        <w:rPr>
          <w:rFonts w:ascii="Arial" w:hAnsi="Arial" w:cs="Arial"/>
        </w:rPr>
        <w:t>Section</w:t>
      </w:r>
      <w:r w:rsidR="00FD212D" w:rsidRPr="007A37E1">
        <w:rPr>
          <w:rFonts w:ascii="Arial" w:hAnsi="Arial" w:cs="Arial"/>
        </w:rPr>
        <w:t xml:space="preserve"> </w:t>
      </w:r>
      <w:r w:rsidR="00092F59" w:rsidRPr="007A37E1">
        <w:rPr>
          <w:rFonts w:ascii="Arial" w:hAnsi="Arial" w:cs="Arial"/>
        </w:rPr>
        <w:t>59(1)</w:t>
      </w:r>
      <w:r w:rsidR="001875E9" w:rsidRPr="007A37E1">
        <w:rPr>
          <w:rFonts w:ascii="Arial" w:hAnsi="Arial" w:cs="Arial"/>
        </w:rPr>
        <w:t>, on the face of it,</w:t>
      </w:r>
      <w:r w:rsidR="00FD212D" w:rsidRPr="007A37E1">
        <w:rPr>
          <w:rFonts w:ascii="Arial" w:hAnsi="Arial" w:cs="Arial"/>
        </w:rPr>
        <w:t xml:space="preserve"> appears to </w:t>
      </w:r>
      <w:r w:rsidR="001875E9" w:rsidRPr="007A37E1">
        <w:rPr>
          <w:rFonts w:ascii="Arial" w:hAnsi="Arial" w:cs="Arial"/>
        </w:rPr>
        <w:t>provide for regulations by the Minister of a kind not specifi</w:t>
      </w:r>
      <w:r w:rsidR="00C56D7D" w:rsidRPr="007A37E1">
        <w:rPr>
          <w:rFonts w:ascii="Arial" w:hAnsi="Arial" w:cs="Arial"/>
        </w:rPr>
        <w:t>cally</w:t>
      </w:r>
      <w:r w:rsidR="00742024" w:rsidRPr="007A37E1">
        <w:rPr>
          <w:rFonts w:ascii="Arial" w:hAnsi="Arial" w:cs="Arial"/>
        </w:rPr>
        <w:t xml:space="preserve"> catered for elsewhere in the Act.</w:t>
      </w:r>
      <w:r w:rsidR="00DF211C" w:rsidRPr="007A37E1">
        <w:rPr>
          <w:rFonts w:ascii="Arial" w:hAnsi="Arial" w:cs="Arial"/>
        </w:rPr>
        <w:t xml:space="preserve"> It is true that the opening</w:t>
      </w:r>
      <w:r w:rsidR="006F7D06" w:rsidRPr="007A37E1">
        <w:rPr>
          <w:rFonts w:ascii="Arial" w:hAnsi="Arial" w:cs="Arial"/>
        </w:rPr>
        <w:t xml:space="preserve"> part of </w:t>
      </w:r>
      <w:r w:rsidR="005F7519" w:rsidRPr="007A37E1">
        <w:rPr>
          <w:rFonts w:ascii="Arial" w:hAnsi="Arial" w:cs="Arial"/>
        </w:rPr>
        <w:t>s</w:t>
      </w:r>
      <w:r w:rsidR="00C56D7D" w:rsidRPr="007A37E1">
        <w:rPr>
          <w:rFonts w:ascii="Arial" w:hAnsi="Arial" w:cs="Arial"/>
        </w:rPr>
        <w:t xml:space="preserve"> </w:t>
      </w:r>
      <w:r w:rsidR="006F7D06" w:rsidRPr="007A37E1">
        <w:rPr>
          <w:rFonts w:ascii="Arial" w:hAnsi="Arial" w:cs="Arial"/>
        </w:rPr>
        <w:t xml:space="preserve">59(1) </w:t>
      </w:r>
      <w:r w:rsidR="00C56D7D" w:rsidRPr="007A37E1">
        <w:rPr>
          <w:rFonts w:ascii="Arial" w:hAnsi="Arial" w:cs="Arial"/>
        </w:rPr>
        <w:t xml:space="preserve">is couched </w:t>
      </w:r>
      <w:r w:rsidR="006F7D06" w:rsidRPr="007A37E1">
        <w:rPr>
          <w:rFonts w:ascii="Arial" w:hAnsi="Arial" w:cs="Arial"/>
        </w:rPr>
        <w:t>in fairly broad terms. However</w:t>
      </w:r>
      <w:r w:rsidR="006E495A" w:rsidRPr="007A37E1">
        <w:rPr>
          <w:rFonts w:ascii="Arial" w:hAnsi="Arial" w:cs="Arial"/>
        </w:rPr>
        <w:t>,</w:t>
      </w:r>
      <w:r w:rsidR="006F7D06" w:rsidRPr="007A37E1">
        <w:rPr>
          <w:rFonts w:ascii="Arial" w:hAnsi="Arial" w:cs="Arial"/>
        </w:rPr>
        <w:t xml:space="preserve"> as one </w:t>
      </w:r>
      <w:r w:rsidR="00C56D7D" w:rsidRPr="007A37E1">
        <w:rPr>
          <w:rFonts w:ascii="Arial" w:hAnsi="Arial" w:cs="Arial"/>
        </w:rPr>
        <w:t xml:space="preserve">proceeds to </w:t>
      </w:r>
      <w:r w:rsidR="00AC2669" w:rsidRPr="007A37E1">
        <w:rPr>
          <w:rFonts w:ascii="Arial" w:hAnsi="Arial" w:cs="Arial"/>
        </w:rPr>
        <w:t>subsequent subsection</w:t>
      </w:r>
      <w:r w:rsidR="00C56D7D" w:rsidRPr="007A37E1">
        <w:rPr>
          <w:rFonts w:ascii="Arial" w:hAnsi="Arial" w:cs="Arial"/>
        </w:rPr>
        <w:t>s,</w:t>
      </w:r>
      <w:r w:rsidR="00AC2669" w:rsidRPr="007A37E1">
        <w:rPr>
          <w:rFonts w:ascii="Arial" w:hAnsi="Arial" w:cs="Arial"/>
        </w:rPr>
        <w:t xml:space="preserve"> such as </w:t>
      </w:r>
      <w:r w:rsidR="006E495A" w:rsidRPr="007A37E1">
        <w:rPr>
          <w:rFonts w:ascii="Arial" w:hAnsi="Arial" w:cs="Arial"/>
        </w:rPr>
        <w:t xml:space="preserve">subsecs </w:t>
      </w:r>
      <w:r w:rsidR="00E80EBD" w:rsidRPr="007A37E1">
        <w:rPr>
          <w:rFonts w:ascii="Arial" w:hAnsi="Arial" w:cs="Arial"/>
        </w:rPr>
        <w:t>59(1)</w:t>
      </w:r>
      <w:r w:rsidR="00E80EBD" w:rsidRPr="007A37E1">
        <w:rPr>
          <w:rFonts w:ascii="Arial" w:hAnsi="Arial" w:cs="Arial"/>
          <w:i/>
        </w:rPr>
        <w:t>(b)</w:t>
      </w:r>
      <w:r w:rsidR="005F76F9" w:rsidRPr="007A37E1">
        <w:rPr>
          <w:rFonts w:ascii="Arial" w:hAnsi="Arial" w:cs="Arial"/>
        </w:rPr>
        <w:t>,</w:t>
      </w:r>
      <w:r w:rsidR="00E80EBD" w:rsidRPr="007A37E1">
        <w:rPr>
          <w:rFonts w:ascii="Arial" w:hAnsi="Arial" w:cs="Arial"/>
        </w:rPr>
        <w:t xml:space="preserve"> </w:t>
      </w:r>
      <w:r w:rsidR="00E80EBD" w:rsidRPr="007A37E1">
        <w:rPr>
          <w:rFonts w:ascii="Arial" w:hAnsi="Arial" w:cs="Arial"/>
          <w:i/>
        </w:rPr>
        <w:t>(c)</w:t>
      </w:r>
      <w:r w:rsidR="00E80EBD" w:rsidRPr="007A37E1">
        <w:rPr>
          <w:rFonts w:ascii="Arial" w:hAnsi="Arial" w:cs="Arial"/>
        </w:rPr>
        <w:t xml:space="preserve"> and </w:t>
      </w:r>
      <w:r w:rsidR="00E80EBD" w:rsidRPr="007A37E1">
        <w:rPr>
          <w:rFonts w:ascii="Arial" w:hAnsi="Arial" w:cs="Arial"/>
          <w:i/>
        </w:rPr>
        <w:t>(d)</w:t>
      </w:r>
      <w:r w:rsidR="00C56D7D" w:rsidRPr="007A37E1">
        <w:rPr>
          <w:rFonts w:ascii="Arial" w:hAnsi="Arial" w:cs="Arial"/>
        </w:rPr>
        <w:t>,</w:t>
      </w:r>
      <w:r w:rsidR="00E80EBD" w:rsidRPr="007A37E1">
        <w:rPr>
          <w:rFonts w:ascii="Arial" w:hAnsi="Arial" w:cs="Arial"/>
        </w:rPr>
        <w:t xml:space="preserve"> it is clear that they cater for specific </w:t>
      </w:r>
      <w:r w:rsidR="005F7519" w:rsidRPr="007A37E1">
        <w:rPr>
          <w:rFonts w:ascii="Arial" w:hAnsi="Arial" w:cs="Arial"/>
        </w:rPr>
        <w:t>areas not catered for under s</w:t>
      </w:r>
      <w:r w:rsidR="00125D0D" w:rsidRPr="007A37E1">
        <w:rPr>
          <w:rFonts w:ascii="Arial" w:hAnsi="Arial" w:cs="Arial"/>
        </w:rPr>
        <w:t xml:space="preserve"> </w:t>
      </w:r>
      <w:r w:rsidR="005F7519" w:rsidRPr="007A37E1">
        <w:rPr>
          <w:rFonts w:ascii="Arial" w:hAnsi="Arial" w:cs="Arial"/>
        </w:rPr>
        <w:t>27</w:t>
      </w:r>
      <w:r w:rsidR="00800D8B" w:rsidRPr="007A37E1">
        <w:rPr>
          <w:rFonts w:ascii="Arial" w:hAnsi="Arial" w:cs="Arial"/>
        </w:rPr>
        <w:t>. So, for example, s</w:t>
      </w:r>
      <w:r w:rsidR="00125D0D" w:rsidRPr="007A37E1">
        <w:rPr>
          <w:rFonts w:ascii="Arial" w:hAnsi="Arial" w:cs="Arial"/>
        </w:rPr>
        <w:t xml:space="preserve"> </w:t>
      </w:r>
      <w:r w:rsidR="00800D8B" w:rsidRPr="007A37E1">
        <w:rPr>
          <w:rFonts w:ascii="Arial" w:hAnsi="Arial" w:cs="Arial"/>
        </w:rPr>
        <w:t>59(1)</w:t>
      </w:r>
      <w:r w:rsidR="00800D8B" w:rsidRPr="007A37E1">
        <w:rPr>
          <w:rFonts w:ascii="Arial" w:hAnsi="Arial" w:cs="Arial"/>
          <w:i/>
        </w:rPr>
        <w:t>(b)</w:t>
      </w:r>
      <w:r w:rsidR="00800D8B" w:rsidRPr="007A37E1">
        <w:rPr>
          <w:rFonts w:ascii="Arial" w:hAnsi="Arial" w:cs="Arial"/>
        </w:rPr>
        <w:t xml:space="preserve"> provid</w:t>
      </w:r>
      <w:r w:rsidR="0009762E" w:rsidRPr="007A37E1">
        <w:rPr>
          <w:rFonts w:ascii="Arial" w:hAnsi="Arial" w:cs="Arial"/>
        </w:rPr>
        <w:t>es</w:t>
      </w:r>
      <w:r w:rsidR="00800D8B" w:rsidRPr="007A37E1">
        <w:rPr>
          <w:rFonts w:ascii="Arial" w:hAnsi="Arial" w:cs="Arial"/>
        </w:rPr>
        <w:t xml:space="preserve"> for </w:t>
      </w:r>
      <w:r w:rsidR="00223761" w:rsidRPr="007A37E1">
        <w:rPr>
          <w:rFonts w:ascii="Arial" w:hAnsi="Arial" w:cs="Arial"/>
        </w:rPr>
        <w:t>compensation</w:t>
      </w:r>
      <w:r w:rsidR="001764FC" w:rsidRPr="007A37E1">
        <w:rPr>
          <w:rFonts w:ascii="Arial" w:hAnsi="Arial" w:cs="Arial"/>
        </w:rPr>
        <w:t xml:space="preserve"> for bodily injury</w:t>
      </w:r>
      <w:r w:rsidR="00125D0D" w:rsidRPr="007A37E1">
        <w:rPr>
          <w:rFonts w:ascii="Arial" w:hAnsi="Arial" w:cs="Arial"/>
        </w:rPr>
        <w:t>,</w:t>
      </w:r>
      <w:r w:rsidR="001764FC" w:rsidRPr="007A37E1">
        <w:rPr>
          <w:rFonts w:ascii="Arial" w:hAnsi="Arial" w:cs="Arial"/>
        </w:rPr>
        <w:t xml:space="preserve"> disability or death</w:t>
      </w:r>
      <w:r w:rsidR="00223761" w:rsidRPr="007A37E1">
        <w:rPr>
          <w:rFonts w:ascii="Arial" w:hAnsi="Arial" w:cs="Arial"/>
        </w:rPr>
        <w:t xml:space="preserve"> resulting from </w:t>
      </w:r>
      <w:r w:rsidR="00125D0D" w:rsidRPr="007A37E1">
        <w:rPr>
          <w:rFonts w:ascii="Arial" w:hAnsi="Arial" w:cs="Arial"/>
        </w:rPr>
        <w:t xml:space="preserve">the </w:t>
      </w:r>
      <w:r w:rsidR="001764FC" w:rsidRPr="007A37E1">
        <w:rPr>
          <w:rFonts w:ascii="Arial" w:hAnsi="Arial" w:cs="Arial"/>
        </w:rPr>
        <w:t>performance of any</w:t>
      </w:r>
      <w:r w:rsidR="0009762E" w:rsidRPr="007A37E1">
        <w:rPr>
          <w:rFonts w:ascii="Arial" w:hAnsi="Arial" w:cs="Arial"/>
        </w:rPr>
        <w:t xml:space="preserve"> function entrusted to any person in terms of the Act. </w:t>
      </w:r>
      <w:r w:rsidR="00982E6B" w:rsidRPr="007A37E1">
        <w:rPr>
          <w:rFonts w:ascii="Arial" w:hAnsi="Arial" w:cs="Arial"/>
        </w:rPr>
        <w:t>Section 59(1)</w:t>
      </w:r>
      <w:r w:rsidR="0076687A" w:rsidRPr="007A37E1">
        <w:rPr>
          <w:rFonts w:ascii="Arial" w:hAnsi="Arial" w:cs="Arial"/>
          <w:i/>
        </w:rPr>
        <w:t>(c)</w:t>
      </w:r>
      <w:r w:rsidR="0076687A" w:rsidRPr="007A37E1">
        <w:rPr>
          <w:rFonts w:ascii="Arial" w:hAnsi="Arial" w:cs="Arial"/>
        </w:rPr>
        <w:t xml:space="preserve"> concerns the focus areas of </w:t>
      </w:r>
      <w:r w:rsidR="009E092C" w:rsidRPr="007A37E1">
        <w:rPr>
          <w:rFonts w:ascii="Arial" w:hAnsi="Arial" w:cs="Arial"/>
        </w:rPr>
        <w:t>the national disaster management</w:t>
      </w:r>
      <w:r w:rsidR="0076687A" w:rsidRPr="007A37E1">
        <w:rPr>
          <w:rFonts w:ascii="Arial" w:hAnsi="Arial" w:cs="Arial"/>
        </w:rPr>
        <w:t xml:space="preserve"> </w:t>
      </w:r>
      <w:r w:rsidR="009E092C" w:rsidRPr="007A37E1">
        <w:rPr>
          <w:rFonts w:ascii="Arial" w:hAnsi="Arial" w:cs="Arial"/>
        </w:rPr>
        <w:t>education, training and rese</w:t>
      </w:r>
      <w:r w:rsidR="00620081" w:rsidRPr="007A37E1">
        <w:rPr>
          <w:rFonts w:ascii="Arial" w:hAnsi="Arial" w:cs="Arial"/>
        </w:rPr>
        <w:t>ar</w:t>
      </w:r>
      <w:r w:rsidR="009E092C" w:rsidRPr="007A37E1">
        <w:rPr>
          <w:rFonts w:ascii="Arial" w:hAnsi="Arial" w:cs="Arial"/>
        </w:rPr>
        <w:t>ch framework</w:t>
      </w:r>
      <w:r w:rsidR="00620081" w:rsidRPr="007A37E1">
        <w:rPr>
          <w:rFonts w:ascii="Arial" w:hAnsi="Arial" w:cs="Arial"/>
        </w:rPr>
        <w:t xml:space="preserve">. It is </w:t>
      </w:r>
      <w:r w:rsidR="00125D0D" w:rsidRPr="007A37E1">
        <w:rPr>
          <w:rFonts w:ascii="Arial" w:hAnsi="Arial" w:cs="Arial"/>
        </w:rPr>
        <w:t xml:space="preserve">in </w:t>
      </w:r>
      <w:r w:rsidR="00620081" w:rsidRPr="007A37E1">
        <w:rPr>
          <w:rFonts w:ascii="Arial" w:hAnsi="Arial" w:cs="Arial"/>
        </w:rPr>
        <w:t xml:space="preserve">relation to these areas that </w:t>
      </w:r>
      <w:r w:rsidR="00CE0E4E" w:rsidRPr="007A37E1">
        <w:rPr>
          <w:rFonts w:ascii="Arial" w:hAnsi="Arial" w:cs="Arial"/>
        </w:rPr>
        <w:t>regulations</w:t>
      </w:r>
      <w:r w:rsidR="00620081" w:rsidRPr="007A37E1">
        <w:rPr>
          <w:rFonts w:ascii="Arial" w:hAnsi="Arial" w:cs="Arial"/>
        </w:rPr>
        <w:t xml:space="preserve"> </w:t>
      </w:r>
      <w:r w:rsidR="00CE0E4E" w:rsidRPr="007A37E1">
        <w:rPr>
          <w:rFonts w:ascii="Arial" w:hAnsi="Arial" w:cs="Arial"/>
        </w:rPr>
        <w:t xml:space="preserve">by the </w:t>
      </w:r>
      <w:r w:rsidR="00620081" w:rsidRPr="007A37E1">
        <w:rPr>
          <w:rFonts w:ascii="Arial" w:hAnsi="Arial" w:cs="Arial"/>
        </w:rPr>
        <w:t>Minis</w:t>
      </w:r>
      <w:r w:rsidR="00E32C94" w:rsidRPr="007A37E1">
        <w:rPr>
          <w:rFonts w:ascii="Arial" w:hAnsi="Arial" w:cs="Arial"/>
        </w:rPr>
        <w:t>t</w:t>
      </w:r>
      <w:r w:rsidR="00620081" w:rsidRPr="007A37E1">
        <w:rPr>
          <w:rFonts w:ascii="Arial" w:hAnsi="Arial" w:cs="Arial"/>
        </w:rPr>
        <w:t>e</w:t>
      </w:r>
      <w:r w:rsidR="00E32C94" w:rsidRPr="007A37E1">
        <w:rPr>
          <w:rFonts w:ascii="Arial" w:hAnsi="Arial" w:cs="Arial"/>
        </w:rPr>
        <w:t>r</w:t>
      </w:r>
      <w:r w:rsidR="00CE0E4E" w:rsidRPr="007A37E1">
        <w:rPr>
          <w:rFonts w:ascii="Arial" w:hAnsi="Arial" w:cs="Arial"/>
        </w:rPr>
        <w:t>,</w:t>
      </w:r>
      <w:r w:rsidR="00620081" w:rsidRPr="007A37E1">
        <w:rPr>
          <w:rFonts w:ascii="Arial" w:hAnsi="Arial" w:cs="Arial"/>
        </w:rPr>
        <w:t xml:space="preserve"> </w:t>
      </w:r>
      <w:r w:rsidR="00E32C94" w:rsidRPr="007A37E1">
        <w:rPr>
          <w:rFonts w:ascii="Arial" w:hAnsi="Arial" w:cs="Arial"/>
        </w:rPr>
        <w:t>in terms of s</w:t>
      </w:r>
      <w:r w:rsidR="00125D0D" w:rsidRPr="007A37E1">
        <w:rPr>
          <w:rFonts w:ascii="Arial" w:hAnsi="Arial" w:cs="Arial"/>
        </w:rPr>
        <w:t xml:space="preserve"> </w:t>
      </w:r>
      <w:r w:rsidR="005F76F9" w:rsidRPr="007A37E1">
        <w:rPr>
          <w:rFonts w:ascii="Arial" w:hAnsi="Arial" w:cs="Arial"/>
        </w:rPr>
        <w:t>59</w:t>
      </w:r>
      <w:r w:rsidR="00E32C94" w:rsidRPr="007A37E1">
        <w:rPr>
          <w:rFonts w:ascii="Arial" w:hAnsi="Arial" w:cs="Arial"/>
        </w:rPr>
        <w:t xml:space="preserve">(4), </w:t>
      </w:r>
      <w:r w:rsidR="000B4400" w:rsidRPr="007A37E1">
        <w:rPr>
          <w:rFonts w:ascii="Arial" w:hAnsi="Arial" w:cs="Arial"/>
        </w:rPr>
        <w:t xml:space="preserve">must be referred to the NCOP for purposes of </w:t>
      </w:r>
      <w:r w:rsidR="00D23C23" w:rsidRPr="007A37E1">
        <w:rPr>
          <w:rFonts w:ascii="Arial" w:hAnsi="Arial" w:cs="Arial"/>
        </w:rPr>
        <w:t>s</w:t>
      </w:r>
      <w:r w:rsidR="005F76F9" w:rsidRPr="007A37E1">
        <w:rPr>
          <w:rFonts w:ascii="Arial" w:hAnsi="Arial" w:cs="Arial"/>
        </w:rPr>
        <w:t xml:space="preserve"> </w:t>
      </w:r>
      <w:r w:rsidR="00D23C23" w:rsidRPr="007A37E1">
        <w:rPr>
          <w:rFonts w:ascii="Arial" w:hAnsi="Arial" w:cs="Arial"/>
        </w:rPr>
        <w:t>146(6) of the Constitution. The regulations</w:t>
      </w:r>
      <w:r w:rsidRPr="007A37E1">
        <w:rPr>
          <w:rFonts w:ascii="Arial" w:hAnsi="Arial" w:cs="Arial"/>
        </w:rPr>
        <w:t xml:space="preserve"> </w:t>
      </w:r>
      <w:r w:rsidR="00D23C23" w:rsidRPr="007A37E1">
        <w:rPr>
          <w:rFonts w:ascii="Arial" w:hAnsi="Arial" w:cs="Arial"/>
        </w:rPr>
        <w:t>in issue do not resort under s</w:t>
      </w:r>
      <w:r w:rsidR="00125D0D" w:rsidRPr="007A37E1">
        <w:rPr>
          <w:rFonts w:ascii="Arial" w:hAnsi="Arial" w:cs="Arial"/>
        </w:rPr>
        <w:t xml:space="preserve"> </w:t>
      </w:r>
      <w:r w:rsidR="00D23C23" w:rsidRPr="007A37E1">
        <w:rPr>
          <w:rFonts w:ascii="Arial" w:hAnsi="Arial" w:cs="Arial"/>
        </w:rPr>
        <w:t>59(1)</w:t>
      </w:r>
      <w:r w:rsidR="005F76F9" w:rsidRPr="007A37E1">
        <w:rPr>
          <w:rFonts w:ascii="Arial" w:hAnsi="Arial" w:cs="Arial"/>
        </w:rPr>
        <w:t>.</w:t>
      </w:r>
    </w:p>
    <w:p w14:paraId="283CAA39" w14:textId="69A208A6" w:rsidR="00B70BB5" w:rsidRPr="007A37E1" w:rsidRDefault="00B70BB5" w:rsidP="00974860">
      <w:pPr>
        <w:tabs>
          <w:tab w:val="left" w:pos="284"/>
        </w:tabs>
        <w:spacing w:line="360" w:lineRule="auto"/>
        <w:jc w:val="both"/>
        <w:rPr>
          <w:rFonts w:ascii="Arial" w:hAnsi="Arial" w:cs="Arial"/>
        </w:rPr>
      </w:pPr>
    </w:p>
    <w:p w14:paraId="0832A632" w14:textId="26B3004C" w:rsidR="00C0676B" w:rsidRPr="007A37E1" w:rsidRDefault="004300B6" w:rsidP="005F76F9">
      <w:pPr>
        <w:tabs>
          <w:tab w:val="left" w:pos="284"/>
          <w:tab w:val="left" w:pos="851"/>
        </w:tabs>
        <w:spacing w:line="360" w:lineRule="auto"/>
        <w:jc w:val="both"/>
        <w:rPr>
          <w:rFonts w:ascii="Arial" w:hAnsi="Arial" w:cs="Arial"/>
        </w:rPr>
      </w:pPr>
      <w:r w:rsidRPr="007A37E1">
        <w:rPr>
          <w:rFonts w:ascii="Arial" w:hAnsi="Arial" w:cs="Arial"/>
        </w:rPr>
        <w:t>[</w:t>
      </w:r>
      <w:r w:rsidR="007A549D" w:rsidRPr="007A37E1">
        <w:rPr>
          <w:rFonts w:ascii="Arial" w:hAnsi="Arial" w:cs="Arial"/>
        </w:rPr>
        <w:t>1</w:t>
      </w:r>
      <w:r w:rsidR="00D62D08" w:rsidRPr="007A37E1">
        <w:rPr>
          <w:rFonts w:ascii="Arial" w:hAnsi="Arial" w:cs="Arial"/>
        </w:rPr>
        <w:t>1</w:t>
      </w:r>
      <w:r w:rsidR="00904BAC" w:rsidRPr="007A37E1">
        <w:rPr>
          <w:rFonts w:ascii="Arial" w:hAnsi="Arial" w:cs="Arial"/>
        </w:rPr>
        <w:t>3</w:t>
      </w:r>
      <w:r w:rsidRPr="007A37E1">
        <w:rPr>
          <w:rFonts w:ascii="Arial" w:hAnsi="Arial" w:cs="Arial"/>
        </w:rPr>
        <w:t>]</w:t>
      </w:r>
      <w:r w:rsidR="00287707" w:rsidRPr="007A37E1">
        <w:rPr>
          <w:rFonts w:ascii="Arial" w:hAnsi="Arial" w:cs="Arial"/>
        </w:rPr>
        <w:tab/>
      </w:r>
      <w:r w:rsidR="006C567D" w:rsidRPr="007A37E1">
        <w:rPr>
          <w:rFonts w:ascii="Arial" w:hAnsi="Arial" w:cs="Arial"/>
        </w:rPr>
        <w:t xml:space="preserve">Even if </w:t>
      </w:r>
      <w:r w:rsidR="006E4A23" w:rsidRPr="007A37E1">
        <w:rPr>
          <w:rFonts w:ascii="Arial" w:hAnsi="Arial" w:cs="Arial"/>
        </w:rPr>
        <w:t>we are wrong in that conclusion</w:t>
      </w:r>
      <w:r w:rsidR="00BE4480" w:rsidRPr="007A37E1">
        <w:rPr>
          <w:rFonts w:ascii="Arial" w:hAnsi="Arial" w:cs="Arial"/>
        </w:rPr>
        <w:t>,</w:t>
      </w:r>
      <w:r w:rsidR="006E4A23" w:rsidRPr="007A37E1">
        <w:rPr>
          <w:rFonts w:ascii="Arial" w:hAnsi="Arial" w:cs="Arial"/>
        </w:rPr>
        <w:t xml:space="preserve"> </w:t>
      </w:r>
      <w:r w:rsidR="008B21F7" w:rsidRPr="007A37E1">
        <w:rPr>
          <w:rFonts w:ascii="Arial" w:hAnsi="Arial" w:cs="Arial"/>
        </w:rPr>
        <w:t xml:space="preserve">the problem </w:t>
      </w:r>
      <w:r w:rsidR="00523494" w:rsidRPr="007A37E1">
        <w:rPr>
          <w:rFonts w:ascii="Arial" w:hAnsi="Arial" w:cs="Arial"/>
        </w:rPr>
        <w:t>for the respondents is that</w:t>
      </w:r>
      <w:r w:rsidR="00805D80" w:rsidRPr="007A37E1">
        <w:rPr>
          <w:rFonts w:ascii="Arial" w:hAnsi="Arial" w:cs="Arial"/>
        </w:rPr>
        <w:t xml:space="preserve"> </w:t>
      </w:r>
      <w:r w:rsidR="00BF5800" w:rsidRPr="007A37E1">
        <w:rPr>
          <w:rFonts w:ascii="Arial" w:hAnsi="Arial" w:cs="Arial"/>
        </w:rPr>
        <w:t>s</w:t>
      </w:r>
      <w:r w:rsidR="00125D0D" w:rsidRPr="007A37E1">
        <w:rPr>
          <w:rFonts w:ascii="Arial" w:hAnsi="Arial" w:cs="Arial"/>
        </w:rPr>
        <w:t xml:space="preserve"> </w:t>
      </w:r>
      <w:r w:rsidR="00BF5800" w:rsidRPr="007A37E1">
        <w:rPr>
          <w:rFonts w:ascii="Arial" w:hAnsi="Arial" w:cs="Arial"/>
        </w:rPr>
        <w:t>146 of the Constitution cate</w:t>
      </w:r>
      <w:r w:rsidR="00174AAB" w:rsidRPr="007A37E1">
        <w:rPr>
          <w:rFonts w:ascii="Arial" w:hAnsi="Arial" w:cs="Arial"/>
        </w:rPr>
        <w:t>r</w:t>
      </w:r>
      <w:r w:rsidR="00BF5800" w:rsidRPr="007A37E1">
        <w:rPr>
          <w:rFonts w:ascii="Arial" w:hAnsi="Arial" w:cs="Arial"/>
        </w:rPr>
        <w:t xml:space="preserve">s for conflicts between </w:t>
      </w:r>
      <w:r w:rsidR="00174AAB" w:rsidRPr="007A37E1">
        <w:rPr>
          <w:rFonts w:ascii="Arial" w:hAnsi="Arial" w:cs="Arial"/>
        </w:rPr>
        <w:t>national and provincial legislation</w:t>
      </w:r>
      <w:r w:rsidR="00805D80" w:rsidRPr="007A37E1">
        <w:rPr>
          <w:rFonts w:ascii="Arial" w:hAnsi="Arial" w:cs="Arial"/>
        </w:rPr>
        <w:t>,</w:t>
      </w:r>
      <w:r w:rsidR="00174AAB" w:rsidRPr="007A37E1">
        <w:rPr>
          <w:rFonts w:ascii="Arial" w:hAnsi="Arial" w:cs="Arial"/>
        </w:rPr>
        <w:t xml:space="preserve"> </w:t>
      </w:r>
      <w:r w:rsidR="003C149A" w:rsidRPr="007A37E1">
        <w:rPr>
          <w:rFonts w:ascii="Arial" w:hAnsi="Arial" w:cs="Arial"/>
        </w:rPr>
        <w:t>dealing with a functional area listed in Schedule 4</w:t>
      </w:r>
      <w:r w:rsidR="00125D0D" w:rsidRPr="007A37E1">
        <w:rPr>
          <w:rFonts w:ascii="Arial" w:hAnsi="Arial" w:cs="Arial"/>
        </w:rPr>
        <w:t>.</w:t>
      </w:r>
      <w:r w:rsidR="00F25810" w:rsidRPr="007A37E1">
        <w:rPr>
          <w:rStyle w:val="FootnoteReference"/>
          <w:rFonts w:ascii="Arial" w:hAnsi="Arial" w:cs="Arial"/>
        </w:rPr>
        <w:footnoteReference w:id="39"/>
      </w:r>
      <w:r w:rsidR="008910EE" w:rsidRPr="007A37E1">
        <w:rPr>
          <w:rFonts w:ascii="Arial" w:hAnsi="Arial" w:cs="Arial"/>
        </w:rPr>
        <w:t xml:space="preserve"> S</w:t>
      </w:r>
      <w:r w:rsidR="00125D0D" w:rsidRPr="007A37E1">
        <w:rPr>
          <w:rFonts w:ascii="Arial" w:hAnsi="Arial" w:cs="Arial"/>
        </w:rPr>
        <w:t>ection</w:t>
      </w:r>
      <w:r w:rsidR="00E96CB5" w:rsidRPr="007A37E1">
        <w:rPr>
          <w:rFonts w:ascii="Arial" w:hAnsi="Arial" w:cs="Arial"/>
        </w:rPr>
        <w:t xml:space="preserve"> </w:t>
      </w:r>
      <w:r w:rsidR="008910EE" w:rsidRPr="007A37E1">
        <w:rPr>
          <w:rFonts w:ascii="Arial" w:hAnsi="Arial" w:cs="Arial"/>
        </w:rPr>
        <w:t>146(6) of the Constitution reads as follows:</w:t>
      </w:r>
      <w:r w:rsidR="005F76F9" w:rsidRPr="007A37E1">
        <w:rPr>
          <w:rFonts w:ascii="Arial" w:hAnsi="Arial" w:cs="Arial"/>
        </w:rPr>
        <w:t xml:space="preserve">  </w:t>
      </w:r>
    </w:p>
    <w:p w14:paraId="51D270AD" w14:textId="0C0C1C4C" w:rsidR="00E35D58" w:rsidRPr="007A37E1" w:rsidRDefault="00623399" w:rsidP="00974860">
      <w:pPr>
        <w:tabs>
          <w:tab w:val="left" w:pos="284"/>
        </w:tabs>
        <w:spacing w:line="360" w:lineRule="auto"/>
        <w:jc w:val="both"/>
        <w:rPr>
          <w:rFonts w:ascii="Arial" w:hAnsi="Arial" w:cs="Arial"/>
          <w:sz w:val="22"/>
          <w:szCs w:val="22"/>
        </w:rPr>
      </w:pPr>
      <w:r w:rsidRPr="007A37E1">
        <w:rPr>
          <w:rFonts w:ascii="Arial" w:hAnsi="Arial" w:cs="Arial"/>
          <w:sz w:val="22"/>
          <w:szCs w:val="22"/>
        </w:rPr>
        <w:lastRenderedPageBreak/>
        <w:t xml:space="preserve">‘A law made in terms of </w:t>
      </w:r>
      <w:r w:rsidR="00F25810" w:rsidRPr="007A37E1">
        <w:rPr>
          <w:rFonts w:ascii="Arial" w:hAnsi="Arial" w:cs="Arial"/>
          <w:sz w:val="22"/>
          <w:szCs w:val="22"/>
        </w:rPr>
        <w:t xml:space="preserve">an Act of </w:t>
      </w:r>
      <w:r w:rsidR="005F76F9" w:rsidRPr="007A37E1">
        <w:rPr>
          <w:rFonts w:ascii="Arial" w:hAnsi="Arial" w:cs="Arial"/>
          <w:sz w:val="22"/>
          <w:szCs w:val="22"/>
        </w:rPr>
        <w:t>P</w:t>
      </w:r>
      <w:r w:rsidR="00F25810" w:rsidRPr="007A37E1">
        <w:rPr>
          <w:rFonts w:ascii="Arial" w:hAnsi="Arial" w:cs="Arial"/>
          <w:sz w:val="22"/>
          <w:szCs w:val="22"/>
        </w:rPr>
        <w:t>arliament</w:t>
      </w:r>
      <w:r w:rsidR="00D028AB" w:rsidRPr="007A37E1">
        <w:rPr>
          <w:rFonts w:ascii="Arial" w:hAnsi="Arial" w:cs="Arial"/>
          <w:sz w:val="22"/>
          <w:szCs w:val="22"/>
        </w:rPr>
        <w:t xml:space="preserve"> or a provincial Act can prevail</w:t>
      </w:r>
      <w:r w:rsidR="00974785" w:rsidRPr="007A37E1">
        <w:rPr>
          <w:rFonts w:ascii="Arial" w:hAnsi="Arial" w:cs="Arial"/>
          <w:sz w:val="22"/>
          <w:szCs w:val="22"/>
        </w:rPr>
        <w:t xml:space="preserve"> only if that law has been approved by the National Council of Provinces.</w:t>
      </w:r>
      <w:r w:rsidR="00E35D58" w:rsidRPr="007A37E1">
        <w:rPr>
          <w:rFonts w:ascii="Arial" w:hAnsi="Arial" w:cs="Arial"/>
          <w:sz w:val="22"/>
          <w:szCs w:val="22"/>
        </w:rPr>
        <w:t>’</w:t>
      </w:r>
    </w:p>
    <w:p w14:paraId="550EEAAD" w14:textId="5334F9ED" w:rsidR="008910EE" w:rsidRPr="007A37E1" w:rsidRDefault="004D2211" w:rsidP="00974860">
      <w:pPr>
        <w:tabs>
          <w:tab w:val="left" w:pos="284"/>
        </w:tabs>
        <w:spacing w:line="360" w:lineRule="auto"/>
        <w:jc w:val="both"/>
        <w:rPr>
          <w:rFonts w:ascii="Arial" w:hAnsi="Arial" w:cs="Arial"/>
          <w:sz w:val="22"/>
          <w:szCs w:val="22"/>
        </w:rPr>
      </w:pPr>
      <w:r w:rsidRPr="007A37E1">
        <w:rPr>
          <w:rFonts w:ascii="Arial" w:hAnsi="Arial" w:cs="Arial"/>
        </w:rPr>
        <w:t>The respondents have not shown</w:t>
      </w:r>
      <w:r w:rsidR="00E4224A" w:rsidRPr="007A37E1">
        <w:rPr>
          <w:rFonts w:ascii="Arial" w:hAnsi="Arial" w:cs="Arial"/>
        </w:rPr>
        <w:t xml:space="preserve"> that the regulations in question,</w:t>
      </w:r>
      <w:r w:rsidRPr="007A37E1">
        <w:rPr>
          <w:rFonts w:ascii="Arial" w:hAnsi="Arial" w:cs="Arial"/>
        </w:rPr>
        <w:t xml:space="preserve"> either in relation to Schedule 4 or </w:t>
      </w:r>
      <w:r w:rsidR="00A2184E" w:rsidRPr="007A37E1">
        <w:rPr>
          <w:rFonts w:ascii="Arial" w:hAnsi="Arial" w:cs="Arial"/>
        </w:rPr>
        <w:t xml:space="preserve">any other </w:t>
      </w:r>
      <w:r w:rsidR="00E4224A" w:rsidRPr="007A37E1">
        <w:rPr>
          <w:rFonts w:ascii="Arial" w:hAnsi="Arial" w:cs="Arial"/>
        </w:rPr>
        <w:t>provincial area of competence</w:t>
      </w:r>
      <w:r w:rsidR="00E96CB5" w:rsidRPr="007A37E1">
        <w:rPr>
          <w:rFonts w:ascii="Arial" w:hAnsi="Arial" w:cs="Arial"/>
        </w:rPr>
        <w:t>,</w:t>
      </w:r>
      <w:r w:rsidR="00E4224A" w:rsidRPr="007A37E1">
        <w:rPr>
          <w:rFonts w:ascii="Arial" w:hAnsi="Arial" w:cs="Arial"/>
        </w:rPr>
        <w:t xml:space="preserve"> </w:t>
      </w:r>
      <w:r w:rsidR="00E96CB5" w:rsidRPr="007A37E1">
        <w:rPr>
          <w:rFonts w:ascii="Arial" w:hAnsi="Arial" w:cs="Arial"/>
        </w:rPr>
        <w:t>are</w:t>
      </w:r>
      <w:r w:rsidR="00805D80" w:rsidRPr="007A37E1">
        <w:rPr>
          <w:rFonts w:ascii="Arial" w:hAnsi="Arial" w:cs="Arial"/>
        </w:rPr>
        <w:t xml:space="preserve"> in conflict with provincial legislation. In that regard</w:t>
      </w:r>
      <w:r w:rsidR="00E96CB5" w:rsidRPr="007A37E1">
        <w:rPr>
          <w:rFonts w:ascii="Arial" w:hAnsi="Arial" w:cs="Arial"/>
        </w:rPr>
        <w:t>,</w:t>
      </w:r>
      <w:r w:rsidR="00805D80" w:rsidRPr="007A37E1">
        <w:rPr>
          <w:rFonts w:ascii="Arial" w:hAnsi="Arial" w:cs="Arial"/>
        </w:rPr>
        <w:t xml:space="preserve"> the conclusion of the court below is correct.</w:t>
      </w:r>
    </w:p>
    <w:p w14:paraId="433E6F3A" w14:textId="4D3DCD0D" w:rsidR="00576E34" w:rsidRPr="007A37E1" w:rsidRDefault="00576E34" w:rsidP="00974860">
      <w:pPr>
        <w:tabs>
          <w:tab w:val="left" w:pos="284"/>
        </w:tabs>
        <w:spacing w:line="360" w:lineRule="auto"/>
        <w:jc w:val="both"/>
        <w:rPr>
          <w:rFonts w:ascii="Arial" w:hAnsi="Arial" w:cs="Arial"/>
          <w:sz w:val="22"/>
          <w:szCs w:val="22"/>
        </w:rPr>
      </w:pPr>
    </w:p>
    <w:p w14:paraId="56F0426A" w14:textId="55736101" w:rsidR="00576E34" w:rsidRPr="007A37E1" w:rsidRDefault="00576E34" w:rsidP="00974860">
      <w:pPr>
        <w:tabs>
          <w:tab w:val="left" w:pos="284"/>
        </w:tabs>
        <w:spacing w:line="360" w:lineRule="auto"/>
        <w:jc w:val="both"/>
        <w:rPr>
          <w:rFonts w:ascii="Arial" w:hAnsi="Arial" w:cs="Arial"/>
        </w:rPr>
      </w:pPr>
      <w:r w:rsidRPr="007A37E1">
        <w:rPr>
          <w:rFonts w:ascii="Arial" w:hAnsi="Arial" w:cs="Arial"/>
        </w:rPr>
        <w:t>[114]</w:t>
      </w:r>
      <w:r w:rsidR="00C028DD" w:rsidRPr="007A37E1">
        <w:rPr>
          <w:rFonts w:ascii="Arial" w:hAnsi="Arial" w:cs="Arial"/>
        </w:rPr>
        <w:tab/>
      </w:r>
      <w:r w:rsidRPr="007A37E1">
        <w:rPr>
          <w:rFonts w:ascii="Arial" w:hAnsi="Arial" w:cs="Arial"/>
        </w:rPr>
        <w:t>The respondents made two further submission</w:t>
      </w:r>
      <w:r w:rsidR="00C028DD" w:rsidRPr="007A37E1">
        <w:rPr>
          <w:rFonts w:ascii="Arial" w:hAnsi="Arial" w:cs="Arial"/>
        </w:rPr>
        <w:t>s</w:t>
      </w:r>
      <w:r w:rsidRPr="007A37E1">
        <w:rPr>
          <w:rFonts w:ascii="Arial" w:hAnsi="Arial" w:cs="Arial"/>
        </w:rPr>
        <w:t xml:space="preserve"> in their heads of argument before this </w:t>
      </w:r>
      <w:r w:rsidR="00C028DD" w:rsidRPr="007A37E1">
        <w:rPr>
          <w:rFonts w:ascii="Arial" w:hAnsi="Arial" w:cs="Arial"/>
        </w:rPr>
        <w:t>C</w:t>
      </w:r>
      <w:r w:rsidRPr="007A37E1">
        <w:rPr>
          <w:rFonts w:ascii="Arial" w:hAnsi="Arial" w:cs="Arial"/>
        </w:rPr>
        <w:t>ourt that had failed to find favour in the high court. First, it was contended that the prohibition upon gatherings in the regulations is in violation of s 14(1) of the Gatherings Act. Section 14(1)</w:t>
      </w:r>
      <w:r w:rsidR="005A0141" w:rsidRPr="007A37E1">
        <w:rPr>
          <w:rFonts w:ascii="Arial" w:hAnsi="Arial" w:cs="Arial"/>
        </w:rPr>
        <w:t xml:space="preserve"> provides that ‘</w:t>
      </w:r>
      <w:r w:rsidR="001734E3" w:rsidRPr="007A37E1">
        <w:rPr>
          <w:rFonts w:ascii="Arial" w:hAnsi="Arial" w:cs="Arial"/>
        </w:rPr>
        <w:t>[</w:t>
      </w:r>
      <w:r w:rsidR="005A0141" w:rsidRPr="007A37E1">
        <w:rPr>
          <w:rFonts w:ascii="Arial" w:hAnsi="Arial" w:cs="Arial"/>
        </w:rPr>
        <w:t>i</w:t>
      </w:r>
      <w:r w:rsidR="001734E3" w:rsidRPr="007A37E1">
        <w:rPr>
          <w:rFonts w:ascii="Arial" w:hAnsi="Arial" w:cs="Arial"/>
        </w:rPr>
        <w:t>]</w:t>
      </w:r>
      <w:r w:rsidR="006B68FE" w:rsidRPr="007A37E1">
        <w:rPr>
          <w:rFonts w:ascii="Arial" w:hAnsi="Arial" w:cs="Arial"/>
        </w:rPr>
        <w:t xml:space="preserve">n </w:t>
      </w:r>
      <w:r w:rsidR="001734E3" w:rsidRPr="007A37E1">
        <w:rPr>
          <w:rFonts w:ascii="Arial" w:hAnsi="Arial" w:cs="Arial"/>
        </w:rPr>
        <w:t xml:space="preserve">the </w:t>
      </w:r>
      <w:r w:rsidR="006B68FE" w:rsidRPr="007A37E1">
        <w:rPr>
          <w:rFonts w:ascii="Arial" w:hAnsi="Arial" w:cs="Arial"/>
        </w:rPr>
        <w:t>case of a conflict between the provisions of this Act and any other law applicable in the area of jurisdiction of any local authority the provisions of this Act shall prevail</w:t>
      </w:r>
      <w:r w:rsidR="005A0141" w:rsidRPr="007A37E1">
        <w:rPr>
          <w:rFonts w:ascii="Arial" w:hAnsi="Arial" w:cs="Arial"/>
        </w:rPr>
        <w:t>’.</w:t>
      </w:r>
      <w:r w:rsidR="006B68FE" w:rsidRPr="007A37E1">
        <w:rPr>
          <w:rFonts w:ascii="Arial" w:hAnsi="Arial" w:cs="Arial"/>
        </w:rPr>
        <w:t xml:space="preserve"> </w:t>
      </w:r>
      <w:r w:rsidR="005A0141" w:rsidRPr="007A37E1">
        <w:rPr>
          <w:rFonts w:ascii="Arial" w:hAnsi="Arial" w:cs="Arial"/>
        </w:rPr>
        <w:t>Section</w:t>
      </w:r>
      <w:r w:rsidR="006B68FE" w:rsidRPr="007A37E1">
        <w:rPr>
          <w:rFonts w:ascii="Arial" w:hAnsi="Arial" w:cs="Arial"/>
        </w:rPr>
        <w:t xml:space="preserve"> 14(1) is not a derogation from the power of the Minister to make regulations under</w:t>
      </w:r>
      <w:r w:rsidR="005A0141" w:rsidRPr="007A37E1">
        <w:rPr>
          <w:rFonts w:ascii="Arial" w:hAnsi="Arial" w:cs="Arial"/>
        </w:rPr>
        <w:t xml:space="preserve"> s 27(2) of the </w:t>
      </w:r>
      <w:r w:rsidR="007B5D05" w:rsidRPr="007A37E1">
        <w:rPr>
          <w:rFonts w:ascii="Arial" w:hAnsi="Arial" w:cs="Arial"/>
        </w:rPr>
        <w:t>Act</w:t>
      </w:r>
      <w:r w:rsidR="005A0141" w:rsidRPr="007A37E1">
        <w:rPr>
          <w:rFonts w:ascii="Arial" w:hAnsi="Arial" w:cs="Arial"/>
        </w:rPr>
        <w:t xml:space="preserve">. </w:t>
      </w:r>
      <w:r w:rsidR="006B68FE" w:rsidRPr="007A37E1">
        <w:rPr>
          <w:rFonts w:ascii="Arial" w:hAnsi="Arial" w:cs="Arial"/>
        </w:rPr>
        <w:t>The Gatherings Act regulates how and whether gathering</w:t>
      </w:r>
      <w:r w:rsidR="00215CED" w:rsidRPr="007A37E1">
        <w:rPr>
          <w:rFonts w:ascii="Arial" w:hAnsi="Arial" w:cs="Arial"/>
        </w:rPr>
        <w:t>s</w:t>
      </w:r>
      <w:r w:rsidR="006B68FE" w:rsidRPr="007A37E1">
        <w:rPr>
          <w:rFonts w:ascii="Arial" w:hAnsi="Arial" w:cs="Arial"/>
        </w:rPr>
        <w:t xml:space="preserve"> may take place in consideration of discrete issues, such as traffic disruption, and the risk of </w:t>
      </w:r>
      <w:r w:rsidR="009622B1" w:rsidRPr="007A37E1">
        <w:rPr>
          <w:rFonts w:ascii="Arial" w:hAnsi="Arial" w:cs="Arial"/>
        </w:rPr>
        <w:t>damage to property and injury to persons. Its sphere of regulation is entirely distinct from the regulatory scope of s</w:t>
      </w:r>
      <w:r w:rsidR="00215CED" w:rsidRPr="007A37E1">
        <w:rPr>
          <w:rFonts w:ascii="Arial" w:hAnsi="Arial" w:cs="Arial"/>
        </w:rPr>
        <w:t xml:space="preserve"> </w:t>
      </w:r>
      <w:r w:rsidR="009622B1" w:rsidRPr="007A37E1">
        <w:rPr>
          <w:rFonts w:ascii="Arial" w:hAnsi="Arial" w:cs="Arial"/>
        </w:rPr>
        <w:t xml:space="preserve">27(2) of the </w:t>
      </w:r>
      <w:r w:rsidR="007B5D05" w:rsidRPr="007A37E1">
        <w:rPr>
          <w:rFonts w:ascii="Arial" w:hAnsi="Arial" w:cs="Arial"/>
        </w:rPr>
        <w:t>Act</w:t>
      </w:r>
      <w:r w:rsidR="009622B1" w:rsidRPr="007A37E1">
        <w:rPr>
          <w:rFonts w:ascii="Arial" w:hAnsi="Arial" w:cs="Arial"/>
        </w:rPr>
        <w:t>, upon the declaration of a national state of disaster. The primacy accorded to the Gatherings Act by s</w:t>
      </w:r>
      <w:r w:rsidR="00215CED" w:rsidRPr="007A37E1">
        <w:rPr>
          <w:rFonts w:ascii="Arial" w:hAnsi="Arial" w:cs="Arial"/>
        </w:rPr>
        <w:t xml:space="preserve"> </w:t>
      </w:r>
      <w:r w:rsidR="009622B1" w:rsidRPr="007A37E1">
        <w:rPr>
          <w:rFonts w:ascii="Arial" w:hAnsi="Arial" w:cs="Arial"/>
        </w:rPr>
        <w:t xml:space="preserve">14(1) simply has no application to the regulatory competence of the Minister under </w:t>
      </w:r>
      <w:r w:rsidR="0056447C">
        <w:rPr>
          <w:rFonts w:ascii="Arial" w:hAnsi="Arial" w:cs="Arial"/>
        </w:rPr>
        <w:t xml:space="preserve">          </w:t>
      </w:r>
      <w:r w:rsidR="009622B1" w:rsidRPr="007A37E1">
        <w:rPr>
          <w:rFonts w:ascii="Arial" w:hAnsi="Arial" w:cs="Arial"/>
        </w:rPr>
        <w:t>s 27(2)</w:t>
      </w:r>
      <w:r w:rsidR="005A0141" w:rsidRPr="007A37E1">
        <w:rPr>
          <w:rFonts w:ascii="Arial" w:hAnsi="Arial" w:cs="Arial"/>
        </w:rPr>
        <w:t xml:space="preserve"> of the</w:t>
      </w:r>
      <w:r w:rsidR="00EE5F67" w:rsidRPr="007A37E1">
        <w:rPr>
          <w:rFonts w:ascii="Arial" w:hAnsi="Arial" w:cs="Arial"/>
        </w:rPr>
        <w:t xml:space="preserve"> </w:t>
      </w:r>
      <w:r w:rsidR="007B5D05" w:rsidRPr="007A37E1">
        <w:rPr>
          <w:rFonts w:ascii="Arial" w:hAnsi="Arial" w:cs="Arial"/>
        </w:rPr>
        <w:t>Act</w:t>
      </w:r>
      <w:r w:rsidR="009622B1" w:rsidRPr="007A37E1">
        <w:rPr>
          <w:rFonts w:ascii="Arial" w:hAnsi="Arial" w:cs="Arial"/>
        </w:rPr>
        <w:t xml:space="preserve">. The high court </w:t>
      </w:r>
      <w:r w:rsidR="00B61981" w:rsidRPr="007A37E1">
        <w:rPr>
          <w:rFonts w:ascii="Arial" w:hAnsi="Arial" w:cs="Arial"/>
        </w:rPr>
        <w:t xml:space="preserve">thus </w:t>
      </w:r>
      <w:r w:rsidR="009622B1" w:rsidRPr="007A37E1">
        <w:rPr>
          <w:rFonts w:ascii="Arial" w:hAnsi="Arial" w:cs="Arial"/>
        </w:rPr>
        <w:t>correctly dismissed this challenge.</w:t>
      </w:r>
    </w:p>
    <w:p w14:paraId="46DE78C5" w14:textId="5FCC06B0" w:rsidR="009622B1" w:rsidRPr="007A37E1" w:rsidRDefault="009622B1" w:rsidP="00974860">
      <w:pPr>
        <w:tabs>
          <w:tab w:val="left" w:pos="284"/>
        </w:tabs>
        <w:spacing w:line="360" w:lineRule="auto"/>
        <w:jc w:val="both"/>
        <w:rPr>
          <w:rFonts w:ascii="Arial" w:hAnsi="Arial" w:cs="Arial"/>
          <w:sz w:val="22"/>
          <w:szCs w:val="22"/>
        </w:rPr>
      </w:pPr>
    </w:p>
    <w:p w14:paraId="31298812" w14:textId="01F4C094" w:rsidR="009622B1" w:rsidRPr="007A37E1" w:rsidRDefault="005A0141" w:rsidP="005A0141">
      <w:pPr>
        <w:tabs>
          <w:tab w:val="left" w:pos="284"/>
          <w:tab w:val="left" w:pos="851"/>
        </w:tabs>
        <w:spacing w:line="360" w:lineRule="auto"/>
        <w:jc w:val="both"/>
        <w:rPr>
          <w:rFonts w:ascii="Arial" w:hAnsi="Arial" w:cs="Arial"/>
        </w:rPr>
      </w:pPr>
      <w:r w:rsidRPr="007A37E1">
        <w:rPr>
          <w:rFonts w:ascii="Arial" w:hAnsi="Arial" w:cs="Arial"/>
        </w:rPr>
        <w:t>[115]</w:t>
      </w:r>
      <w:r w:rsidRPr="007A37E1">
        <w:rPr>
          <w:rFonts w:ascii="Arial" w:hAnsi="Arial" w:cs="Arial"/>
        </w:rPr>
        <w:tab/>
      </w:r>
      <w:r w:rsidR="009622B1" w:rsidRPr="007A37E1">
        <w:rPr>
          <w:rFonts w:ascii="Arial" w:hAnsi="Arial" w:cs="Arial"/>
        </w:rPr>
        <w:t>The second submission of the respondents was this. The regulations</w:t>
      </w:r>
      <w:r w:rsidR="001F5070" w:rsidRPr="007A37E1">
        <w:rPr>
          <w:rFonts w:ascii="Arial" w:hAnsi="Arial" w:cs="Arial"/>
        </w:rPr>
        <w:t xml:space="preserve"> made declarations of additional essential services. The declaration of essential services, so it was contended, is the exclusive responsibility of the Essential Services Committee (ESC) in terms of s</w:t>
      </w:r>
      <w:r w:rsidR="00215CED" w:rsidRPr="007A37E1">
        <w:rPr>
          <w:rFonts w:ascii="Arial" w:hAnsi="Arial" w:cs="Arial"/>
        </w:rPr>
        <w:t xml:space="preserve"> </w:t>
      </w:r>
      <w:r w:rsidR="001F5070" w:rsidRPr="007A37E1">
        <w:rPr>
          <w:rFonts w:ascii="Arial" w:hAnsi="Arial" w:cs="Arial"/>
        </w:rPr>
        <w:t>70 of the LRA. Section 210 of the LRA limits the processes by recourse to which essential services may be identified. The regulations</w:t>
      </w:r>
      <w:r w:rsidR="00EE5F67" w:rsidRPr="007A37E1">
        <w:rPr>
          <w:rFonts w:ascii="Arial" w:hAnsi="Arial" w:cs="Arial"/>
        </w:rPr>
        <w:t>, in consequence,</w:t>
      </w:r>
      <w:r w:rsidR="001F5070" w:rsidRPr="007A37E1">
        <w:rPr>
          <w:rFonts w:ascii="Arial" w:hAnsi="Arial" w:cs="Arial"/>
        </w:rPr>
        <w:t xml:space="preserve"> are invalid in so far as they make declarations of essential services. This can only be done in conformity with the requirements of the LRA. This submission cannot prevail.</w:t>
      </w:r>
      <w:r w:rsidR="00502871" w:rsidRPr="007A37E1">
        <w:rPr>
          <w:rFonts w:ascii="Arial" w:hAnsi="Arial" w:cs="Arial"/>
        </w:rPr>
        <w:t xml:space="preserve"> The ESC is given powers and function</w:t>
      </w:r>
      <w:r w:rsidR="00EE5F67" w:rsidRPr="007A37E1">
        <w:rPr>
          <w:rFonts w:ascii="Arial" w:hAnsi="Arial" w:cs="Arial"/>
        </w:rPr>
        <w:t xml:space="preserve">s </w:t>
      </w:r>
      <w:r w:rsidR="00502871" w:rsidRPr="007A37E1">
        <w:rPr>
          <w:rFonts w:ascii="Arial" w:hAnsi="Arial" w:cs="Arial"/>
        </w:rPr>
        <w:t xml:space="preserve">in </w:t>
      </w:r>
      <w:r w:rsidR="00EE5F67" w:rsidRPr="007A37E1">
        <w:rPr>
          <w:rFonts w:ascii="Arial" w:hAnsi="Arial" w:cs="Arial"/>
        </w:rPr>
        <w:t xml:space="preserve">terms of </w:t>
      </w:r>
      <w:r w:rsidR="00502871" w:rsidRPr="007A37E1">
        <w:rPr>
          <w:rFonts w:ascii="Arial" w:hAnsi="Arial" w:cs="Arial"/>
        </w:rPr>
        <w:t>s</w:t>
      </w:r>
      <w:r w:rsidRPr="007A37E1">
        <w:rPr>
          <w:rFonts w:ascii="Arial" w:hAnsi="Arial" w:cs="Arial"/>
        </w:rPr>
        <w:t xml:space="preserve"> </w:t>
      </w:r>
      <w:r w:rsidR="00502871" w:rsidRPr="007A37E1">
        <w:rPr>
          <w:rFonts w:ascii="Arial" w:hAnsi="Arial" w:cs="Arial"/>
        </w:rPr>
        <w:t xml:space="preserve">70B </w:t>
      </w:r>
      <w:r w:rsidR="00EE5F67" w:rsidRPr="007A37E1">
        <w:rPr>
          <w:rFonts w:ascii="Arial" w:hAnsi="Arial" w:cs="Arial"/>
        </w:rPr>
        <w:t>of the LRA</w:t>
      </w:r>
      <w:r w:rsidR="00B61981" w:rsidRPr="007A37E1">
        <w:rPr>
          <w:rFonts w:ascii="Arial" w:hAnsi="Arial" w:cs="Arial"/>
        </w:rPr>
        <w:t>,</w:t>
      </w:r>
      <w:r w:rsidR="00EE5F67" w:rsidRPr="007A37E1">
        <w:rPr>
          <w:rFonts w:ascii="Arial" w:hAnsi="Arial" w:cs="Arial"/>
        </w:rPr>
        <w:t xml:space="preserve"> </w:t>
      </w:r>
      <w:r w:rsidR="00502871" w:rsidRPr="007A37E1">
        <w:rPr>
          <w:rFonts w:ascii="Arial" w:hAnsi="Arial" w:cs="Arial"/>
        </w:rPr>
        <w:t xml:space="preserve">because of the distinctive treatment given to essential services under the LRA. For example, no person may take part in a strike or lock-out if that person is engaged in an essential service. Section 210 of the LRA is a supremacy clause that gives primacy to the LRA, in the event of a conflict of laws, in the regulatory sphere to which the LRA has application. That sphere does not </w:t>
      </w:r>
      <w:r w:rsidR="00502871" w:rsidRPr="007A37E1">
        <w:rPr>
          <w:rFonts w:ascii="Arial" w:hAnsi="Arial" w:cs="Arial"/>
        </w:rPr>
        <w:lastRenderedPageBreak/>
        <w:t xml:space="preserve">extend to </w:t>
      </w:r>
      <w:r w:rsidR="00EE5F67" w:rsidRPr="007A37E1">
        <w:rPr>
          <w:rFonts w:ascii="Arial" w:hAnsi="Arial" w:cs="Arial"/>
        </w:rPr>
        <w:t>the regulatory competence of the Minister under s</w:t>
      </w:r>
      <w:r w:rsidRPr="007A37E1">
        <w:rPr>
          <w:rFonts w:ascii="Arial" w:hAnsi="Arial" w:cs="Arial"/>
        </w:rPr>
        <w:t xml:space="preserve"> </w:t>
      </w:r>
      <w:r w:rsidR="00EE5F67" w:rsidRPr="007A37E1">
        <w:rPr>
          <w:rFonts w:ascii="Arial" w:hAnsi="Arial" w:cs="Arial"/>
        </w:rPr>
        <w:t xml:space="preserve">27(2) of the </w:t>
      </w:r>
      <w:r w:rsidR="007B5D05" w:rsidRPr="007A37E1">
        <w:rPr>
          <w:rFonts w:ascii="Arial" w:hAnsi="Arial" w:cs="Arial"/>
        </w:rPr>
        <w:t>Act</w:t>
      </w:r>
      <w:r w:rsidR="00EE5F67" w:rsidRPr="007A37E1">
        <w:rPr>
          <w:rFonts w:ascii="Arial" w:hAnsi="Arial" w:cs="Arial"/>
        </w:rPr>
        <w:t xml:space="preserve">. As a result, this submission </w:t>
      </w:r>
      <w:r w:rsidRPr="007A37E1">
        <w:rPr>
          <w:rFonts w:ascii="Arial" w:hAnsi="Arial" w:cs="Arial"/>
        </w:rPr>
        <w:t>cannot prevail.</w:t>
      </w:r>
    </w:p>
    <w:p w14:paraId="29789CA7" w14:textId="131E70DD" w:rsidR="00B62428" w:rsidRPr="007A37E1" w:rsidRDefault="00B62428" w:rsidP="00974860">
      <w:pPr>
        <w:tabs>
          <w:tab w:val="left" w:pos="284"/>
        </w:tabs>
        <w:spacing w:line="360" w:lineRule="auto"/>
        <w:jc w:val="both"/>
        <w:rPr>
          <w:rFonts w:ascii="Arial" w:hAnsi="Arial" w:cs="Arial"/>
          <w:sz w:val="22"/>
          <w:szCs w:val="22"/>
        </w:rPr>
      </w:pPr>
    </w:p>
    <w:p w14:paraId="11DC789F" w14:textId="344BB312" w:rsidR="00B62428" w:rsidRPr="007A37E1" w:rsidRDefault="00B62428" w:rsidP="00974860">
      <w:pPr>
        <w:tabs>
          <w:tab w:val="left" w:pos="284"/>
        </w:tabs>
        <w:spacing w:line="360" w:lineRule="auto"/>
        <w:jc w:val="both"/>
        <w:rPr>
          <w:rFonts w:ascii="Arial" w:hAnsi="Arial" w:cs="Arial"/>
          <w:b/>
          <w:bCs/>
        </w:rPr>
      </w:pPr>
      <w:r w:rsidRPr="007A37E1">
        <w:rPr>
          <w:rFonts w:ascii="Arial" w:hAnsi="Arial" w:cs="Arial"/>
          <w:b/>
          <w:bCs/>
        </w:rPr>
        <w:t>Conclusion</w:t>
      </w:r>
    </w:p>
    <w:p w14:paraId="57217B06" w14:textId="3193F101" w:rsidR="00B62428" w:rsidRPr="007A37E1" w:rsidRDefault="004A06BE" w:rsidP="00974860">
      <w:pPr>
        <w:tabs>
          <w:tab w:val="left" w:pos="284"/>
        </w:tabs>
        <w:spacing w:line="360" w:lineRule="auto"/>
        <w:jc w:val="both"/>
        <w:rPr>
          <w:rFonts w:ascii="Arial" w:hAnsi="Arial" w:cs="Arial"/>
        </w:rPr>
      </w:pPr>
      <w:r w:rsidRPr="007A37E1">
        <w:rPr>
          <w:rFonts w:ascii="Arial" w:hAnsi="Arial" w:cs="Arial"/>
        </w:rPr>
        <w:t>[1</w:t>
      </w:r>
      <w:r w:rsidR="00D62D08" w:rsidRPr="007A37E1">
        <w:rPr>
          <w:rFonts w:ascii="Arial" w:hAnsi="Arial" w:cs="Arial"/>
        </w:rPr>
        <w:t>1</w:t>
      </w:r>
      <w:r w:rsidR="00C86937" w:rsidRPr="007A37E1">
        <w:rPr>
          <w:rFonts w:ascii="Arial" w:hAnsi="Arial" w:cs="Arial"/>
        </w:rPr>
        <w:t>6</w:t>
      </w:r>
      <w:r w:rsidRPr="007A37E1">
        <w:rPr>
          <w:rFonts w:ascii="Arial" w:hAnsi="Arial" w:cs="Arial"/>
        </w:rPr>
        <w:t xml:space="preserve">] </w:t>
      </w:r>
      <w:r w:rsidR="00D62D08" w:rsidRPr="007A37E1">
        <w:rPr>
          <w:rFonts w:ascii="Arial" w:hAnsi="Arial" w:cs="Arial"/>
        </w:rPr>
        <w:tab/>
      </w:r>
      <w:r w:rsidRPr="007A37E1">
        <w:rPr>
          <w:rFonts w:ascii="Arial" w:hAnsi="Arial" w:cs="Arial"/>
        </w:rPr>
        <w:t xml:space="preserve">For these reasons the appeal must succeed. The constitutional challenge made to the regulations was too diffuse and inadequately specified to make out a case for an infringement of the </w:t>
      </w:r>
      <w:r w:rsidR="001734E3" w:rsidRPr="007A37E1">
        <w:rPr>
          <w:rFonts w:ascii="Arial" w:hAnsi="Arial" w:cs="Arial"/>
        </w:rPr>
        <w:t>B</w:t>
      </w:r>
      <w:r w:rsidRPr="007A37E1">
        <w:rPr>
          <w:rFonts w:ascii="Arial" w:hAnsi="Arial" w:cs="Arial"/>
        </w:rPr>
        <w:t xml:space="preserve">ill of </w:t>
      </w:r>
      <w:r w:rsidR="001734E3" w:rsidRPr="007A37E1">
        <w:rPr>
          <w:rFonts w:ascii="Arial" w:hAnsi="Arial" w:cs="Arial"/>
        </w:rPr>
        <w:t>R</w:t>
      </w:r>
      <w:r w:rsidRPr="007A37E1">
        <w:rPr>
          <w:rFonts w:ascii="Arial" w:hAnsi="Arial" w:cs="Arial"/>
        </w:rPr>
        <w:t>ights. The rationality challenge</w:t>
      </w:r>
      <w:r w:rsidR="00113810" w:rsidRPr="007A37E1">
        <w:rPr>
          <w:rFonts w:ascii="Arial" w:hAnsi="Arial" w:cs="Arial"/>
        </w:rPr>
        <w:t>, which was likewise not properly pleaded,</w:t>
      </w:r>
      <w:r w:rsidRPr="007A37E1">
        <w:rPr>
          <w:rFonts w:ascii="Arial" w:hAnsi="Arial" w:cs="Arial"/>
        </w:rPr>
        <w:t xml:space="preserve"> failed to observe the tight strictures of means and ends that founds such a challenge. </w:t>
      </w:r>
      <w:r w:rsidR="00C6786A" w:rsidRPr="007A37E1">
        <w:rPr>
          <w:rFonts w:ascii="Arial" w:hAnsi="Arial" w:cs="Arial"/>
        </w:rPr>
        <w:t>A g</w:t>
      </w:r>
      <w:r w:rsidRPr="007A37E1">
        <w:rPr>
          <w:rFonts w:ascii="Arial" w:hAnsi="Arial" w:cs="Arial"/>
        </w:rPr>
        <w:t xml:space="preserve">eneralised disquiet </w:t>
      </w:r>
      <w:r w:rsidR="00C6786A" w:rsidRPr="007A37E1">
        <w:rPr>
          <w:rFonts w:ascii="Arial" w:hAnsi="Arial" w:cs="Arial"/>
        </w:rPr>
        <w:t>that the regulations constrain liberty, lack coherence or may have been less restrictively formulated does not suffice to secure a declaration of invalidity. The high court struck down regulations that had not been challenged, on a case not properly pleaded, and on the basis of reasoning that the invalidity of certain regulations must contaminate all the regulations. In sum, neither the challenge brought, nor the high court’s reasons for sustaining that challenge can</w:t>
      </w:r>
      <w:r w:rsidR="00F943FB" w:rsidRPr="007A37E1">
        <w:rPr>
          <w:rFonts w:ascii="Arial" w:hAnsi="Arial" w:cs="Arial"/>
        </w:rPr>
        <w:t xml:space="preserve"> be allowed to stand.</w:t>
      </w:r>
    </w:p>
    <w:p w14:paraId="327F87A2" w14:textId="61832745" w:rsidR="00F943FB" w:rsidRPr="007A37E1" w:rsidRDefault="00F943FB" w:rsidP="00974860">
      <w:pPr>
        <w:tabs>
          <w:tab w:val="left" w:pos="284"/>
        </w:tabs>
        <w:spacing w:line="360" w:lineRule="auto"/>
        <w:jc w:val="both"/>
        <w:rPr>
          <w:rFonts w:ascii="Arial" w:hAnsi="Arial" w:cs="Arial"/>
          <w:sz w:val="22"/>
          <w:szCs w:val="22"/>
        </w:rPr>
      </w:pPr>
    </w:p>
    <w:p w14:paraId="781AAE84" w14:textId="683D79FB" w:rsidR="00070A5D" w:rsidRPr="007A37E1" w:rsidRDefault="00070A5D" w:rsidP="00070A5D">
      <w:pPr>
        <w:tabs>
          <w:tab w:val="left" w:pos="284"/>
        </w:tabs>
        <w:spacing w:line="360" w:lineRule="auto"/>
        <w:jc w:val="both"/>
        <w:rPr>
          <w:rFonts w:ascii="Arial" w:hAnsi="Arial" w:cs="Arial"/>
        </w:rPr>
      </w:pPr>
      <w:r w:rsidRPr="007A37E1">
        <w:rPr>
          <w:rFonts w:ascii="Arial" w:hAnsi="Arial" w:cs="Arial"/>
        </w:rPr>
        <w:t>[11</w:t>
      </w:r>
      <w:r w:rsidR="00C86937" w:rsidRPr="007A37E1">
        <w:rPr>
          <w:rFonts w:ascii="Arial" w:hAnsi="Arial" w:cs="Arial"/>
        </w:rPr>
        <w:t>7</w:t>
      </w:r>
      <w:r w:rsidRPr="007A37E1">
        <w:rPr>
          <w:rFonts w:ascii="Arial" w:hAnsi="Arial" w:cs="Arial"/>
        </w:rPr>
        <w:t>]</w:t>
      </w:r>
      <w:r w:rsidRPr="007A37E1">
        <w:rPr>
          <w:rFonts w:ascii="Arial" w:hAnsi="Arial" w:cs="Arial"/>
        </w:rPr>
        <w:tab/>
        <w:t>As indicated earlier, it is now necessary to deal with the response by Mr de Beer and the LF</w:t>
      </w:r>
      <w:r w:rsidR="006F7041" w:rsidRPr="007A37E1">
        <w:rPr>
          <w:rFonts w:ascii="Arial" w:hAnsi="Arial" w:cs="Arial"/>
        </w:rPr>
        <w:t>N</w:t>
      </w:r>
      <w:r w:rsidRPr="007A37E1">
        <w:rPr>
          <w:rFonts w:ascii="Arial" w:hAnsi="Arial" w:cs="Arial"/>
        </w:rPr>
        <w:t xml:space="preserve"> to the apology tendered </w:t>
      </w:r>
      <w:r w:rsidR="00FA24C2" w:rsidRPr="007A37E1">
        <w:rPr>
          <w:rFonts w:ascii="Arial" w:hAnsi="Arial" w:cs="Arial"/>
        </w:rPr>
        <w:t xml:space="preserve">by the Registrar </w:t>
      </w:r>
      <w:r w:rsidR="001734E3" w:rsidRPr="007A37E1">
        <w:rPr>
          <w:rFonts w:ascii="Arial" w:hAnsi="Arial" w:cs="Arial"/>
        </w:rPr>
        <w:t>to</w:t>
      </w:r>
      <w:r w:rsidRPr="007A37E1">
        <w:rPr>
          <w:rFonts w:ascii="Arial" w:hAnsi="Arial" w:cs="Arial"/>
        </w:rPr>
        <w:t xml:space="preserve"> Mr de Beer and the LF</w:t>
      </w:r>
      <w:r w:rsidR="006F7041" w:rsidRPr="007A37E1">
        <w:rPr>
          <w:rFonts w:ascii="Arial" w:hAnsi="Arial" w:cs="Arial"/>
        </w:rPr>
        <w:t>N</w:t>
      </w:r>
      <w:r w:rsidRPr="007A37E1">
        <w:rPr>
          <w:rFonts w:ascii="Arial" w:hAnsi="Arial" w:cs="Arial"/>
        </w:rPr>
        <w:t xml:space="preserve">. On </w:t>
      </w:r>
      <w:r w:rsidR="0056447C">
        <w:rPr>
          <w:rFonts w:ascii="Arial" w:hAnsi="Arial" w:cs="Arial"/>
        </w:rPr>
        <w:t xml:space="preserve">     </w:t>
      </w:r>
      <w:r w:rsidRPr="007A37E1">
        <w:rPr>
          <w:rFonts w:ascii="Arial" w:hAnsi="Arial" w:cs="Arial"/>
        </w:rPr>
        <w:t>18 June 2021</w:t>
      </w:r>
      <w:r w:rsidR="006F7041" w:rsidRPr="007A37E1">
        <w:rPr>
          <w:rFonts w:ascii="Arial" w:hAnsi="Arial" w:cs="Arial"/>
        </w:rPr>
        <w:t>,</w:t>
      </w:r>
      <w:r w:rsidRPr="007A37E1">
        <w:rPr>
          <w:rFonts w:ascii="Arial" w:hAnsi="Arial" w:cs="Arial"/>
        </w:rPr>
        <w:t xml:space="preserve"> Mr de Beer wrote to the President of this </w:t>
      </w:r>
      <w:r w:rsidR="001734E3" w:rsidRPr="007A37E1">
        <w:rPr>
          <w:rFonts w:ascii="Arial" w:hAnsi="Arial" w:cs="Arial"/>
        </w:rPr>
        <w:t>C</w:t>
      </w:r>
      <w:r w:rsidRPr="007A37E1">
        <w:rPr>
          <w:rFonts w:ascii="Arial" w:hAnsi="Arial" w:cs="Arial"/>
        </w:rPr>
        <w:t>ourt. Once again, it is necessary to reproduce the written response in its entirety. It reads as follows:</w:t>
      </w:r>
    </w:p>
    <w:p w14:paraId="35563E9A" w14:textId="47DF3FDF" w:rsidR="003113B9" w:rsidRPr="007A37E1" w:rsidRDefault="006B7EA4" w:rsidP="00C63772">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‘1.</w:t>
      </w:r>
      <w:r w:rsidRPr="007A37E1">
        <w:rPr>
          <w:rFonts w:ascii="Arial" w:hAnsi="Arial" w:cs="Arial"/>
          <w:sz w:val="22"/>
          <w:szCs w:val="22"/>
        </w:rPr>
        <w:tab/>
      </w:r>
      <w:r w:rsidRPr="007A37E1">
        <w:rPr>
          <w:rFonts w:ascii="Arial" w:hAnsi="Arial" w:cs="Arial"/>
          <w:sz w:val="22"/>
          <w:szCs w:val="22"/>
        </w:rPr>
        <w:tab/>
        <w:t>The email dated 17</w:t>
      </w:r>
      <w:r w:rsidRPr="007A37E1">
        <w:rPr>
          <w:rFonts w:ascii="Arial" w:hAnsi="Arial" w:cs="Arial"/>
          <w:sz w:val="22"/>
          <w:szCs w:val="22"/>
          <w:vertAlign w:val="superscript"/>
        </w:rPr>
        <w:t>th</w:t>
      </w:r>
      <w:r w:rsidRPr="007A37E1">
        <w:rPr>
          <w:rFonts w:ascii="Arial" w:hAnsi="Arial" w:cs="Arial"/>
          <w:sz w:val="22"/>
          <w:szCs w:val="22"/>
        </w:rPr>
        <w:t xml:space="preserve"> instant received from the Chief Registrar, Ms. Van der Merwe, which carried your answer to our letter dated 10</w:t>
      </w:r>
      <w:r w:rsidRPr="007A37E1">
        <w:rPr>
          <w:rFonts w:ascii="Arial" w:hAnsi="Arial" w:cs="Arial"/>
          <w:sz w:val="22"/>
          <w:szCs w:val="22"/>
          <w:vertAlign w:val="superscript"/>
        </w:rPr>
        <w:t>th</w:t>
      </w:r>
      <w:r w:rsidRPr="007A37E1">
        <w:rPr>
          <w:rFonts w:ascii="Arial" w:hAnsi="Arial" w:cs="Arial"/>
          <w:sz w:val="22"/>
          <w:szCs w:val="22"/>
        </w:rPr>
        <w:t xml:space="preserve"> instant, refers.</w:t>
      </w:r>
    </w:p>
    <w:p w14:paraId="5AA2217B" w14:textId="40383714" w:rsidR="006B7EA4" w:rsidRPr="007A37E1" w:rsidRDefault="006B7EA4" w:rsidP="00C63772">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2.</w:t>
      </w:r>
      <w:r w:rsidRPr="007A37E1">
        <w:rPr>
          <w:rFonts w:ascii="Arial" w:hAnsi="Arial" w:cs="Arial"/>
          <w:sz w:val="22"/>
          <w:szCs w:val="22"/>
        </w:rPr>
        <w:tab/>
      </w:r>
      <w:r w:rsidRPr="007A37E1">
        <w:rPr>
          <w:rFonts w:ascii="Arial" w:hAnsi="Arial" w:cs="Arial"/>
          <w:sz w:val="22"/>
          <w:szCs w:val="22"/>
        </w:rPr>
        <w:tab/>
        <w:t>After careful consideration of your official response, writer has decided to herewith inform you that the entire Supreme Court of Appeal may stick its fictitious “apology” to us in its arse.</w:t>
      </w:r>
    </w:p>
    <w:p w14:paraId="47A5D381" w14:textId="562CF2E2" w:rsidR="006B7EA4" w:rsidRPr="007A37E1" w:rsidRDefault="006B7EA4" w:rsidP="00C63772">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3.</w:t>
      </w:r>
      <w:r w:rsidRPr="007A37E1">
        <w:rPr>
          <w:rFonts w:ascii="Arial" w:hAnsi="Arial" w:cs="Arial"/>
          <w:sz w:val="22"/>
          <w:szCs w:val="22"/>
        </w:rPr>
        <w:tab/>
      </w:r>
      <w:r w:rsidRPr="007A37E1">
        <w:rPr>
          <w:rFonts w:ascii="Arial" w:hAnsi="Arial" w:cs="Arial"/>
          <w:sz w:val="22"/>
          <w:szCs w:val="22"/>
        </w:rPr>
        <w:tab/>
        <w:t xml:space="preserve">As the leader of the institution, you have allowed the COVID-19 flimflam to take over the Court’s judicial functionality and for it to desecrate the institution to the point of pure codswallop which it is today – nothing but a mere extension of Government’s narrative; a </w:t>
      </w:r>
      <w:r w:rsidR="009221AC" w:rsidRPr="007A37E1">
        <w:rPr>
          <w:rFonts w:ascii="Arial" w:hAnsi="Arial" w:cs="Arial"/>
          <w:sz w:val="22"/>
          <w:szCs w:val="22"/>
        </w:rPr>
        <w:t>Court which has lost its independence and which has become incapable of protecting the Constitution of the Republic of South Africa and of protecting the very rights which Constitution and Bill of Rights afford the people.</w:t>
      </w:r>
    </w:p>
    <w:p w14:paraId="156EB5F3" w14:textId="2779323A" w:rsidR="009221AC" w:rsidRPr="007A37E1" w:rsidRDefault="009221AC" w:rsidP="00C63772">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lastRenderedPageBreak/>
        <w:t>4.</w:t>
      </w:r>
      <w:r w:rsidRPr="007A37E1">
        <w:rPr>
          <w:rFonts w:ascii="Arial" w:hAnsi="Arial" w:cs="Arial"/>
          <w:sz w:val="22"/>
          <w:szCs w:val="22"/>
        </w:rPr>
        <w:tab/>
      </w:r>
      <w:r w:rsidRPr="007A37E1">
        <w:rPr>
          <w:rFonts w:ascii="Arial" w:hAnsi="Arial" w:cs="Arial"/>
          <w:sz w:val="22"/>
          <w:szCs w:val="22"/>
        </w:rPr>
        <w:tab/>
        <w:t>Let writer remind you, Madam President of the Court, that neither you nor anyone of your judicial colleagues are divine and that the Court still belongs to the people of South Africa, and not the Government, which acts merely as their steward.</w:t>
      </w:r>
    </w:p>
    <w:p w14:paraId="6F8896EF" w14:textId="057D8C30" w:rsidR="009221AC" w:rsidRPr="007A37E1" w:rsidRDefault="009221AC" w:rsidP="00C63772">
      <w:pPr>
        <w:tabs>
          <w:tab w:val="left" w:pos="284"/>
          <w:tab w:val="left" w:pos="567"/>
        </w:tabs>
        <w:spacing w:after="120" w:line="360" w:lineRule="auto"/>
        <w:ind w:left="567" w:hanging="567"/>
        <w:jc w:val="both"/>
        <w:rPr>
          <w:rFonts w:ascii="Arial" w:hAnsi="Arial" w:cs="Arial"/>
          <w:sz w:val="22"/>
          <w:szCs w:val="22"/>
        </w:rPr>
      </w:pPr>
      <w:r w:rsidRPr="007A37E1">
        <w:rPr>
          <w:rFonts w:ascii="Arial" w:hAnsi="Arial" w:cs="Arial"/>
          <w:sz w:val="22"/>
          <w:szCs w:val="22"/>
        </w:rPr>
        <w:t>5.</w:t>
      </w:r>
      <w:r w:rsidRPr="007A37E1">
        <w:rPr>
          <w:rFonts w:ascii="Arial" w:hAnsi="Arial" w:cs="Arial"/>
          <w:sz w:val="22"/>
          <w:szCs w:val="22"/>
        </w:rPr>
        <w:tab/>
      </w:r>
      <w:r w:rsidRPr="007A37E1">
        <w:rPr>
          <w:rFonts w:ascii="Arial" w:hAnsi="Arial" w:cs="Arial"/>
          <w:sz w:val="22"/>
          <w:szCs w:val="22"/>
        </w:rPr>
        <w:tab/>
        <w:t>Even if the judgment in our very matter should be in our favour, LFN and writer shall appeal it as, either way, it will have come about by improper means and your bench will have made a charade of what was supposed to be a proper adjudication. Neither LFN nor writer are able to respect a judgment not rooted in true justice, as would normally have been delivered by the Appellate Division, something which the SCA used to be not too long ago.</w:t>
      </w:r>
    </w:p>
    <w:p w14:paraId="110F67B5" w14:textId="380DEAC1" w:rsidR="009221AC" w:rsidRPr="007A37E1" w:rsidRDefault="009221AC" w:rsidP="006F7041">
      <w:pPr>
        <w:tabs>
          <w:tab w:val="left" w:pos="284"/>
          <w:tab w:val="left" w:pos="567"/>
        </w:tabs>
        <w:spacing w:line="360" w:lineRule="auto"/>
        <w:jc w:val="both"/>
        <w:rPr>
          <w:rFonts w:ascii="Arial" w:hAnsi="Arial" w:cs="Arial"/>
          <w:sz w:val="22"/>
          <w:szCs w:val="22"/>
        </w:rPr>
      </w:pPr>
      <w:r w:rsidRPr="007A37E1">
        <w:rPr>
          <w:rFonts w:ascii="Arial" w:hAnsi="Arial" w:cs="Arial"/>
          <w:sz w:val="22"/>
          <w:szCs w:val="22"/>
        </w:rPr>
        <w:t>6.</w:t>
      </w:r>
      <w:r w:rsidRPr="007A37E1">
        <w:rPr>
          <w:rFonts w:ascii="Arial" w:hAnsi="Arial" w:cs="Arial"/>
          <w:sz w:val="22"/>
          <w:szCs w:val="22"/>
        </w:rPr>
        <w:tab/>
      </w:r>
      <w:r w:rsidRPr="007A37E1">
        <w:rPr>
          <w:rFonts w:ascii="Arial" w:hAnsi="Arial" w:cs="Arial"/>
          <w:sz w:val="22"/>
          <w:szCs w:val="22"/>
        </w:rPr>
        <w:tab/>
        <w:t>Let God’s water run over God’s acre.’</w:t>
      </w:r>
    </w:p>
    <w:p w14:paraId="346FCD4C" w14:textId="77777777" w:rsidR="006B7EA4" w:rsidRPr="007A37E1" w:rsidRDefault="006B7EA4" w:rsidP="00070A5D">
      <w:pPr>
        <w:tabs>
          <w:tab w:val="left" w:pos="284"/>
        </w:tabs>
        <w:spacing w:line="360" w:lineRule="auto"/>
        <w:jc w:val="both"/>
        <w:rPr>
          <w:rFonts w:ascii="Arial" w:hAnsi="Arial" w:cs="Arial"/>
          <w:sz w:val="22"/>
          <w:szCs w:val="22"/>
        </w:rPr>
      </w:pPr>
    </w:p>
    <w:p w14:paraId="22770550" w14:textId="4D26C614" w:rsidR="001D5B73" w:rsidRPr="007A37E1" w:rsidRDefault="001D5B73" w:rsidP="00C63772">
      <w:pPr>
        <w:tabs>
          <w:tab w:val="left" w:pos="851"/>
        </w:tabs>
        <w:spacing w:line="360" w:lineRule="auto"/>
        <w:jc w:val="both"/>
        <w:rPr>
          <w:rFonts w:ascii="Arial" w:eastAsiaTheme="minorHAnsi" w:hAnsi="Arial" w:cs="Arial"/>
          <w:sz w:val="22"/>
          <w:szCs w:val="22"/>
          <w:lang w:val="en-US"/>
        </w:rPr>
      </w:pPr>
      <w:r w:rsidRPr="007A37E1">
        <w:rPr>
          <w:rFonts w:ascii="Arial" w:eastAsiaTheme="minorHAnsi" w:hAnsi="Arial" w:cs="Arial"/>
          <w:lang w:val="en-US"/>
        </w:rPr>
        <w:t>[118]</w:t>
      </w:r>
      <w:r w:rsidRPr="007A37E1">
        <w:rPr>
          <w:rFonts w:ascii="Arial" w:eastAsiaTheme="minorHAnsi" w:hAnsi="Arial" w:cs="Arial"/>
          <w:lang w:val="en-US"/>
        </w:rPr>
        <w:tab/>
      </w:r>
      <w:r w:rsidRPr="007A37E1">
        <w:rPr>
          <w:rFonts w:ascii="Arial" w:eastAsiaTheme="minorHAnsi" w:hAnsi="Arial" w:cs="Arial"/>
          <w:sz w:val="22"/>
          <w:szCs w:val="22"/>
          <w:lang w:val="en-US"/>
        </w:rPr>
        <w:t>‘In a democratic society, one who assumes to act for the citizens in an executive, legislative or judicial capacity must expect that his official acts will be commented upon and criticised. Such criticism cannot, in my opinion, be muzzled or deterred by the courts at the instance of public officials under the label of libel.’</w:t>
      </w:r>
      <w:r w:rsidRPr="007A37E1">
        <w:rPr>
          <w:rFonts w:ascii="Arial" w:eastAsiaTheme="minorHAnsi" w:hAnsi="Arial" w:cs="Arial"/>
          <w:sz w:val="22"/>
          <w:szCs w:val="22"/>
          <w:vertAlign w:val="superscript"/>
          <w:lang w:val="en-US"/>
        </w:rPr>
        <w:footnoteReference w:id="40"/>
      </w:r>
    </w:p>
    <w:p w14:paraId="4B1398FE" w14:textId="664F3A8F" w:rsidR="001D5B73" w:rsidRPr="007A37E1" w:rsidRDefault="001D5B73" w:rsidP="00C63772">
      <w:pPr>
        <w:spacing w:line="360" w:lineRule="auto"/>
        <w:jc w:val="both"/>
        <w:rPr>
          <w:rFonts w:ascii="Arial" w:eastAsiaTheme="minorHAnsi" w:hAnsi="Arial" w:cs="Arial"/>
          <w:lang w:val="en-US"/>
        </w:rPr>
      </w:pPr>
      <w:r w:rsidRPr="007A37E1">
        <w:rPr>
          <w:rFonts w:ascii="Arial" w:eastAsiaTheme="minorHAnsi" w:hAnsi="Arial" w:cs="Arial"/>
          <w:lang w:val="en-US"/>
        </w:rPr>
        <w:t xml:space="preserve">Courts are not above criticism. Legal commentators, the media, academics, and members of the public criticize judgments and court rulings on an almost daily basis. In that sense, courts can rightly claim that they are constantly held up to public account. </w:t>
      </w:r>
      <w:r w:rsidR="0056447C">
        <w:rPr>
          <w:rFonts w:ascii="Arial" w:eastAsiaTheme="minorHAnsi" w:hAnsi="Arial" w:cs="Arial"/>
          <w:lang w:val="en-US"/>
        </w:rPr>
        <w:t xml:space="preserve">   </w:t>
      </w:r>
      <w:r w:rsidR="00B7474C" w:rsidRPr="007A37E1">
        <w:rPr>
          <w:rFonts w:ascii="Arial" w:eastAsiaTheme="minorHAnsi" w:hAnsi="Arial" w:cs="Arial"/>
          <w:lang w:val="en-US"/>
        </w:rPr>
        <w:t xml:space="preserve">No </w:t>
      </w:r>
      <w:r w:rsidR="00A970EA" w:rsidRPr="007A37E1">
        <w:rPr>
          <w:rFonts w:ascii="Arial" w:eastAsiaTheme="minorHAnsi" w:hAnsi="Arial" w:cs="Arial"/>
          <w:lang w:val="en-US"/>
        </w:rPr>
        <w:t>j</w:t>
      </w:r>
      <w:r w:rsidRPr="007A37E1">
        <w:rPr>
          <w:rFonts w:ascii="Arial" w:eastAsiaTheme="minorHAnsi" w:hAnsi="Arial" w:cs="Arial"/>
          <w:lang w:val="en-US"/>
        </w:rPr>
        <w:t>udge</w:t>
      </w:r>
      <w:r w:rsidR="00A970EA" w:rsidRPr="007A37E1">
        <w:rPr>
          <w:rFonts w:ascii="Arial" w:eastAsiaTheme="minorHAnsi" w:hAnsi="Arial" w:cs="Arial"/>
          <w:lang w:val="en-US"/>
        </w:rPr>
        <w:t>,</w:t>
      </w:r>
      <w:r w:rsidRPr="007A37E1">
        <w:rPr>
          <w:rFonts w:ascii="Arial" w:eastAsiaTheme="minorHAnsi" w:hAnsi="Arial" w:cs="Arial"/>
          <w:lang w:val="en-US"/>
        </w:rPr>
        <w:t xml:space="preserve"> indeed, no person, whatever his or her station </w:t>
      </w:r>
      <w:r w:rsidR="0004655E" w:rsidRPr="007A37E1">
        <w:rPr>
          <w:rFonts w:ascii="Arial" w:eastAsiaTheme="minorHAnsi" w:hAnsi="Arial" w:cs="Arial"/>
          <w:lang w:val="en-US"/>
        </w:rPr>
        <w:t>is</w:t>
      </w:r>
      <w:r w:rsidRPr="007A37E1">
        <w:rPr>
          <w:rFonts w:ascii="Arial" w:eastAsiaTheme="minorHAnsi" w:hAnsi="Arial" w:cs="Arial"/>
          <w:lang w:val="en-US"/>
        </w:rPr>
        <w:t xml:space="preserve"> above scrutiny. Our concern in this case, however, is to draw a judicial line in the sand. We have set out in some detail the criticisms levelled against us. Our primary concern however, is the baseless criticism levelled, in the last communication of Mr de Beer and the LFN, against the President of this Court, the deplorable denigration of the Court, and the generalised contempt displayed towards all our colleagues, unconnected though they are to this case. We are concerned too about the scurrilous insults, set out in the communications referred to above, directed at those who serve in the Registrar’s office. </w:t>
      </w:r>
    </w:p>
    <w:p w14:paraId="49E11453" w14:textId="77777777" w:rsidR="001D5B73" w:rsidRPr="007A37E1" w:rsidRDefault="001D5B73" w:rsidP="00C63772">
      <w:pPr>
        <w:spacing w:line="360" w:lineRule="auto"/>
        <w:jc w:val="both"/>
        <w:rPr>
          <w:rFonts w:ascii="Arial" w:eastAsiaTheme="minorHAnsi" w:hAnsi="Arial" w:cs="Arial"/>
          <w:lang w:val="en-US"/>
        </w:rPr>
      </w:pPr>
    </w:p>
    <w:p w14:paraId="6E45918F" w14:textId="47D47D1E" w:rsidR="003F0AE4" w:rsidRPr="007A37E1" w:rsidRDefault="001D5B73" w:rsidP="001D5B73">
      <w:pPr>
        <w:tabs>
          <w:tab w:val="left" w:pos="284"/>
          <w:tab w:val="left" w:pos="851"/>
        </w:tabs>
        <w:spacing w:line="360" w:lineRule="auto"/>
        <w:jc w:val="both"/>
        <w:rPr>
          <w:rFonts w:ascii="Arial" w:eastAsiaTheme="minorHAnsi" w:hAnsi="Arial" w:cs="Arial"/>
          <w:lang w:val="en-US"/>
        </w:rPr>
      </w:pPr>
      <w:r w:rsidRPr="007A37E1">
        <w:rPr>
          <w:rFonts w:ascii="Arial" w:eastAsiaTheme="minorHAnsi" w:hAnsi="Arial" w:cs="Arial"/>
          <w:lang w:val="en-US"/>
        </w:rPr>
        <w:t>[119]</w:t>
      </w:r>
      <w:r w:rsidRPr="007A37E1">
        <w:rPr>
          <w:rFonts w:ascii="Arial" w:eastAsiaTheme="minorHAnsi" w:hAnsi="Arial" w:cs="Arial"/>
          <w:lang w:val="en-US"/>
        </w:rPr>
        <w:tab/>
        <w:t>The last written communication from Mr de Beer and the L</w:t>
      </w:r>
      <w:r w:rsidR="00E32D78" w:rsidRPr="007A37E1">
        <w:rPr>
          <w:rFonts w:ascii="Arial" w:eastAsiaTheme="minorHAnsi" w:hAnsi="Arial" w:cs="Arial"/>
          <w:lang w:val="en-US"/>
        </w:rPr>
        <w:t>FN</w:t>
      </w:r>
      <w:r w:rsidRPr="007A37E1">
        <w:rPr>
          <w:rFonts w:ascii="Arial" w:eastAsiaTheme="minorHAnsi" w:hAnsi="Arial" w:cs="Arial"/>
          <w:lang w:val="en-US"/>
        </w:rPr>
        <w:t xml:space="preserve"> is crude, gratuitously insulting, clearly contemptuous and intended to denigrate this court. The Constitutional Court has most recently warned that unjustifiable defamatory and scurrilous utterances against judicial officers will not be tolerated.</w:t>
      </w:r>
      <w:r w:rsidRPr="007A37E1">
        <w:rPr>
          <w:rFonts w:ascii="Arial" w:eastAsiaTheme="minorHAnsi" w:hAnsi="Arial" w:cs="Arial"/>
          <w:vertAlign w:val="superscript"/>
          <w:lang w:val="en-US"/>
        </w:rPr>
        <w:footnoteReference w:id="41"/>
      </w:r>
      <w:r w:rsidRPr="007A37E1">
        <w:rPr>
          <w:rFonts w:ascii="Arial" w:eastAsiaTheme="minorHAnsi" w:hAnsi="Arial" w:cs="Arial"/>
          <w:lang w:val="en-US"/>
        </w:rPr>
        <w:t xml:space="preserve"> In the present </w:t>
      </w:r>
      <w:r w:rsidRPr="007A37E1">
        <w:rPr>
          <w:rFonts w:ascii="Arial" w:eastAsiaTheme="minorHAnsi" w:hAnsi="Arial" w:cs="Arial"/>
          <w:lang w:val="en-US"/>
        </w:rPr>
        <w:lastRenderedPageBreak/>
        <w:t>circumstances there seems to us to be no alternative but to refer this judgment to the National Director of Public Prosecutions (the NDPP) for her attention. In doing so we are mindful that Mr de Beer is a layperson. However, even for a layperson the statements are beyond the pale and there is no excuse for his conduct or that of the LFN</w:t>
      </w:r>
      <w:r w:rsidR="009A4095" w:rsidRPr="007A37E1">
        <w:rPr>
          <w:rFonts w:ascii="Arial" w:eastAsiaTheme="minorHAnsi" w:hAnsi="Arial" w:cs="Arial"/>
          <w:lang w:val="en-US"/>
        </w:rPr>
        <w:t>.</w:t>
      </w:r>
      <w:r w:rsidR="00C61A26" w:rsidRPr="007A37E1">
        <w:rPr>
          <w:rStyle w:val="FootnoteReference"/>
          <w:rFonts w:ascii="Arial" w:eastAsiaTheme="minorHAnsi" w:hAnsi="Arial" w:cs="Arial"/>
          <w:lang w:val="en-US"/>
        </w:rPr>
        <w:footnoteReference w:id="42"/>
      </w:r>
      <w:r w:rsidRPr="007A37E1">
        <w:rPr>
          <w:rFonts w:ascii="Arial" w:eastAsiaTheme="minorHAnsi" w:hAnsi="Arial" w:cs="Arial"/>
          <w:lang w:val="en-US"/>
        </w:rPr>
        <w:t xml:space="preserve"> The Registrar is thus directed to take the necessary steps to ensure that this judgment is brought to the attention of the NDPP.</w:t>
      </w:r>
    </w:p>
    <w:p w14:paraId="79E9992D" w14:textId="77777777" w:rsidR="001D5B73" w:rsidRPr="007A37E1" w:rsidRDefault="001D5B73" w:rsidP="001D5B73">
      <w:pPr>
        <w:tabs>
          <w:tab w:val="left" w:pos="284"/>
        </w:tabs>
        <w:spacing w:line="360" w:lineRule="auto"/>
        <w:jc w:val="both"/>
        <w:rPr>
          <w:rFonts w:ascii="Arial" w:hAnsi="Arial" w:cs="Arial"/>
        </w:rPr>
      </w:pPr>
    </w:p>
    <w:p w14:paraId="7EF09313" w14:textId="5F2B6BFC" w:rsidR="00B10395" w:rsidRPr="007A37E1" w:rsidRDefault="00B10395" w:rsidP="001D5B73">
      <w:pPr>
        <w:tabs>
          <w:tab w:val="left" w:pos="284"/>
        </w:tabs>
        <w:spacing w:line="360" w:lineRule="auto"/>
        <w:jc w:val="both"/>
        <w:rPr>
          <w:rFonts w:ascii="Arial" w:hAnsi="Arial" w:cs="Arial"/>
        </w:rPr>
      </w:pPr>
      <w:r w:rsidRPr="007A37E1">
        <w:rPr>
          <w:rFonts w:ascii="Arial" w:hAnsi="Arial" w:cs="Arial"/>
        </w:rPr>
        <w:t>[1</w:t>
      </w:r>
      <w:r w:rsidR="00C86937" w:rsidRPr="007A37E1">
        <w:rPr>
          <w:rFonts w:ascii="Arial" w:hAnsi="Arial" w:cs="Arial"/>
        </w:rPr>
        <w:t>20</w:t>
      </w:r>
      <w:r w:rsidR="003F0AE4" w:rsidRPr="007A37E1">
        <w:rPr>
          <w:rFonts w:ascii="Arial" w:hAnsi="Arial" w:cs="Arial"/>
        </w:rPr>
        <w:t>]</w:t>
      </w:r>
      <w:r w:rsidR="003F0AE4" w:rsidRPr="007A37E1">
        <w:rPr>
          <w:rFonts w:ascii="Arial" w:hAnsi="Arial" w:cs="Arial"/>
        </w:rPr>
        <w:tab/>
      </w:r>
      <w:r w:rsidRPr="007A37E1">
        <w:rPr>
          <w:rFonts w:ascii="Arial" w:hAnsi="Arial" w:cs="Arial"/>
        </w:rPr>
        <w:t>In the result:</w:t>
      </w:r>
    </w:p>
    <w:p w14:paraId="7DE69B66" w14:textId="392A6370" w:rsidR="00B10395" w:rsidRPr="007A37E1" w:rsidRDefault="00D62D08" w:rsidP="005A4F3D">
      <w:pPr>
        <w:tabs>
          <w:tab w:val="left" w:pos="284"/>
        </w:tabs>
        <w:spacing w:line="360" w:lineRule="auto"/>
        <w:jc w:val="both"/>
        <w:rPr>
          <w:rFonts w:ascii="Arial" w:hAnsi="Arial" w:cs="Arial"/>
        </w:rPr>
      </w:pPr>
      <w:r w:rsidRPr="007A37E1">
        <w:rPr>
          <w:rFonts w:ascii="Arial" w:hAnsi="Arial" w:cs="Arial"/>
        </w:rPr>
        <w:t xml:space="preserve">1  </w:t>
      </w:r>
      <w:r w:rsidR="00B10395" w:rsidRPr="007A37E1">
        <w:rPr>
          <w:rFonts w:ascii="Arial" w:hAnsi="Arial" w:cs="Arial"/>
        </w:rPr>
        <w:t>The appeal is upheld</w:t>
      </w:r>
      <w:r w:rsidR="009626FF" w:rsidRPr="007A37E1">
        <w:rPr>
          <w:rFonts w:ascii="Arial" w:hAnsi="Arial" w:cs="Arial"/>
        </w:rPr>
        <w:t>.</w:t>
      </w:r>
    </w:p>
    <w:p w14:paraId="5F2FE796" w14:textId="2A35A3DE" w:rsidR="00B10395" w:rsidRPr="007A37E1" w:rsidRDefault="00D62D08" w:rsidP="005A4F3D">
      <w:pPr>
        <w:tabs>
          <w:tab w:val="left" w:pos="284"/>
        </w:tabs>
        <w:spacing w:line="360" w:lineRule="auto"/>
        <w:jc w:val="both"/>
        <w:rPr>
          <w:rFonts w:ascii="Arial" w:hAnsi="Arial" w:cs="Arial"/>
        </w:rPr>
      </w:pPr>
      <w:r w:rsidRPr="007A37E1">
        <w:rPr>
          <w:rFonts w:ascii="Arial" w:hAnsi="Arial" w:cs="Arial"/>
        </w:rPr>
        <w:t xml:space="preserve">2  </w:t>
      </w:r>
      <w:r w:rsidR="00B10395" w:rsidRPr="007A37E1">
        <w:rPr>
          <w:rFonts w:ascii="Arial" w:hAnsi="Arial" w:cs="Arial"/>
        </w:rPr>
        <w:t>The high court’s orders are set aside and replaced with the following order:</w:t>
      </w:r>
    </w:p>
    <w:p w14:paraId="6B33AB77" w14:textId="4FF0342F" w:rsidR="00B10395" w:rsidRPr="007A37E1" w:rsidRDefault="00B10395" w:rsidP="005A4F3D">
      <w:pPr>
        <w:tabs>
          <w:tab w:val="left" w:pos="284"/>
        </w:tabs>
        <w:spacing w:line="360" w:lineRule="auto"/>
        <w:jc w:val="both"/>
        <w:rPr>
          <w:rFonts w:ascii="Arial" w:hAnsi="Arial" w:cs="Arial"/>
        </w:rPr>
      </w:pPr>
      <w:r w:rsidRPr="007A37E1">
        <w:rPr>
          <w:rFonts w:ascii="Arial" w:hAnsi="Arial" w:cs="Arial"/>
        </w:rPr>
        <w:t>‘The application is dismissed</w:t>
      </w:r>
      <w:r w:rsidR="00E07B8C" w:rsidRPr="007A37E1">
        <w:rPr>
          <w:rFonts w:ascii="Arial" w:hAnsi="Arial" w:cs="Arial"/>
        </w:rPr>
        <w:t>.</w:t>
      </w:r>
      <w:r w:rsidRPr="007A37E1">
        <w:rPr>
          <w:rFonts w:ascii="Arial" w:hAnsi="Arial" w:cs="Arial"/>
        </w:rPr>
        <w:t>’</w:t>
      </w:r>
    </w:p>
    <w:p w14:paraId="4D0EE1A4" w14:textId="77777777" w:rsidR="00C87DB1" w:rsidRPr="007A37E1" w:rsidRDefault="00C87DB1" w:rsidP="005A4F3D">
      <w:pPr>
        <w:tabs>
          <w:tab w:val="left" w:pos="284"/>
        </w:tabs>
        <w:spacing w:line="360" w:lineRule="auto"/>
        <w:jc w:val="both"/>
        <w:rPr>
          <w:rFonts w:ascii="Arial" w:hAnsi="Arial" w:cs="Arial"/>
          <w:sz w:val="16"/>
          <w:szCs w:val="16"/>
        </w:rPr>
      </w:pPr>
    </w:p>
    <w:p w14:paraId="3ED05351" w14:textId="107C7178" w:rsidR="00073E5C" w:rsidRPr="007A37E1" w:rsidRDefault="00874BB3" w:rsidP="00974860">
      <w:pPr>
        <w:tabs>
          <w:tab w:val="left" w:pos="284"/>
        </w:tabs>
        <w:spacing w:line="360" w:lineRule="auto"/>
        <w:jc w:val="both"/>
        <w:rPr>
          <w:rFonts w:ascii="Arial" w:hAnsi="Arial" w:cs="Arial"/>
        </w:rPr>
      </w:pPr>
      <w:r w:rsidRPr="007A37E1">
        <w:rPr>
          <w:rFonts w:ascii="Arial" w:hAnsi="Arial" w:cs="Arial"/>
        </w:rPr>
        <w:tab/>
      </w:r>
      <w:r w:rsidR="005055A4" w:rsidRPr="007A37E1">
        <w:rPr>
          <w:rFonts w:ascii="Arial" w:hAnsi="Arial" w:cs="Arial"/>
        </w:rPr>
        <w:tab/>
      </w:r>
    </w:p>
    <w:p w14:paraId="1ACA8325" w14:textId="445E7406" w:rsidR="00D94001" w:rsidRPr="007A37E1" w:rsidRDefault="00D94001" w:rsidP="00C87DB1">
      <w:pPr>
        <w:ind w:right="-51"/>
        <w:jc w:val="right"/>
        <w:rPr>
          <w:rFonts w:ascii="Arial" w:eastAsia="MS Mincho" w:hAnsi="Arial" w:cs="Arial"/>
          <w:noProof/>
          <w:lang w:eastAsia="en-ZA"/>
        </w:rPr>
      </w:pPr>
      <w:r w:rsidRPr="007A37E1">
        <w:rPr>
          <w:rFonts w:ascii="Arial" w:eastAsia="MS Mincho" w:hAnsi="Arial" w:cs="Arial"/>
          <w:noProof/>
          <w:lang w:eastAsia="en-ZA"/>
        </w:rPr>
        <w:t>_______</w:t>
      </w:r>
      <w:r w:rsidR="00832424" w:rsidRPr="007A37E1">
        <w:rPr>
          <w:rFonts w:ascii="Arial" w:eastAsia="MS Mincho" w:hAnsi="Arial" w:cs="Arial"/>
          <w:noProof/>
          <w:lang w:eastAsia="en-ZA"/>
        </w:rPr>
        <w:t>___</w:t>
      </w:r>
      <w:r w:rsidRPr="007A37E1">
        <w:rPr>
          <w:rFonts w:ascii="Arial" w:eastAsia="MS Mincho" w:hAnsi="Arial" w:cs="Arial"/>
          <w:noProof/>
          <w:lang w:eastAsia="en-ZA"/>
        </w:rPr>
        <w:t>________________</w:t>
      </w:r>
    </w:p>
    <w:p w14:paraId="6615D52A" w14:textId="11C88FF0" w:rsidR="00D94001" w:rsidRPr="007A37E1" w:rsidRDefault="00AD6EF4" w:rsidP="00C87DB1">
      <w:pPr>
        <w:ind w:right="-51"/>
        <w:jc w:val="right"/>
        <w:rPr>
          <w:rFonts w:ascii="Arial" w:eastAsia="MS Mincho" w:hAnsi="Arial" w:cs="Arial"/>
        </w:rPr>
      </w:pPr>
      <w:r w:rsidRPr="007A37E1">
        <w:rPr>
          <w:rFonts w:ascii="Arial" w:eastAsia="MS Mincho" w:hAnsi="Arial" w:cs="Arial"/>
        </w:rPr>
        <w:t>M S NAVSA</w:t>
      </w:r>
    </w:p>
    <w:p w14:paraId="6E9FAB55" w14:textId="5680C097" w:rsidR="00D94001" w:rsidRPr="007A37E1" w:rsidRDefault="00F952C0" w:rsidP="00C87DB1">
      <w:pPr>
        <w:ind w:right="-51"/>
        <w:jc w:val="right"/>
        <w:rPr>
          <w:rFonts w:ascii="Arial" w:eastAsia="MS Mincho" w:hAnsi="Arial" w:cs="Arial"/>
        </w:rPr>
      </w:pPr>
      <w:r w:rsidRPr="007A37E1">
        <w:rPr>
          <w:rFonts w:ascii="Arial" w:eastAsia="MS Mincho" w:hAnsi="Arial" w:cs="Arial"/>
        </w:rPr>
        <w:t>JUDGE OF APPEAL</w:t>
      </w:r>
    </w:p>
    <w:p w14:paraId="24694E2E" w14:textId="77777777" w:rsidR="00C87DB1" w:rsidRPr="007A37E1" w:rsidRDefault="00C87DB1" w:rsidP="00C87DB1">
      <w:pPr>
        <w:ind w:right="-51"/>
        <w:jc w:val="right"/>
        <w:rPr>
          <w:rFonts w:ascii="Arial" w:eastAsia="MS Mincho" w:hAnsi="Arial" w:cs="Arial"/>
          <w:sz w:val="16"/>
          <w:szCs w:val="16"/>
        </w:rPr>
      </w:pPr>
    </w:p>
    <w:p w14:paraId="775DABFF" w14:textId="77777777" w:rsidR="00C87DB1" w:rsidRPr="007A37E1" w:rsidRDefault="00C87DB1" w:rsidP="00C87DB1">
      <w:pPr>
        <w:ind w:right="-51"/>
        <w:jc w:val="right"/>
        <w:rPr>
          <w:rFonts w:ascii="Arial" w:eastAsia="MS Mincho" w:hAnsi="Arial" w:cs="Arial"/>
          <w:sz w:val="16"/>
          <w:szCs w:val="16"/>
        </w:rPr>
      </w:pPr>
    </w:p>
    <w:p w14:paraId="376252C2" w14:textId="4943C0D0" w:rsidR="008C5587" w:rsidRPr="007A37E1" w:rsidRDefault="008C5587" w:rsidP="00C87DB1">
      <w:pPr>
        <w:ind w:right="-51"/>
        <w:jc w:val="right"/>
        <w:rPr>
          <w:rFonts w:ascii="Arial" w:eastAsia="MS Mincho" w:hAnsi="Arial" w:cs="Arial"/>
          <w:sz w:val="16"/>
          <w:szCs w:val="16"/>
        </w:rPr>
      </w:pPr>
    </w:p>
    <w:p w14:paraId="28D65D04" w14:textId="14E94C87" w:rsidR="008C5587" w:rsidRPr="007A37E1" w:rsidRDefault="008C5587" w:rsidP="00C87DB1">
      <w:pPr>
        <w:ind w:right="-51"/>
        <w:jc w:val="right"/>
        <w:rPr>
          <w:rFonts w:ascii="Arial" w:eastAsia="MS Mincho" w:hAnsi="Arial" w:cs="Arial"/>
          <w:sz w:val="16"/>
          <w:szCs w:val="16"/>
        </w:rPr>
      </w:pPr>
      <w:r w:rsidRPr="007A37E1">
        <w:rPr>
          <w:rFonts w:ascii="Arial" w:eastAsia="MS Mincho" w:hAnsi="Arial" w:cs="Arial"/>
        </w:rPr>
        <w:t>__________________________</w:t>
      </w:r>
    </w:p>
    <w:p w14:paraId="3D602ED6" w14:textId="6131EE78" w:rsidR="008C5587" w:rsidRPr="007A37E1" w:rsidRDefault="008C5587" w:rsidP="00C87DB1">
      <w:pPr>
        <w:ind w:right="-51"/>
        <w:jc w:val="right"/>
        <w:rPr>
          <w:rFonts w:ascii="Arial" w:hAnsi="Arial" w:cs="Arial"/>
        </w:rPr>
      </w:pPr>
      <w:r w:rsidRPr="007A37E1">
        <w:rPr>
          <w:rFonts w:ascii="Arial" w:hAnsi="Arial" w:cs="Arial"/>
        </w:rPr>
        <w:t>V</w:t>
      </w:r>
      <w:r w:rsidR="00A0257A" w:rsidRPr="007A37E1">
        <w:rPr>
          <w:rFonts w:ascii="Arial" w:hAnsi="Arial" w:cs="Arial"/>
        </w:rPr>
        <w:t xml:space="preserve"> N</w:t>
      </w:r>
      <w:r w:rsidRPr="007A37E1">
        <w:rPr>
          <w:rFonts w:ascii="Arial" w:hAnsi="Arial" w:cs="Arial"/>
        </w:rPr>
        <w:t xml:space="preserve"> PONNAN</w:t>
      </w:r>
    </w:p>
    <w:p w14:paraId="78F4319B" w14:textId="130BC39E" w:rsidR="008C5587" w:rsidRPr="007A37E1" w:rsidRDefault="008C5587" w:rsidP="00C87DB1">
      <w:pPr>
        <w:ind w:right="-51"/>
        <w:jc w:val="right"/>
        <w:rPr>
          <w:rFonts w:ascii="Arial" w:hAnsi="Arial" w:cs="Arial"/>
        </w:rPr>
      </w:pPr>
      <w:r w:rsidRPr="007A37E1">
        <w:rPr>
          <w:rFonts w:ascii="Arial" w:hAnsi="Arial" w:cs="Arial"/>
        </w:rPr>
        <w:t>JUDGE OF APPEAL</w:t>
      </w:r>
    </w:p>
    <w:p w14:paraId="455C2ECF" w14:textId="77777777" w:rsidR="00C87DB1" w:rsidRPr="007A37E1" w:rsidRDefault="00C87DB1" w:rsidP="00C87DB1">
      <w:pPr>
        <w:ind w:right="-51"/>
        <w:jc w:val="right"/>
        <w:rPr>
          <w:rFonts w:ascii="Arial" w:hAnsi="Arial" w:cs="Arial"/>
        </w:rPr>
      </w:pPr>
    </w:p>
    <w:p w14:paraId="745EEF84" w14:textId="50F8FD27" w:rsidR="00D67F4B" w:rsidRPr="007A37E1" w:rsidRDefault="00D67F4B" w:rsidP="00C87DB1">
      <w:pPr>
        <w:ind w:right="-51"/>
        <w:jc w:val="right"/>
        <w:rPr>
          <w:rFonts w:ascii="Arial" w:hAnsi="Arial" w:cs="Arial"/>
          <w:sz w:val="20"/>
          <w:szCs w:val="20"/>
        </w:rPr>
      </w:pPr>
    </w:p>
    <w:p w14:paraId="21FDBECE" w14:textId="77777777" w:rsidR="00855DE9" w:rsidRPr="007A37E1" w:rsidRDefault="00855DE9" w:rsidP="00C87DB1">
      <w:pPr>
        <w:ind w:right="-51"/>
        <w:jc w:val="right"/>
        <w:rPr>
          <w:rFonts w:ascii="Arial" w:hAnsi="Arial" w:cs="Arial"/>
          <w:sz w:val="16"/>
          <w:szCs w:val="16"/>
        </w:rPr>
      </w:pPr>
    </w:p>
    <w:p w14:paraId="6519B940" w14:textId="1E08E994" w:rsidR="00D67F4B" w:rsidRPr="007A37E1" w:rsidRDefault="00D67F4B" w:rsidP="00C87DB1">
      <w:pPr>
        <w:ind w:right="-51"/>
        <w:jc w:val="right"/>
        <w:rPr>
          <w:rFonts w:ascii="Arial" w:hAnsi="Arial" w:cs="Arial"/>
        </w:rPr>
      </w:pPr>
      <w:r w:rsidRPr="007A37E1">
        <w:rPr>
          <w:rFonts w:ascii="Arial" w:hAnsi="Arial" w:cs="Arial"/>
        </w:rPr>
        <w:t>__________________________</w:t>
      </w:r>
    </w:p>
    <w:p w14:paraId="56F5972D" w14:textId="0BC1987E" w:rsidR="008B40EE" w:rsidRPr="007A37E1" w:rsidRDefault="008B40EE" w:rsidP="00C87DB1">
      <w:pPr>
        <w:ind w:right="-51"/>
        <w:jc w:val="right"/>
        <w:rPr>
          <w:rFonts w:ascii="Arial" w:hAnsi="Arial" w:cs="Arial"/>
        </w:rPr>
      </w:pPr>
      <w:r w:rsidRPr="007A37E1">
        <w:rPr>
          <w:rFonts w:ascii="Arial" w:hAnsi="Arial" w:cs="Arial"/>
        </w:rPr>
        <w:t>Y T MBATHA</w:t>
      </w:r>
    </w:p>
    <w:p w14:paraId="1D03CE60" w14:textId="083ACAF2" w:rsidR="008B40EE" w:rsidRPr="007A37E1" w:rsidRDefault="008B40EE" w:rsidP="00C87DB1">
      <w:pPr>
        <w:ind w:right="-51"/>
        <w:jc w:val="right"/>
        <w:rPr>
          <w:rFonts w:ascii="Arial" w:hAnsi="Arial" w:cs="Arial"/>
        </w:rPr>
      </w:pPr>
      <w:r w:rsidRPr="007A37E1">
        <w:rPr>
          <w:rFonts w:ascii="Arial" w:hAnsi="Arial" w:cs="Arial"/>
        </w:rPr>
        <w:t>JUDGE OF APPEAL</w:t>
      </w:r>
    </w:p>
    <w:p w14:paraId="52885771" w14:textId="77777777" w:rsidR="00C87DB1" w:rsidRPr="007A37E1" w:rsidRDefault="00C87DB1" w:rsidP="00C87DB1">
      <w:pPr>
        <w:ind w:right="-51"/>
        <w:jc w:val="right"/>
        <w:rPr>
          <w:rFonts w:ascii="Arial" w:hAnsi="Arial" w:cs="Arial"/>
          <w:sz w:val="16"/>
          <w:szCs w:val="16"/>
        </w:rPr>
      </w:pPr>
    </w:p>
    <w:p w14:paraId="762D1394" w14:textId="77777777" w:rsidR="00C87DB1" w:rsidRPr="007A37E1" w:rsidRDefault="00C87DB1" w:rsidP="00C87DB1">
      <w:pPr>
        <w:ind w:right="-51"/>
        <w:jc w:val="right"/>
        <w:rPr>
          <w:rFonts w:ascii="Arial" w:hAnsi="Arial" w:cs="Arial"/>
        </w:rPr>
      </w:pPr>
    </w:p>
    <w:p w14:paraId="09EB90A0" w14:textId="7C38C8DB" w:rsidR="008B40EE" w:rsidRPr="007A37E1" w:rsidRDefault="008B40EE" w:rsidP="00C87DB1">
      <w:pPr>
        <w:ind w:right="-51"/>
        <w:jc w:val="right"/>
        <w:rPr>
          <w:rFonts w:ascii="Arial" w:hAnsi="Arial" w:cs="Arial"/>
          <w:sz w:val="16"/>
          <w:szCs w:val="16"/>
        </w:rPr>
      </w:pPr>
    </w:p>
    <w:p w14:paraId="00BD363F" w14:textId="653FF9A9" w:rsidR="008B40EE" w:rsidRPr="007A37E1" w:rsidRDefault="008B40EE" w:rsidP="00C87DB1">
      <w:pPr>
        <w:ind w:right="-51"/>
        <w:jc w:val="right"/>
        <w:rPr>
          <w:rFonts w:ascii="Arial" w:hAnsi="Arial" w:cs="Arial"/>
        </w:rPr>
      </w:pPr>
      <w:r w:rsidRPr="007A37E1">
        <w:rPr>
          <w:rFonts w:ascii="Arial" w:hAnsi="Arial" w:cs="Arial"/>
        </w:rPr>
        <w:t>__________________________</w:t>
      </w:r>
    </w:p>
    <w:p w14:paraId="04B98F38" w14:textId="2BE588F5" w:rsidR="008B40EE" w:rsidRPr="007A37E1" w:rsidRDefault="008B40EE" w:rsidP="00C87DB1">
      <w:pPr>
        <w:ind w:right="-51"/>
        <w:jc w:val="right"/>
        <w:rPr>
          <w:rFonts w:ascii="Arial" w:hAnsi="Arial" w:cs="Arial"/>
        </w:rPr>
      </w:pPr>
      <w:r w:rsidRPr="007A37E1">
        <w:rPr>
          <w:rFonts w:ascii="Arial" w:hAnsi="Arial" w:cs="Arial"/>
        </w:rPr>
        <w:t>O ROGERS</w:t>
      </w:r>
    </w:p>
    <w:p w14:paraId="3D5F1AD5" w14:textId="1EC1543B" w:rsidR="008B40EE" w:rsidRPr="007A37E1" w:rsidRDefault="008B40EE" w:rsidP="00C87DB1">
      <w:pPr>
        <w:ind w:right="-51"/>
        <w:jc w:val="right"/>
        <w:rPr>
          <w:rFonts w:ascii="Arial" w:hAnsi="Arial" w:cs="Arial"/>
        </w:rPr>
      </w:pPr>
      <w:r w:rsidRPr="007A37E1">
        <w:rPr>
          <w:rFonts w:ascii="Arial" w:hAnsi="Arial" w:cs="Arial"/>
        </w:rPr>
        <w:t>ACTING JUDGE OF APPEAL</w:t>
      </w:r>
    </w:p>
    <w:p w14:paraId="79C91400" w14:textId="2CAA9602" w:rsidR="00C87DB1" w:rsidRPr="007A37E1" w:rsidRDefault="00C87DB1" w:rsidP="00C87DB1">
      <w:pPr>
        <w:ind w:right="-51"/>
        <w:jc w:val="right"/>
        <w:rPr>
          <w:rFonts w:ascii="Arial" w:hAnsi="Arial" w:cs="Arial"/>
        </w:rPr>
      </w:pPr>
    </w:p>
    <w:p w14:paraId="27499056" w14:textId="77777777" w:rsidR="00C87DB1" w:rsidRPr="007A37E1" w:rsidRDefault="00C87DB1" w:rsidP="00C87DB1">
      <w:pPr>
        <w:ind w:right="-51"/>
        <w:jc w:val="right"/>
        <w:rPr>
          <w:rFonts w:ascii="Arial" w:hAnsi="Arial" w:cs="Arial"/>
          <w:sz w:val="16"/>
          <w:szCs w:val="16"/>
        </w:rPr>
      </w:pPr>
    </w:p>
    <w:p w14:paraId="5E4213C3" w14:textId="0DD6BA0B" w:rsidR="008B40EE" w:rsidRPr="007A37E1" w:rsidRDefault="008B40EE" w:rsidP="00C87DB1">
      <w:pPr>
        <w:ind w:right="-51"/>
        <w:jc w:val="right"/>
        <w:rPr>
          <w:rFonts w:ascii="Arial" w:hAnsi="Arial" w:cs="Arial"/>
        </w:rPr>
      </w:pPr>
    </w:p>
    <w:p w14:paraId="01ABF3DE" w14:textId="4D07EEA4" w:rsidR="008B40EE" w:rsidRPr="007A37E1" w:rsidRDefault="008B40EE" w:rsidP="00C87DB1">
      <w:pPr>
        <w:ind w:right="-51"/>
        <w:jc w:val="right"/>
        <w:rPr>
          <w:rFonts w:ascii="Arial" w:hAnsi="Arial" w:cs="Arial"/>
        </w:rPr>
      </w:pPr>
      <w:r w:rsidRPr="007A37E1">
        <w:rPr>
          <w:rFonts w:ascii="Arial" w:hAnsi="Arial" w:cs="Arial"/>
        </w:rPr>
        <w:t>__________________________</w:t>
      </w:r>
    </w:p>
    <w:p w14:paraId="445AEB49" w14:textId="5E59FE31" w:rsidR="008B40EE" w:rsidRPr="007A37E1" w:rsidRDefault="008B40EE" w:rsidP="00C87DB1">
      <w:pPr>
        <w:ind w:right="-51"/>
        <w:jc w:val="right"/>
        <w:rPr>
          <w:rFonts w:ascii="Arial" w:hAnsi="Arial" w:cs="Arial"/>
        </w:rPr>
      </w:pPr>
      <w:r w:rsidRPr="007A37E1">
        <w:rPr>
          <w:rFonts w:ascii="Arial" w:hAnsi="Arial" w:cs="Arial"/>
        </w:rPr>
        <w:t xml:space="preserve">D </w:t>
      </w:r>
      <w:r w:rsidR="00B62428" w:rsidRPr="007A37E1">
        <w:rPr>
          <w:rFonts w:ascii="Arial" w:hAnsi="Arial" w:cs="Arial"/>
        </w:rPr>
        <w:t xml:space="preserve">N </w:t>
      </w:r>
      <w:r w:rsidRPr="007A37E1">
        <w:rPr>
          <w:rFonts w:ascii="Arial" w:hAnsi="Arial" w:cs="Arial"/>
        </w:rPr>
        <w:t>UNTERHALTER</w:t>
      </w:r>
    </w:p>
    <w:p w14:paraId="39AA16D3" w14:textId="49FC6967" w:rsidR="008B40EE" w:rsidRPr="007A37E1" w:rsidRDefault="008B40EE" w:rsidP="00C87DB1">
      <w:pPr>
        <w:ind w:right="-51"/>
        <w:jc w:val="right"/>
        <w:rPr>
          <w:rFonts w:ascii="Arial" w:hAnsi="Arial" w:cs="Arial"/>
        </w:rPr>
      </w:pPr>
      <w:r w:rsidRPr="007A37E1">
        <w:rPr>
          <w:rFonts w:ascii="Arial" w:hAnsi="Arial" w:cs="Arial"/>
        </w:rPr>
        <w:t>ACTING JUDGE OF APPEAL</w:t>
      </w:r>
    </w:p>
    <w:p w14:paraId="63CFC473" w14:textId="33A9A5F2" w:rsidR="00093030" w:rsidRPr="007A37E1" w:rsidRDefault="006F7041" w:rsidP="00974860">
      <w:pPr>
        <w:spacing w:line="360" w:lineRule="auto"/>
        <w:jc w:val="both"/>
        <w:rPr>
          <w:rFonts w:ascii="Arial" w:hAnsi="Arial" w:cs="Arial"/>
        </w:rPr>
      </w:pPr>
      <w:r w:rsidRPr="007A37E1">
        <w:rPr>
          <w:rFonts w:ascii="Arial" w:hAnsi="Arial" w:cs="Arial"/>
        </w:rPr>
        <w:lastRenderedPageBreak/>
        <w:t>APPEARANCES</w:t>
      </w:r>
    </w:p>
    <w:p w14:paraId="34B06EC8" w14:textId="77777777" w:rsidR="003B40A2" w:rsidRPr="007A37E1" w:rsidRDefault="003B40A2" w:rsidP="00974860">
      <w:pPr>
        <w:spacing w:line="360" w:lineRule="auto"/>
        <w:jc w:val="both"/>
        <w:rPr>
          <w:rFonts w:ascii="Arial" w:hAnsi="Arial" w:cs="Arial"/>
        </w:rPr>
      </w:pPr>
    </w:p>
    <w:p w14:paraId="34224B78" w14:textId="67592ABF" w:rsidR="00B70BB5" w:rsidRPr="007A37E1" w:rsidRDefault="003B40A2" w:rsidP="00974860">
      <w:pPr>
        <w:spacing w:line="360" w:lineRule="auto"/>
        <w:jc w:val="both"/>
        <w:rPr>
          <w:rFonts w:ascii="Arial" w:hAnsi="Arial" w:cs="Arial"/>
        </w:rPr>
      </w:pPr>
      <w:r w:rsidRPr="007A37E1">
        <w:rPr>
          <w:rFonts w:ascii="Arial" w:hAnsi="Arial" w:cs="Arial"/>
        </w:rPr>
        <w:t>For appellant:</w:t>
      </w:r>
      <w:r w:rsidRPr="007A37E1">
        <w:rPr>
          <w:rFonts w:ascii="Arial" w:hAnsi="Arial" w:cs="Arial"/>
        </w:rPr>
        <w:tab/>
      </w:r>
      <w:r w:rsidR="00432F90" w:rsidRPr="007A37E1">
        <w:rPr>
          <w:rFonts w:ascii="Arial" w:hAnsi="Arial" w:cs="Arial"/>
        </w:rPr>
        <w:tab/>
      </w:r>
      <w:r w:rsidR="00257896" w:rsidRPr="007A37E1">
        <w:rPr>
          <w:rFonts w:ascii="Arial" w:hAnsi="Arial" w:cs="Arial"/>
        </w:rPr>
        <w:tab/>
      </w:r>
      <w:r w:rsidR="00B70BB5" w:rsidRPr="007A37E1">
        <w:rPr>
          <w:rFonts w:ascii="Arial" w:hAnsi="Arial" w:cs="Arial"/>
        </w:rPr>
        <w:t xml:space="preserve">W Trengove SC, with him M Phaswane, A Hassim </w:t>
      </w:r>
    </w:p>
    <w:p w14:paraId="6F96C3EC" w14:textId="7425878A" w:rsidR="003B40A2" w:rsidRPr="007A37E1" w:rsidRDefault="00B70BB5" w:rsidP="00974860">
      <w:pPr>
        <w:spacing w:line="360" w:lineRule="auto"/>
        <w:jc w:val="both"/>
        <w:rPr>
          <w:rFonts w:ascii="Arial" w:hAnsi="Arial" w:cs="Arial"/>
        </w:rPr>
      </w:pPr>
      <w:r w:rsidRPr="007A37E1">
        <w:rPr>
          <w:rFonts w:ascii="Arial" w:hAnsi="Arial" w:cs="Arial"/>
        </w:rPr>
        <w:t xml:space="preserve">                                                 </w:t>
      </w:r>
      <w:r w:rsidRPr="007A37E1">
        <w:rPr>
          <w:rFonts w:ascii="Arial" w:hAnsi="Arial" w:cs="Arial"/>
        </w:rPr>
        <w:tab/>
        <w:t>and I Cloete</w:t>
      </w:r>
    </w:p>
    <w:p w14:paraId="044CF545" w14:textId="60F82D78" w:rsidR="00AD6EF4" w:rsidRPr="007A37E1" w:rsidRDefault="00432F90" w:rsidP="00974860">
      <w:pPr>
        <w:spacing w:line="360" w:lineRule="auto"/>
        <w:jc w:val="both"/>
        <w:rPr>
          <w:rFonts w:ascii="Arial" w:hAnsi="Arial" w:cs="Arial"/>
        </w:rPr>
      </w:pPr>
      <w:r w:rsidRPr="007A37E1">
        <w:rPr>
          <w:rFonts w:ascii="Arial" w:hAnsi="Arial" w:cs="Arial"/>
          <w:bCs/>
        </w:rPr>
        <w:t>Instructed by:</w:t>
      </w:r>
      <w:r w:rsidRPr="007A37E1">
        <w:rPr>
          <w:rFonts w:ascii="Arial" w:hAnsi="Arial" w:cs="Arial"/>
          <w:bCs/>
        </w:rPr>
        <w:tab/>
      </w:r>
      <w:r w:rsidRPr="007A37E1">
        <w:rPr>
          <w:rFonts w:ascii="Arial" w:hAnsi="Arial" w:cs="Arial"/>
          <w:bCs/>
        </w:rPr>
        <w:tab/>
      </w:r>
      <w:r w:rsidR="003B40A2" w:rsidRPr="007A37E1">
        <w:rPr>
          <w:rFonts w:ascii="Arial" w:hAnsi="Arial" w:cs="Arial"/>
          <w:bCs/>
        </w:rPr>
        <w:t xml:space="preserve"> </w:t>
      </w:r>
      <w:r w:rsidR="00B84DB2" w:rsidRPr="007A37E1">
        <w:rPr>
          <w:rFonts w:ascii="Arial" w:hAnsi="Arial" w:cs="Arial"/>
          <w:bCs/>
        </w:rPr>
        <w:tab/>
      </w:r>
      <w:r w:rsidR="00B70BB5" w:rsidRPr="007A37E1">
        <w:rPr>
          <w:rFonts w:ascii="Arial" w:hAnsi="Arial" w:cs="Arial"/>
        </w:rPr>
        <w:t>State Attorney, Pretoria</w:t>
      </w:r>
    </w:p>
    <w:p w14:paraId="10378056" w14:textId="25EBBE7E" w:rsidR="003B40A2" w:rsidRPr="007A37E1" w:rsidRDefault="009F57D6" w:rsidP="00974860">
      <w:pPr>
        <w:spacing w:line="360" w:lineRule="auto"/>
        <w:jc w:val="both"/>
        <w:rPr>
          <w:rFonts w:ascii="Arial" w:hAnsi="Arial" w:cs="Arial"/>
          <w:bCs/>
        </w:rPr>
      </w:pPr>
      <w:r w:rsidRPr="007A37E1">
        <w:rPr>
          <w:rFonts w:ascii="Arial" w:hAnsi="Arial" w:cs="Arial"/>
          <w:bCs/>
        </w:rPr>
        <w:tab/>
      </w:r>
      <w:r w:rsidR="00B625EE" w:rsidRPr="007A37E1">
        <w:rPr>
          <w:rFonts w:ascii="Arial" w:hAnsi="Arial" w:cs="Arial"/>
          <w:bCs/>
        </w:rPr>
        <w:tab/>
      </w:r>
      <w:r w:rsidR="00B625EE" w:rsidRPr="007A37E1">
        <w:rPr>
          <w:rFonts w:ascii="Arial" w:hAnsi="Arial" w:cs="Arial"/>
          <w:bCs/>
        </w:rPr>
        <w:tab/>
      </w:r>
      <w:r w:rsidR="00257896" w:rsidRPr="007A37E1">
        <w:rPr>
          <w:rFonts w:ascii="Arial" w:hAnsi="Arial" w:cs="Arial"/>
          <w:bCs/>
        </w:rPr>
        <w:tab/>
      </w:r>
      <w:r w:rsidR="00B70BB5" w:rsidRPr="007A37E1">
        <w:rPr>
          <w:rFonts w:ascii="Arial" w:hAnsi="Arial" w:cs="Arial"/>
          <w:bCs/>
        </w:rPr>
        <w:t>State Attorney</w:t>
      </w:r>
      <w:r w:rsidR="003B40A2" w:rsidRPr="007A37E1">
        <w:rPr>
          <w:rFonts w:ascii="Arial" w:hAnsi="Arial" w:cs="Arial"/>
          <w:bCs/>
        </w:rPr>
        <w:t>, Bloemfontein</w:t>
      </w:r>
    </w:p>
    <w:p w14:paraId="3C432195" w14:textId="77777777" w:rsidR="003B40A2" w:rsidRPr="007A37E1" w:rsidRDefault="003B40A2" w:rsidP="00974860">
      <w:pPr>
        <w:spacing w:line="360" w:lineRule="auto"/>
        <w:jc w:val="both"/>
        <w:rPr>
          <w:rFonts w:ascii="Arial" w:hAnsi="Arial" w:cs="Arial"/>
          <w:bCs/>
        </w:rPr>
      </w:pPr>
      <w:r w:rsidRPr="007A37E1">
        <w:rPr>
          <w:rFonts w:ascii="Arial" w:hAnsi="Arial" w:cs="Arial"/>
          <w:bCs/>
        </w:rPr>
        <w:t xml:space="preserve"> </w:t>
      </w:r>
    </w:p>
    <w:p w14:paraId="766C2FC3" w14:textId="0E4FFA4D" w:rsidR="003B40A2" w:rsidRPr="007A37E1" w:rsidRDefault="003B40A2" w:rsidP="00974860">
      <w:pPr>
        <w:spacing w:line="360" w:lineRule="auto"/>
        <w:jc w:val="both"/>
        <w:rPr>
          <w:rFonts w:ascii="Arial" w:hAnsi="Arial" w:cs="Arial"/>
        </w:rPr>
      </w:pPr>
      <w:r w:rsidRPr="007A37E1">
        <w:rPr>
          <w:rFonts w:ascii="Arial" w:hAnsi="Arial" w:cs="Arial"/>
        </w:rPr>
        <w:t>For</w:t>
      </w:r>
      <w:r w:rsidR="00432F90" w:rsidRPr="007A37E1">
        <w:rPr>
          <w:rFonts w:ascii="Arial" w:hAnsi="Arial" w:cs="Arial"/>
        </w:rPr>
        <w:t xml:space="preserve"> </w:t>
      </w:r>
      <w:r w:rsidRPr="007A37E1">
        <w:rPr>
          <w:rFonts w:ascii="Arial" w:hAnsi="Arial" w:cs="Arial"/>
        </w:rPr>
        <w:t>respondent</w:t>
      </w:r>
      <w:r w:rsidR="00AD6EF4" w:rsidRPr="007A37E1">
        <w:rPr>
          <w:rFonts w:ascii="Arial" w:hAnsi="Arial" w:cs="Arial"/>
        </w:rPr>
        <w:t>s</w:t>
      </w:r>
      <w:r w:rsidRPr="007A37E1">
        <w:rPr>
          <w:rFonts w:ascii="Arial" w:hAnsi="Arial" w:cs="Arial"/>
        </w:rPr>
        <w:t>:</w:t>
      </w:r>
      <w:r w:rsidRPr="007A37E1">
        <w:rPr>
          <w:rFonts w:ascii="Arial" w:hAnsi="Arial" w:cs="Arial"/>
        </w:rPr>
        <w:tab/>
      </w:r>
      <w:r w:rsidR="00B625EE" w:rsidRPr="007A37E1">
        <w:rPr>
          <w:rFonts w:ascii="Arial" w:hAnsi="Arial" w:cs="Arial"/>
        </w:rPr>
        <w:tab/>
      </w:r>
      <w:r w:rsidR="00B70BB5" w:rsidRPr="007A37E1">
        <w:rPr>
          <w:rFonts w:ascii="Arial" w:hAnsi="Arial" w:cs="Arial"/>
        </w:rPr>
        <w:t xml:space="preserve">Reyno Dawid </w:t>
      </w:r>
      <w:r w:rsidR="006F7041" w:rsidRPr="007A37E1">
        <w:rPr>
          <w:rFonts w:ascii="Arial" w:hAnsi="Arial" w:cs="Arial"/>
        </w:rPr>
        <w:t>d</w:t>
      </w:r>
      <w:r w:rsidR="00B70BB5" w:rsidRPr="007A37E1">
        <w:rPr>
          <w:rFonts w:ascii="Arial" w:hAnsi="Arial" w:cs="Arial"/>
        </w:rPr>
        <w:t xml:space="preserve">e Beer </w:t>
      </w:r>
      <w:r w:rsidR="00F70759" w:rsidRPr="007A37E1">
        <w:rPr>
          <w:rFonts w:ascii="Arial" w:hAnsi="Arial" w:cs="Arial"/>
        </w:rPr>
        <w:t>(</w:t>
      </w:r>
      <w:r w:rsidR="00B70BB5" w:rsidRPr="007A37E1">
        <w:rPr>
          <w:rFonts w:ascii="Arial" w:hAnsi="Arial" w:cs="Arial"/>
        </w:rPr>
        <w:t>in person</w:t>
      </w:r>
      <w:r w:rsidR="00F70759" w:rsidRPr="007A37E1">
        <w:rPr>
          <w:rFonts w:ascii="Arial" w:hAnsi="Arial" w:cs="Arial"/>
        </w:rPr>
        <w:t>)</w:t>
      </w:r>
    </w:p>
    <w:p w14:paraId="1366622A" w14:textId="117DAF0C" w:rsidR="00B70BB5" w:rsidRPr="007A37E1" w:rsidRDefault="00B70BB5" w:rsidP="00974860">
      <w:pPr>
        <w:spacing w:line="360" w:lineRule="auto"/>
        <w:jc w:val="both"/>
        <w:rPr>
          <w:rFonts w:ascii="Arial" w:hAnsi="Arial" w:cs="Arial"/>
        </w:rPr>
      </w:pPr>
    </w:p>
    <w:p w14:paraId="1DB11B74" w14:textId="59F5C603" w:rsidR="00B70BB5" w:rsidRPr="007A37E1" w:rsidRDefault="00B70BB5" w:rsidP="00974860">
      <w:pPr>
        <w:spacing w:line="360" w:lineRule="auto"/>
        <w:jc w:val="both"/>
        <w:rPr>
          <w:rFonts w:ascii="Arial" w:hAnsi="Arial" w:cs="Arial"/>
        </w:rPr>
      </w:pPr>
      <w:r w:rsidRPr="007A37E1">
        <w:rPr>
          <w:rFonts w:ascii="Arial" w:hAnsi="Arial" w:cs="Arial"/>
        </w:rPr>
        <w:t xml:space="preserve">For </w:t>
      </w:r>
      <w:r w:rsidR="006F7041" w:rsidRPr="007A37E1">
        <w:rPr>
          <w:rFonts w:ascii="Arial" w:hAnsi="Arial" w:cs="Arial"/>
        </w:rPr>
        <w:t>s</w:t>
      </w:r>
      <w:r w:rsidR="007A549D" w:rsidRPr="007A37E1">
        <w:rPr>
          <w:rFonts w:ascii="Arial" w:hAnsi="Arial" w:cs="Arial"/>
        </w:rPr>
        <w:t xml:space="preserve">econd </w:t>
      </w:r>
      <w:r w:rsidR="006F7041" w:rsidRPr="007A37E1">
        <w:rPr>
          <w:rFonts w:ascii="Arial" w:hAnsi="Arial" w:cs="Arial"/>
        </w:rPr>
        <w:t>a</w:t>
      </w:r>
      <w:r w:rsidR="007A549D" w:rsidRPr="007A37E1">
        <w:rPr>
          <w:rFonts w:ascii="Arial" w:hAnsi="Arial" w:cs="Arial"/>
        </w:rPr>
        <w:t xml:space="preserve">micus </w:t>
      </w:r>
      <w:r w:rsidR="006F7041" w:rsidRPr="007A37E1">
        <w:rPr>
          <w:rFonts w:ascii="Arial" w:hAnsi="Arial" w:cs="Arial"/>
        </w:rPr>
        <w:t>c</w:t>
      </w:r>
      <w:r w:rsidR="007A549D" w:rsidRPr="007A37E1">
        <w:rPr>
          <w:rFonts w:ascii="Arial" w:hAnsi="Arial" w:cs="Arial"/>
        </w:rPr>
        <w:t>uriae:</w:t>
      </w:r>
      <w:r w:rsidR="007A549D" w:rsidRPr="007A37E1">
        <w:rPr>
          <w:rFonts w:ascii="Arial" w:hAnsi="Arial" w:cs="Arial"/>
        </w:rPr>
        <w:tab/>
      </w:r>
      <w:r w:rsidR="00020EA2" w:rsidRPr="007A37E1">
        <w:rPr>
          <w:rFonts w:ascii="Arial" w:hAnsi="Arial" w:cs="Arial"/>
        </w:rPr>
        <w:t xml:space="preserve">G Budlender SC, </w:t>
      </w:r>
      <w:r w:rsidRPr="007A37E1">
        <w:rPr>
          <w:rFonts w:ascii="Arial" w:hAnsi="Arial" w:cs="Arial"/>
        </w:rPr>
        <w:t>with him N Nyembe</w:t>
      </w:r>
    </w:p>
    <w:p w14:paraId="29C6AB3F" w14:textId="62457C66" w:rsidR="00020EA2" w:rsidRPr="007A37E1" w:rsidRDefault="00020EA2" w:rsidP="00974860">
      <w:pPr>
        <w:spacing w:line="360" w:lineRule="auto"/>
        <w:ind w:left="3404" w:hanging="3404"/>
        <w:jc w:val="both"/>
        <w:rPr>
          <w:rFonts w:ascii="Arial" w:hAnsi="Arial" w:cs="Arial"/>
        </w:rPr>
      </w:pPr>
      <w:r w:rsidRPr="007A37E1">
        <w:rPr>
          <w:rFonts w:ascii="Arial" w:hAnsi="Arial" w:cs="Arial"/>
        </w:rPr>
        <w:t>Instructed by:</w:t>
      </w:r>
      <w:r w:rsidRPr="007A37E1">
        <w:rPr>
          <w:rFonts w:ascii="Arial" w:hAnsi="Arial" w:cs="Arial"/>
        </w:rPr>
        <w:tab/>
      </w:r>
      <w:r w:rsidRPr="007A37E1">
        <w:rPr>
          <w:rFonts w:ascii="Arial" w:hAnsi="Arial" w:cs="Arial"/>
        </w:rPr>
        <w:tab/>
        <w:t>Norton Rose Fulbright South Africa Inc, Johannesburg</w:t>
      </w:r>
    </w:p>
    <w:p w14:paraId="487CA369" w14:textId="229E1347" w:rsidR="00020EA2" w:rsidRPr="00C0457F" w:rsidRDefault="00020EA2" w:rsidP="00974860">
      <w:pPr>
        <w:spacing w:line="360" w:lineRule="auto"/>
        <w:ind w:left="3404" w:hanging="3404"/>
        <w:jc w:val="both"/>
        <w:rPr>
          <w:rFonts w:ascii="Arial" w:hAnsi="Arial" w:cs="Arial"/>
        </w:rPr>
      </w:pPr>
      <w:r w:rsidRPr="007A37E1">
        <w:rPr>
          <w:rFonts w:ascii="Arial" w:hAnsi="Arial" w:cs="Arial"/>
        </w:rPr>
        <w:tab/>
      </w:r>
      <w:r w:rsidRPr="007A37E1">
        <w:rPr>
          <w:rFonts w:ascii="Arial" w:hAnsi="Arial" w:cs="Arial"/>
        </w:rPr>
        <w:tab/>
        <w:t>Lovius Block, Bloemfontein</w:t>
      </w:r>
    </w:p>
    <w:sectPr w:rsidR="00020EA2" w:rsidRPr="00C0457F" w:rsidSect="00C76E5C">
      <w:headerReference w:type="even" r:id="rId9"/>
      <w:headerReference w:type="default" r:id="rId10"/>
      <w:pgSz w:w="12240" w:h="15840"/>
      <w:pgMar w:top="284" w:right="1440" w:bottom="1440" w:left="1440" w:header="720" w:footer="720" w:gutter="0"/>
      <w:cols w:space="720"/>
      <w:titlePg/>
      <w:docGrid w:linePitch="360"/>
      <w15:footnoteColumns w:val="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3CEA9D" w16cid:durableId="2485BC7D"/>
  <w16cid:commentId w16cid:paraId="787A501B" w16cid:durableId="2485BC7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1CCC3" w14:textId="77777777" w:rsidR="00DF4904" w:rsidRDefault="00DF4904">
      <w:r>
        <w:separator/>
      </w:r>
    </w:p>
  </w:endnote>
  <w:endnote w:type="continuationSeparator" w:id="0">
    <w:p w14:paraId="0CCBA865" w14:textId="77777777" w:rsidR="00DF4904" w:rsidRDefault="00DF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20F4E" w14:textId="77777777" w:rsidR="00DF4904" w:rsidRDefault="00DF4904">
      <w:r>
        <w:separator/>
      </w:r>
    </w:p>
  </w:footnote>
  <w:footnote w:type="continuationSeparator" w:id="0">
    <w:p w14:paraId="72F5400F" w14:textId="77777777" w:rsidR="00DF4904" w:rsidRDefault="00DF4904">
      <w:r>
        <w:continuationSeparator/>
      </w:r>
    </w:p>
  </w:footnote>
  <w:footnote w:id="1">
    <w:p w14:paraId="768A5C95" w14:textId="23B18C65" w:rsidR="00AF3222" w:rsidRPr="007A37E1" w:rsidRDefault="00AF3222" w:rsidP="001B6C08">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The objectives of the Act are set out in s 9. Section 6 provides for the establishment of a National Disaster Management Centre. Section 29, for Provincial Disaster Management Centres and s 43, for Municipal Disaster Management Centres.  </w:t>
      </w:r>
    </w:p>
  </w:footnote>
  <w:footnote w:id="2">
    <w:p w14:paraId="4A0C9534" w14:textId="721C5787" w:rsidR="00AF3222" w:rsidRPr="007A37E1" w:rsidRDefault="00AF3222" w:rsidP="001B6C08">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lang w:val="en-US"/>
        </w:rPr>
        <w:t xml:space="preserve">Section 27(1) of the Act provides for the declaration of a national state of disaster by the Minister, if existing legislation and contingency arrangements do not adequately provide for the national executive to deal effectively with the disaster, or other special circumstances warrant the declaration of a national state of disaster. Pursuant thereto, s 27(2), subject to subsection 3, bestows wide powers on the Minister, after consulting the responsible Cabinet member, to make regulations concerning, amongst others, the movement of people, the occupation of premises, the sale of alcoholic beverages and the implementation of the provisions of a national disaster management plan.                    </w:t>
      </w:r>
    </w:p>
  </w:footnote>
  <w:footnote w:id="3">
    <w:p w14:paraId="5FE4BD5C" w14:textId="0360A1D4" w:rsidR="00AF3222" w:rsidRPr="007A37E1" w:rsidRDefault="00AF3222" w:rsidP="006F14CC">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lang w:val="en-US"/>
        </w:rPr>
        <w:t>Section 37(1) of the Constitution provides:</w:t>
      </w:r>
    </w:p>
    <w:p w14:paraId="1498CCCB" w14:textId="0D34D44E" w:rsidR="00AF3222" w:rsidRPr="007A37E1" w:rsidRDefault="00AF3222" w:rsidP="008505A4">
      <w:pPr>
        <w:pStyle w:val="FootnoteText"/>
        <w:tabs>
          <w:tab w:val="left" w:pos="426"/>
        </w:tabs>
        <w:jc w:val="both"/>
        <w:rPr>
          <w:rFonts w:ascii="Arial" w:hAnsi="Arial" w:cs="Arial"/>
          <w:lang w:val="en-US"/>
        </w:rPr>
      </w:pPr>
      <w:r w:rsidRPr="007A37E1">
        <w:rPr>
          <w:rFonts w:ascii="Arial" w:hAnsi="Arial" w:cs="Arial"/>
          <w:lang w:val="en-US"/>
        </w:rPr>
        <w:t>‘(1)  A state of emergency may be declared only in terms of an Act of Parliament, and only when–</w:t>
      </w:r>
    </w:p>
    <w:p w14:paraId="4D721EDF" w14:textId="70451FB5" w:rsidR="00AF3222" w:rsidRPr="007A37E1" w:rsidRDefault="00AF3222" w:rsidP="006F14CC">
      <w:pPr>
        <w:pStyle w:val="FootnoteText"/>
        <w:jc w:val="both"/>
        <w:rPr>
          <w:rFonts w:ascii="Arial" w:hAnsi="Arial" w:cs="Arial"/>
          <w:lang w:val="en-US"/>
        </w:rPr>
      </w:pPr>
      <w:r w:rsidRPr="007A37E1">
        <w:rPr>
          <w:rFonts w:ascii="Arial" w:hAnsi="Arial" w:cs="Arial"/>
          <w:i/>
          <w:lang w:val="en-US"/>
        </w:rPr>
        <w:t>(a)</w:t>
      </w:r>
      <w:r w:rsidRPr="007A37E1">
        <w:rPr>
          <w:rFonts w:ascii="Arial" w:hAnsi="Arial" w:cs="Arial"/>
          <w:lang w:val="en-US"/>
        </w:rPr>
        <w:t xml:space="preserve">  the life of the nation is threatened by war, invasion, general insurrection, disorder, natural disaster or other public emergency; and</w:t>
      </w:r>
    </w:p>
    <w:p w14:paraId="3B0686E4" w14:textId="5CE96847" w:rsidR="00AF3222" w:rsidRPr="007A37E1" w:rsidRDefault="00AF3222" w:rsidP="006F14CC">
      <w:pPr>
        <w:pStyle w:val="FootnoteText"/>
        <w:jc w:val="both"/>
        <w:rPr>
          <w:rFonts w:ascii="Arial" w:hAnsi="Arial" w:cs="Arial"/>
          <w:lang w:val="en-US"/>
        </w:rPr>
      </w:pPr>
      <w:r w:rsidRPr="007A37E1">
        <w:rPr>
          <w:rFonts w:ascii="Arial" w:hAnsi="Arial" w:cs="Arial"/>
          <w:i/>
          <w:lang w:val="en-US"/>
        </w:rPr>
        <w:t>(b)</w:t>
      </w:r>
      <w:r w:rsidRPr="007A37E1">
        <w:rPr>
          <w:rFonts w:ascii="Arial" w:hAnsi="Arial" w:cs="Arial"/>
          <w:lang w:val="en-US"/>
        </w:rPr>
        <w:t xml:space="preserve">  the declaration is necessary to restore peace and order.’  </w:t>
      </w:r>
    </w:p>
  </w:footnote>
  <w:footnote w:id="4">
    <w:p w14:paraId="12D96FEE" w14:textId="77777777" w:rsidR="00AF3222" w:rsidRPr="007A37E1" w:rsidRDefault="00AF3222" w:rsidP="004A1F06">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The long title of the Act reads:</w:t>
      </w:r>
    </w:p>
    <w:p w14:paraId="5805D80B" w14:textId="7420368B" w:rsidR="00AF3222" w:rsidRPr="007A37E1" w:rsidRDefault="00AF3222" w:rsidP="00BC2660">
      <w:pPr>
        <w:pStyle w:val="FootnoteText"/>
        <w:jc w:val="both"/>
        <w:rPr>
          <w:rFonts w:ascii="Arial" w:hAnsi="Arial" w:cs="Arial"/>
          <w:bCs/>
        </w:rPr>
      </w:pPr>
      <w:r w:rsidRPr="007A37E1">
        <w:rPr>
          <w:rFonts w:ascii="Arial" w:hAnsi="Arial" w:cs="Arial"/>
        </w:rPr>
        <w:t>‘</w:t>
      </w:r>
      <w:r w:rsidRPr="007A37E1">
        <w:rPr>
          <w:rFonts w:ascii="Arial" w:hAnsi="Arial" w:cs="Arial"/>
          <w:bCs/>
        </w:rPr>
        <w:t>To provide for—</w:t>
      </w:r>
    </w:p>
    <w:p w14:paraId="2D1CEA1D" w14:textId="71821CBB" w:rsidR="00AF3222" w:rsidRPr="007A37E1" w:rsidRDefault="00AF3222" w:rsidP="004A1F06">
      <w:pPr>
        <w:pStyle w:val="FootnoteText"/>
        <w:numPr>
          <w:ilvl w:val="0"/>
          <w:numId w:val="24"/>
        </w:numPr>
        <w:ind w:left="284" w:hanging="284"/>
        <w:jc w:val="both"/>
        <w:rPr>
          <w:rFonts w:ascii="Arial" w:hAnsi="Arial" w:cs="Arial"/>
          <w:bCs/>
        </w:rPr>
      </w:pPr>
      <w:r w:rsidRPr="007A37E1">
        <w:rPr>
          <w:rFonts w:ascii="Arial" w:hAnsi="Arial" w:cs="Arial"/>
          <w:bCs/>
        </w:rPr>
        <w:t>an integrated and co-ordinated disaster management policy that focuses on preventing or reducing the risk of disasters, mitigating the severity of disasters, emergency preparedness, rapid and effective response to disasters and post-disaster recovery and rehabilitation;</w:t>
      </w:r>
    </w:p>
    <w:p w14:paraId="5334527C" w14:textId="3247FB36" w:rsidR="00AF3222" w:rsidRPr="007A37E1" w:rsidRDefault="00AF3222" w:rsidP="004A1F06">
      <w:pPr>
        <w:pStyle w:val="FootnoteText"/>
        <w:numPr>
          <w:ilvl w:val="0"/>
          <w:numId w:val="24"/>
        </w:numPr>
        <w:ind w:left="284" w:hanging="284"/>
        <w:jc w:val="both"/>
        <w:rPr>
          <w:rFonts w:ascii="Arial" w:hAnsi="Arial" w:cs="Arial"/>
          <w:bCs/>
        </w:rPr>
      </w:pPr>
      <w:r w:rsidRPr="007A37E1">
        <w:rPr>
          <w:rFonts w:ascii="Arial" w:hAnsi="Arial" w:cs="Arial"/>
          <w:bCs/>
        </w:rPr>
        <w:t>the establishment and functioning of national, provincial and municipal disaster management centres;</w:t>
      </w:r>
    </w:p>
    <w:p w14:paraId="4332E6A3" w14:textId="176D06A6" w:rsidR="00AF3222" w:rsidRPr="007A37E1" w:rsidRDefault="00AF3222" w:rsidP="004A1F06">
      <w:pPr>
        <w:pStyle w:val="FootnoteText"/>
        <w:numPr>
          <w:ilvl w:val="0"/>
          <w:numId w:val="24"/>
        </w:numPr>
        <w:ind w:left="284" w:hanging="284"/>
        <w:jc w:val="both"/>
        <w:rPr>
          <w:rFonts w:ascii="Arial" w:hAnsi="Arial" w:cs="Arial"/>
          <w:bCs/>
        </w:rPr>
      </w:pPr>
      <w:r w:rsidRPr="007A37E1">
        <w:rPr>
          <w:rFonts w:ascii="Arial" w:hAnsi="Arial" w:cs="Arial"/>
          <w:bCs/>
        </w:rPr>
        <w:t>disaster management volunteers; and</w:t>
      </w:r>
    </w:p>
    <w:p w14:paraId="218A2EE3" w14:textId="67E3F3C1" w:rsidR="00AF3222" w:rsidRPr="007A37E1" w:rsidRDefault="00AF3222" w:rsidP="00BC2660">
      <w:pPr>
        <w:pStyle w:val="FootnoteText"/>
        <w:numPr>
          <w:ilvl w:val="0"/>
          <w:numId w:val="24"/>
        </w:numPr>
        <w:ind w:left="284" w:hanging="284"/>
        <w:jc w:val="both"/>
        <w:rPr>
          <w:rFonts w:ascii="Arial" w:hAnsi="Arial" w:cs="Arial"/>
          <w:b/>
          <w:bCs/>
        </w:rPr>
      </w:pPr>
      <w:r w:rsidRPr="007A37E1">
        <w:rPr>
          <w:rFonts w:ascii="Arial" w:hAnsi="Arial" w:cs="Arial"/>
          <w:bCs/>
        </w:rPr>
        <w:t>matters incidental thereto.’</w:t>
      </w:r>
    </w:p>
  </w:footnote>
  <w:footnote w:id="5">
    <w:p w14:paraId="2A91E15A" w14:textId="5851E701" w:rsidR="00AF3222" w:rsidRPr="007A37E1" w:rsidRDefault="00AF3222" w:rsidP="00E54CE9">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South Africa is a member of the WHO. Its international health regulations are binding on members and form part of international law. Its recommendations are invariably followed by member states.</w:t>
      </w:r>
    </w:p>
  </w:footnote>
  <w:footnote w:id="6">
    <w:p w14:paraId="52A7F10D" w14:textId="51FF7F42" w:rsidR="00AF3222" w:rsidRPr="007A37E1" w:rsidRDefault="00AF3222" w:rsidP="00877483">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rPr>
        <w:t>Mohamed and Others v President of the Republic of South Africa and Others</w:t>
      </w:r>
      <w:r w:rsidRPr="007A37E1">
        <w:rPr>
          <w:rFonts w:ascii="Arial" w:hAnsi="Arial" w:cs="Arial"/>
        </w:rPr>
        <w:t xml:space="preserve"> [2020] ZAGPPHC 120; [2020] 2 All SA 844; 2020 (7) BCLR 865; 2020 (5) SA 553 (GP). </w:t>
      </w:r>
      <w:r w:rsidRPr="007A37E1">
        <w:rPr>
          <w:rFonts w:ascii="Arial" w:hAnsi="Arial" w:cs="Arial"/>
          <w:lang w:val="en-US"/>
        </w:rPr>
        <w:t xml:space="preserve">In </w:t>
      </w:r>
      <w:r w:rsidRPr="007A37E1">
        <w:rPr>
          <w:rFonts w:ascii="Arial" w:hAnsi="Arial" w:cs="Arial"/>
          <w:i/>
          <w:lang w:val="en-US"/>
        </w:rPr>
        <w:t>Mohamed</w:t>
      </w:r>
      <w:r w:rsidRPr="007A37E1">
        <w:rPr>
          <w:rFonts w:ascii="Arial" w:hAnsi="Arial" w:cs="Arial"/>
          <w:lang w:val="en-US"/>
        </w:rPr>
        <w:t xml:space="preserve">, </w:t>
      </w:r>
      <w:r w:rsidRPr="007A37E1">
        <w:rPr>
          <w:rFonts w:ascii="Arial" w:hAnsi="Arial" w:cs="Arial"/>
        </w:rPr>
        <w:t>the question was whether the refusal to allow an exemption to permit congregational worship, in terms of regulations issued under the Act, were reasonable and justifiable in the circumstances under which the regulations were promulgated. The court held that the virulent nature of the pandemic, the rate of infection, and the high risk of exponential infection meant that the social distancing measures put into place had to be enforced as far as possible.</w:t>
      </w:r>
      <w:r w:rsidRPr="007A37E1">
        <w:rPr>
          <w:rFonts w:ascii="Arial" w:hAnsi="Arial" w:cs="Arial"/>
          <w:shd w:val="clear" w:color="auto" w:fill="FFFFFF"/>
        </w:rPr>
        <w:t xml:space="preserve"> </w:t>
      </w:r>
      <w:r w:rsidRPr="007A37E1">
        <w:rPr>
          <w:rFonts w:ascii="Arial" w:hAnsi="Arial" w:cs="Arial"/>
        </w:rPr>
        <w:t>Granting relief of the nature sought, would be tantamount to opening the floodgates. The restrictions imposed were neither unreasonable nor unjustifiable. The application thus failed.</w:t>
      </w:r>
    </w:p>
  </w:footnote>
  <w:footnote w:id="7">
    <w:p w14:paraId="504B8557" w14:textId="11D3A8EE" w:rsidR="00AF3222" w:rsidRPr="007A37E1" w:rsidRDefault="00AF3222" w:rsidP="00C70CE0">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lang w:val="en-US"/>
        </w:rPr>
        <w:t>Section 165(4) reads as follows:</w:t>
      </w:r>
    </w:p>
    <w:p w14:paraId="7C474BD2" w14:textId="000462CB" w:rsidR="00AF3222" w:rsidRPr="007A37E1" w:rsidRDefault="00AF3222" w:rsidP="00C70CE0">
      <w:pPr>
        <w:pStyle w:val="FootnoteText"/>
        <w:jc w:val="both"/>
        <w:rPr>
          <w:rFonts w:ascii="Arial" w:hAnsi="Arial" w:cs="Arial"/>
          <w:lang w:val="en-US"/>
        </w:rPr>
      </w:pPr>
      <w:r w:rsidRPr="007A37E1">
        <w:rPr>
          <w:rFonts w:ascii="Arial" w:hAnsi="Arial" w:cs="Arial"/>
          <w:lang w:val="en-US"/>
        </w:rPr>
        <w:t xml:space="preserve">‘Organs of state, through legislative and other measures, must assist and protect the courts to ensure the independence, impartiality, dignity, accessibility and effectiveness of the courts.’  </w:t>
      </w:r>
    </w:p>
  </w:footnote>
  <w:footnote w:id="8">
    <w:p w14:paraId="4CAB13F2" w14:textId="77777777" w:rsidR="00AF3222" w:rsidRPr="007A37E1" w:rsidRDefault="00AF3222" w:rsidP="00C70CE0">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lang w:val="en-US"/>
        </w:rPr>
        <w:t xml:space="preserve">Section 8(3) reads as follows: </w:t>
      </w:r>
    </w:p>
    <w:p w14:paraId="5634A2BC" w14:textId="218A622C" w:rsidR="00AF3222" w:rsidRPr="007A37E1" w:rsidRDefault="00AF3222" w:rsidP="00C70CE0">
      <w:pPr>
        <w:pStyle w:val="FootnoteText"/>
        <w:jc w:val="both"/>
        <w:rPr>
          <w:rFonts w:ascii="Arial" w:hAnsi="Arial" w:cs="Arial"/>
          <w:lang w:val="en-US"/>
        </w:rPr>
      </w:pPr>
      <w:r w:rsidRPr="007A37E1">
        <w:rPr>
          <w:rFonts w:ascii="Arial" w:hAnsi="Arial" w:cs="Arial"/>
          <w:lang w:val="en-US"/>
        </w:rPr>
        <w:t>‘The Chief Justice may, subject to subsection (5), issue written protocols or directives, or give guidance or advice, to judicial officers–</w:t>
      </w:r>
    </w:p>
    <w:p w14:paraId="3C53F26B" w14:textId="77777777" w:rsidR="00AF3222" w:rsidRPr="007A37E1" w:rsidRDefault="00AF3222" w:rsidP="00B45905">
      <w:pPr>
        <w:pStyle w:val="FootnoteText"/>
        <w:numPr>
          <w:ilvl w:val="0"/>
          <w:numId w:val="22"/>
        </w:numPr>
        <w:ind w:left="567" w:hanging="567"/>
        <w:jc w:val="both"/>
        <w:rPr>
          <w:rFonts w:ascii="Arial" w:hAnsi="Arial" w:cs="Arial"/>
          <w:lang w:val="en-US"/>
        </w:rPr>
      </w:pPr>
      <w:r w:rsidRPr="007A37E1">
        <w:rPr>
          <w:rFonts w:ascii="Arial" w:hAnsi="Arial" w:cs="Arial"/>
          <w:lang w:val="en-US"/>
        </w:rPr>
        <w:t>in respect of norms and standards for the performance of the judicial functions as contemplated in subsection (6); and</w:t>
      </w:r>
    </w:p>
    <w:p w14:paraId="7B87D0D4" w14:textId="3E80B4AA" w:rsidR="00AF3222" w:rsidRPr="007A37E1" w:rsidRDefault="00AF3222" w:rsidP="00B45905">
      <w:pPr>
        <w:pStyle w:val="FootnoteText"/>
        <w:numPr>
          <w:ilvl w:val="0"/>
          <w:numId w:val="22"/>
        </w:numPr>
        <w:ind w:left="567" w:hanging="567"/>
        <w:jc w:val="both"/>
        <w:rPr>
          <w:rFonts w:ascii="Arial" w:hAnsi="Arial" w:cs="Arial"/>
          <w:lang w:val="en-US"/>
        </w:rPr>
      </w:pPr>
      <w:r w:rsidRPr="007A37E1">
        <w:rPr>
          <w:rFonts w:ascii="Arial" w:hAnsi="Arial" w:cs="Arial"/>
          <w:lang w:val="en-US"/>
        </w:rPr>
        <w:t xml:space="preserve">regarding any matter affecting the dignity, accessibility, effectiveness, efficiency or functioning of the courts.’    </w:t>
      </w:r>
    </w:p>
    <w:p w14:paraId="24634CAE" w14:textId="255A3C9A" w:rsidR="00AF3222" w:rsidRPr="007A37E1" w:rsidRDefault="00AF3222" w:rsidP="00C70CE0">
      <w:pPr>
        <w:pStyle w:val="FootnoteText"/>
        <w:jc w:val="both"/>
        <w:rPr>
          <w:rFonts w:ascii="Arial" w:hAnsi="Arial" w:cs="Arial"/>
          <w:lang w:val="en-US"/>
        </w:rPr>
      </w:pPr>
      <w:r w:rsidRPr="007A37E1">
        <w:rPr>
          <w:rFonts w:ascii="Arial" w:hAnsi="Arial" w:cs="Arial"/>
          <w:lang w:val="en-US"/>
        </w:rPr>
        <w:t xml:space="preserve">Subsection (5) permits directive only if the majority of the heads of court agree and makes it obligatory to have it published in the Government Gazette. These directives were so published in GN 43117, </w:t>
      </w:r>
      <w:r w:rsidRPr="007A37E1">
        <w:rPr>
          <w:rFonts w:ascii="Arial" w:hAnsi="Arial" w:cs="Arial"/>
          <w:i/>
          <w:lang w:val="en-US"/>
        </w:rPr>
        <w:t>GG</w:t>
      </w:r>
      <w:r w:rsidRPr="007A37E1">
        <w:rPr>
          <w:rFonts w:ascii="Arial" w:hAnsi="Arial" w:cs="Arial"/>
          <w:lang w:val="en-US"/>
        </w:rPr>
        <w:t xml:space="preserve">187, 20 March 2020. </w:t>
      </w:r>
    </w:p>
  </w:footnote>
  <w:footnote w:id="9">
    <w:p w14:paraId="3DA04B88" w14:textId="61246859" w:rsidR="00AF3222" w:rsidRPr="007A37E1" w:rsidRDefault="00AF3222" w:rsidP="008301A3">
      <w:pPr>
        <w:pStyle w:val="Comment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The WHO declared COVID-19 outbreak a pandemic on 11 March 2020.</w:t>
      </w:r>
    </w:p>
  </w:footnote>
  <w:footnote w:id="10">
    <w:p w14:paraId="108165D6" w14:textId="39E6D64A" w:rsidR="00AF3222" w:rsidRPr="007A37E1" w:rsidRDefault="00AF3222" w:rsidP="00C70CE0">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lang w:val="en-US"/>
        </w:rPr>
        <w:t>Section 34 of the Constitution provides:</w:t>
      </w:r>
    </w:p>
    <w:p w14:paraId="4F2C862D" w14:textId="77777777" w:rsidR="00AF3222" w:rsidRPr="007A37E1" w:rsidRDefault="00AF3222" w:rsidP="00C70CE0">
      <w:pPr>
        <w:pStyle w:val="FootnoteText"/>
        <w:jc w:val="both"/>
        <w:rPr>
          <w:rFonts w:ascii="Arial" w:hAnsi="Arial" w:cs="Arial"/>
          <w:lang w:val="en-US"/>
        </w:rPr>
      </w:pPr>
      <w:r w:rsidRPr="007A37E1">
        <w:rPr>
          <w:rFonts w:ascii="Arial" w:hAnsi="Arial" w:cs="Arial"/>
          <w:lang w:val="en-US"/>
        </w:rPr>
        <w:t xml:space="preserve">‘Everyone has the right to have any dispute that can be resolved by the application of law decided in a fair public hearing before a court or, where appropriate, another independent and impartial tribunal or forum.’ </w:t>
      </w:r>
    </w:p>
    <w:p w14:paraId="7A245877" w14:textId="77777777" w:rsidR="00AF3222" w:rsidRPr="007A37E1" w:rsidRDefault="00AF3222" w:rsidP="00C70CE0">
      <w:pPr>
        <w:pStyle w:val="FootnoteText"/>
        <w:jc w:val="both"/>
        <w:rPr>
          <w:rFonts w:ascii="Arial" w:hAnsi="Arial" w:cs="Arial"/>
          <w:lang w:val="en-US"/>
        </w:rPr>
      </w:pPr>
      <w:r w:rsidRPr="007A37E1">
        <w:rPr>
          <w:rFonts w:ascii="Arial" w:hAnsi="Arial" w:cs="Arial"/>
          <w:lang w:val="en-US"/>
        </w:rPr>
        <w:t>Section 32 of the Superior Courts Act reads as follows:</w:t>
      </w:r>
    </w:p>
    <w:p w14:paraId="5F62D18D" w14:textId="77777777" w:rsidR="00AF3222" w:rsidRPr="007A37E1" w:rsidRDefault="00AF3222" w:rsidP="00C70CE0">
      <w:pPr>
        <w:pStyle w:val="FootnoteText"/>
        <w:jc w:val="both"/>
        <w:rPr>
          <w:rFonts w:ascii="Arial" w:hAnsi="Arial" w:cs="Arial"/>
          <w:lang w:val="en-US"/>
        </w:rPr>
      </w:pPr>
      <w:r w:rsidRPr="007A37E1">
        <w:rPr>
          <w:rFonts w:ascii="Arial" w:hAnsi="Arial" w:cs="Arial"/>
          <w:lang w:val="en-US"/>
        </w:rPr>
        <w:t xml:space="preserve">‘Save as is otherwise provided for in this Act or any other law, all proceedings in any Superior Court must, except in so far as any such court may in special cases otherwise direct, be carried on in open court.’ </w:t>
      </w:r>
    </w:p>
  </w:footnote>
  <w:footnote w:id="11">
    <w:p w14:paraId="3207A8D5" w14:textId="4767A337" w:rsidR="00AF3222" w:rsidRPr="007A37E1" w:rsidRDefault="00AF3222" w:rsidP="002A7F50">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This could be done by dispatching them by post to the local correspondents or to the court directly.</w:t>
      </w:r>
    </w:p>
  </w:footnote>
  <w:footnote w:id="12">
    <w:p w14:paraId="7CF11465" w14:textId="4041B63C" w:rsidR="00AF3222" w:rsidRPr="007A37E1" w:rsidRDefault="00AF3222" w:rsidP="003113B9">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‘4. General Powers and Duties of Registrar.</w:t>
      </w:r>
    </w:p>
    <w:p w14:paraId="33F90167" w14:textId="6227CAF0" w:rsidR="00AF3222" w:rsidRPr="007A37E1" w:rsidRDefault="00AF3222" w:rsidP="003113B9">
      <w:pPr>
        <w:pStyle w:val="FootnoteText"/>
        <w:jc w:val="both"/>
        <w:rPr>
          <w:rFonts w:ascii="Arial" w:hAnsi="Arial" w:cs="Arial"/>
        </w:rPr>
      </w:pPr>
      <w:r w:rsidRPr="007A37E1">
        <w:rPr>
          <w:rFonts w:ascii="Arial" w:hAnsi="Arial" w:cs="Arial"/>
        </w:rPr>
        <w:t>(1) Filing of documents.</w:t>
      </w:r>
    </w:p>
    <w:p w14:paraId="2BA14649" w14:textId="634FA3A3" w:rsidR="00AF3222" w:rsidRPr="007A37E1" w:rsidRDefault="00AF3222" w:rsidP="003113B9">
      <w:pPr>
        <w:pStyle w:val="FootnoteText"/>
        <w:jc w:val="both"/>
        <w:rPr>
          <w:rFonts w:ascii="Arial" w:hAnsi="Arial" w:cs="Arial"/>
        </w:rPr>
      </w:pPr>
      <w:r w:rsidRPr="007A37E1">
        <w:rPr>
          <w:rFonts w:ascii="Arial" w:hAnsi="Arial" w:cs="Arial"/>
        </w:rPr>
        <w:t>. . .</w:t>
      </w:r>
    </w:p>
    <w:p w14:paraId="61115A51" w14:textId="5C04EEFD" w:rsidR="00AF3222" w:rsidRPr="007A37E1" w:rsidRDefault="00AF3222" w:rsidP="003113B9">
      <w:pPr>
        <w:pStyle w:val="FootnoteText"/>
        <w:jc w:val="both"/>
        <w:rPr>
          <w:rFonts w:ascii="Arial" w:hAnsi="Arial" w:cs="Arial"/>
        </w:rPr>
      </w:pPr>
      <w:r w:rsidRPr="007A37E1">
        <w:rPr>
          <w:rFonts w:ascii="Arial" w:hAnsi="Arial" w:cs="Arial"/>
          <w:i/>
        </w:rPr>
        <w:t xml:space="preserve">(b) </w:t>
      </w:r>
      <w:r w:rsidRPr="007A37E1">
        <w:rPr>
          <w:rFonts w:ascii="Arial" w:hAnsi="Arial" w:cs="Arial"/>
        </w:rPr>
        <w:t>The registrar may provisionally accept, in lieu of the original document tendered for lodging, a copy (including a facsimile or other electronic copy) thereof, but the original shall be filed within 10 days thereafter.’</w:t>
      </w:r>
    </w:p>
  </w:footnote>
  <w:footnote w:id="13">
    <w:p w14:paraId="6D0E0608" w14:textId="540BF3D3" w:rsidR="00AF3222" w:rsidRPr="007A37E1" w:rsidRDefault="00AF3222" w:rsidP="00C70CE0">
      <w:pPr>
        <w:pStyle w:val="FootnoteText"/>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lang w:val="en-US"/>
        </w:rPr>
        <w:t>De Villiers v De Villiers</w:t>
      </w:r>
      <w:r w:rsidRPr="007A37E1">
        <w:rPr>
          <w:rFonts w:ascii="Arial" w:hAnsi="Arial" w:cs="Arial"/>
          <w:lang w:val="en-US"/>
        </w:rPr>
        <w:t xml:space="preserve"> 2021 [2021] ZAGPPHC 209; JDR 0596 (GP); paras 5-6. See also </w:t>
      </w:r>
      <w:r w:rsidRPr="007A37E1">
        <w:rPr>
          <w:rFonts w:ascii="Arial" w:hAnsi="Arial" w:cs="Arial"/>
          <w:i/>
          <w:lang w:val="en-US"/>
        </w:rPr>
        <w:t xml:space="preserve">Union-Swiss (Proprietary) Limited v Govender and Others </w:t>
      </w:r>
      <w:r w:rsidRPr="007A37E1">
        <w:rPr>
          <w:rFonts w:ascii="Arial" w:hAnsi="Arial" w:cs="Arial"/>
          <w:lang w:val="en-US"/>
        </w:rPr>
        <w:t>[2020] ZAKZDHC 30; 2021 (1) SA 578 (KZD) para 26.</w:t>
      </w:r>
    </w:p>
  </w:footnote>
  <w:footnote w:id="14">
    <w:p w14:paraId="0A783DC1" w14:textId="27B48250" w:rsidR="00AF3222" w:rsidRPr="007A37E1" w:rsidRDefault="00AF3222">
      <w:pPr>
        <w:pStyle w:val="FootnoteText"/>
        <w:rPr>
          <w:rFonts w:ascii="Arial" w:hAnsi="Arial" w:cs="Arial"/>
          <w:lang w:val="en-GB"/>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rPr>
        <w:t>Uitenhage Transitional Local Council v South African Revenue Services</w:t>
      </w:r>
      <w:r w:rsidRPr="007A37E1">
        <w:rPr>
          <w:rFonts w:ascii="Arial" w:hAnsi="Arial" w:cs="Arial"/>
        </w:rPr>
        <w:t xml:space="preserve"> 2004 (1) SA 292 (SCA) paras 6 and 11.</w:t>
      </w:r>
    </w:p>
  </w:footnote>
  <w:footnote w:id="15">
    <w:p w14:paraId="4E765C76" w14:textId="018FF3BA" w:rsidR="00AF3222" w:rsidRPr="007A37E1" w:rsidRDefault="00AF3222" w:rsidP="00AF488F">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lang w:val="en-US"/>
        </w:rPr>
        <w:t xml:space="preserve">See the most recent expression of the principle expressed in </w:t>
      </w:r>
      <w:r w:rsidRPr="007A37E1">
        <w:rPr>
          <w:rFonts w:ascii="Arial" w:hAnsi="Arial" w:cs="Arial"/>
          <w:i/>
          <w:iCs/>
          <w:lang w:val="en-US"/>
        </w:rPr>
        <w:t xml:space="preserve">Oudekraal Estates (Pty) Ltd v The City of Cape Town and Others </w:t>
      </w:r>
      <w:r w:rsidRPr="007A37E1">
        <w:rPr>
          <w:rFonts w:ascii="Arial" w:hAnsi="Arial" w:cs="Arial"/>
          <w:lang w:val="en-US"/>
        </w:rPr>
        <w:t>[2009] ZASCA 85 (SCA)</w:t>
      </w:r>
      <w:r w:rsidRPr="007A37E1">
        <w:rPr>
          <w:rFonts w:ascii="Arial" w:hAnsi="Arial" w:cs="Arial"/>
          <w:i/>
          <w:iCs/>
          <w:lang w:val="en-US"/>
        </w:rPr>
        <w:t xml:space="preserve"> </w:t>
      </w:r>
      <w:r w:rsidRPr="007A37E1">
        <w:rPr>
          <w:rFonts w:ascii="Arial" w:hAnsi="Arial" w:cs="Arial"/>
          <w:lang w:val="en-US"/>
        </w:rPr>
        <w:t xml:space="preserve">in </w:t>
      </w:r>
      <w:r w:rsidRPr="007A37E1">
        <w:rPr>
          <w:rFonts w:ascii="Arial" w:hAnsi="Arial" w:cs="Arial"/>
          <w:i/>
          <w:iCs/>
          <w:lang w:val="en-US"/>
        </w:rPr>
        <w:t xml:space="preserve">Magnificent Mile Trading 30 (Pty) Limited v Charmaine Celliers NO and Others </w:t>
      </w:r>
      <w:r w:rsidRPr="007A37E1">
        <w:rPr>
          <w:rFonts w:ascii="Arial" w:hAnsi="Arial" w:cs="Arial"/>
          <w:lang w:val="en-US"/>
        </w:rPr>
        <w:t>[2019] ZACC 36; 2020 (1) BCLR 41;</w:t>
      </w:r>
      <w:r w:rsidRPr="007A37E1">
        <w:rPr>
          <w:rFonts w:ascii="Arial" w:hAnsi="Arial" w:cs="Arial"/>
          <w:i/>
          <w:iCs/>
          <w:lang w:val="en-US"/>
        </w:rPr>
        <w:t xml:space="preserve"> </w:t>
      </w:r>
      <w:r w:rsidRPr="007A37E1">
        <w:rPr>
          <w:rFonts w:ascii="Arial" w:hAnsi="Arial" w:cs="Arial"/>
          <w:lang w:val="en-US"/>
        </w:rPr>
        <w:t>2020 (4) SA 375 (CC).</w:t>
      </w:r>
    </w:p>
  </w:footnote>
  <w:footnote w:id="16">
    <w:p w14:paraId="75447865" w14:textId="732B9CC9" w:rsidR="00AF3222" w:rsidRPr="007A37E1" w:rsidRDefault="00AF3222" w:rsidP="00AF488F">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iCs/>
          <w:lang w:val="en-US"/>
        </w:rPr>
        <w:t xml:space="preserve">Qoboshiyane NO and Others v Avusa Publishing Eastern Cape (Pty) Ltd and Others </w:t>
      </w:r>
      <w:r w:rsidRPr="007A37E1">
        <w:rPr>
          <w:rFonts w:ascii="Arial" w:hAnsi="Arial" w:cs="Arial"/>
          <w:shd w:val="clear" w:color="auto" w:fill="FFFFFF"/>
        </w:rPr>
        <w:t xml:space="preserve">[2012] ZASCA 166; </w:t>
      </w:r>
      <w:r w:rsidRPr="007A37E1">
        <w:rPr>
          <w:rFonts w:ascii="Arial" w:hAnsi="Arial" w:cs="Arial"/>
          <w:lang w:val="en-US"/>
        </w:rPr>
        <w:t>2013 (3) SA 315 (SCA) para 3.</w:t>
      </w:r>
    </w:p>
  </w:footnote>
  <w:footnote w:id="17">
    <w:p w14:paraId="321E4439" w14:textId="65FC0A02" w:rsidR="00AF3222" w:rsidRPr="007A37E1" w:rsidRDefault="00AF3222" w:rsidP="0048320A">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iCs/>
        </w:rPr>
        <w:t>Western Cape Education Department &amp; Another</w:t>
      </w:r>
      <w:r w:rsidRPr="007A37E1">
        <w:rPr>
          <w:rFonts w:ascii="Arial" w:hAnsi="Arial" w:cs="Arial"/>
        </w:rPr>
        <w:t> </w:t>
      </w:r>
      <w:r w:rsidRPr="007A37E1">
        <w:rPr>
          <w:rFonts w:ascii="Arial" w:hAnsi="Arial" w:cs="Arial"/>
          <w:i/>
          <w:iCs/>
        </w:rPr>
        <w:t>v George</w:t>
      </w:r>
      <w:r w:rsidRPr="007A37E1">
        <w:rPr>
          <w:rFonts w:ascii="Arial" w:hAnsi="Arial" w:cs="Arial"/>
        </w:rPr>
        <w:t xml:space="preserve"> [1998] ZASCA 26; [1998] 2 All SA 623; </w:t>
      </w:r>
      <w:r w:rsidRPr="007A37E1">
        <w:rPr>
          <w:rStyle w:val="Hyperlink"/>
          <w:rFonts w:ascii="Arial" w:hAnsi="Arial" w:cs="Arial"/>
          <w:bCs/>
          <w:color w:val="auto"/>
          <w:u w:val="none"/>
        </w:rPr>
        <w:t>1998 (3) SA 77</w:t>
      </w:r>
      <w:r w:rsidRPr="007A37E1">
        <w:rPr>
          <w:rFonts w:ascii="Arial" w:hAnsi="Arial" w:cs="Arial"/>
        </w:rPr>
        <w:t xml:space="preserve"> (SCA) at 84E. </w:t>
      </w:r>
    </w:p>
  </w:footnote>
  <w:footnote w:id="18">
    <w:p w14:paraId="594FD2E5" w14:textId="7791C57C" w:rsidR="00AF3222" w:rsidRPr="007A37E1" w:rsidRDefault="00AF3222" w:rsidP="005E2F4C">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See </w:t>
      </w:r>
      <w:r w:rsidRPr="007A37E1">
        <w:rPr>
          <w:rFonts w:ascii="Arial" w:hAnsi="Arial" w:cs="Arial"/>
          <w:i/>
          <w:iCs/>
        </w:rPr>
        <w:t>inter alia</w:t>
      </w:r>
      <w:r w:rsidRPr="007A37E1">
        <w:rPr>
          <w:rFonts w:ascii="Arial" w:hAnsi="Arial" w:cs="Arial"/>
        </w:rPr>
        <w:t xml:space="preserve"> </w:t>
      </w:r>
      <w:r w:rsidRPr="007A37E1">
        <w:rPr>
          <w:rFonts w:ascii="Arial" w:hAnsi="Arial" w:cs="Arial"/>
          <w:i/>
        </w:rPr>
        <w:t xml:space="preserve">Ex Parte Chairperson of the Constitutional Assembly: In Re Certification of the Constitution of the Republic of South Africa </w:t>
      </w:r>
      <w:r w:rsidRPr="007A37E1">
        <w:rPr>
          <w:rFonts w:ascii="Arial" w:hAnsi="Arial" w:cs="Arial"/>
        </w:rPr>
        <w:t xml:space="preserve">[1996] ZACC 26; 1996 (4) SA 744 (CC) paras 110-111; </w:t>
      </w:r>
      <w:r w:rsidRPr="007A37E1">
        <w:rPr>
          <w:rFonts w:ascii="Arial" w:hAnsi="Arial" w:cs="Arial"/>
          <w:i/>
        </w:rPr>
        <w:t xml:space="preserve">De Lange v Smuts NO and Others </w:t>
      </w:r>
      <w:r w:rsidRPr="007A37E1">
        <w:rPr>
          <w:rFonts w:ascii="Arial" w:hAnsi="Arial" w:cs="Arial"/>
        </w:rPr>
        <w:t>[1998] ZACC 6;</w:t>
      </w:r>
      <w:r w:rsidRPr="007A37E1">
        <w:rPr>
          <w:rFonts w:ascii="Arial" w:hAnsi="Arial" w:cs="Arial"/>
          <w:i/>
        </w:rPr>
        <w:t xml:space="preserve"> </w:t>
      </w:r>
      <w:r w:rsidRPr="007A37E1">
        <w:rPr>
          <w:rFonts w:ascii="Arial" w:hAnsi="Arial" w:cs="Arial"/>
        </w:rPr>
        <w:t>1998 (3) SA 785 (CC) paras 60-61.</w:t>
      </w:r>
    </w:p>
  </w:footnote>
  <w:footnote w:id="19">
    <w:p w14:paraId="57348F8E" w14:textId="4EDFB78F" w:rsidR="00AF3222" w:rsidRPr="007A37E1" w:rsidRDefault="00AF3222" w:rsidP="005E2F4C">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rPr>
        <w:t>National Director of Public Prosecutions v Zuma</w:t>
      </w:r>
      <w:r w:rsidRPr="007A37E1">
        <w:rPr>
          <w:rFonts w:ascii="Arial" w:hAnsi="Arial" w:cs="Arial"/>
        </w:rPr>
        <w:t xml:space="preserve"> [2009] ZASCA 1; 2009 (2) SA 277; 2009 (1) SACR 361; 2009 (4) BCLR 393; [2009] 2 All SA 243 (SCA) paras 15 and 16.</w:t>
      </w:r>
    </w:p>
  </w:footnote>
  <w:footnote w:id="20">
    <w:p w14:paraId="7DBEC778" w14:textId="6F2DB563" w:rsidR="00AF3222" w:rsidRPr="007A37E1" w:rsidRDefault="00AF3222" w:rsidP="00F65ADD">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rPr>
        <w:t>Fischer and Another v Ramahlele and Others</w:t>
      </w:r>
      <w:r w:rsidRPr="007A37E1">
        <w:rPr>
          <w:rFonts w:ascii="Arial" w:hAnsi="Arial" w:cs="Arial"/>
        </w:rPr>
        <w:t xml:space="preserve"> [2014] ZASCA 88; 2014 (4) SA 614; [2014] 3 All SA 395 (SCA) paras 13-15. In </w:t>
      </w:r>
      <w:r w:rsidRPr="007A37E1">
        <w:rPr>
          <w:rFonts w:ascii="Arial" w:hAnsi="Arial" w:cs="Arial"/>
          <w:i/>
        </w:rPr>
        <w:t xml:space="preserve">South African Police Service v Solidarity obo Barnard </w:t>
      </w:r>
      <w:r w:rsidRPr="007A37E1">
        <w:rPr>
          <w:rFonts w:ascii="Arial" w:hAnsi="Arial" w:cs="Arial"/>
        </w:rPr>
        <w:t>[2014] ZACC 23; 2014 (6) SA 123; [2014] 11 BLLR 1025; 2014 (10) BCLR 1195; (2014) 35 ILJ 2981 (CC) paras 217-218, the Constitutional Court put it thus:</w:t>
      </w:r>
    </w:p>
    <w:p w14:paraId="2E17B845" w14:textId="2784F4AA" w:rsidR="00AF3222" w:rsidRPr="007A37E1" w:rsidRDefault="00AF3222" w:rsidP="00F65ADD">
      <w:pPr>
        <w:pStyle w:val="FootnoteText"/>
        <w:jc w:val="both"/>
        <w:rPr>
          <w:rFonts w:ascii="Arial" w:hAnsi="Arial" w:cs="Arial"/>
        </w:rPr>
      </w:pPr>
      <w:r w:rsidRPr="007A37E1">
        <w:rPr>
          <w:rFonts w:ascii="Arial" w:hAnsi="Arial" w:cs="Arial"/>
        </w:rPr>
        <w:t>‘The general principle of our law is that it is the parties themselves who identify and raise issues to be determined by a court.  The parties may have their own reasons for not raising an issue which the court finds interesting or important to determine.  The scope of what falls to be determined depends on what the pleadings contain.  In </w:t>
      </w:r>
      <w:r w:rsidRPr="007A37E1">
        <w:rPr>
          <w:rFonts w:ascii="Arial" w:hAnsi="Arial" w:cs="Arial"/>
          <w:i/>
          <w:iCs/>
        </w:rPr>
        <w:t>CUSA</w:t>
      </w:r>
      <w:r w:rsidRPr="007A37E1">
        <w:rPr>
          <w:rFonts w:ascii="Arial" w:hAnsi="Arial" w:cs="Arial"/>
        </w:rPr>
        <w:t>, this Court formulated the principle in these terms:</w:t>
      </w:r>
    </w:p>
    <w:p w14:paraId="5F04E9CF" w14:textId="77777777" w:rsidR="00AF3222" w:rsidRPr="007A37E1" w:rsidRDefault="00AF3222" w:rsidP="00F65ADD">
      <w:pPr>
        <w:pStyle w:val="FootnoteText"/>
        <w:jc w:val="both"/>
        <w:rPr>
          <w:rFonts w:ascii="Arial" w:hAnsi="Arial" w:cs="Arial"/>
        </w:rPr>
      </w:pPr>
      <w:r w:rsidRPr="007A37E1">
        <w:rPr>
          <w:rFonts w:ascii="Arial" w:hAnsi="Arial" w:cs="Arial"/>
        </w:rPr>
        <w:t>“Subject to what is stated in the following paragraph, the role of the reviewing court is limited to deciding issues that are raised in the review proceedings.  It may not, on its own, raise issues which were not raised by the party who seeks to review an arbitral award.  There is much to be said for the submission by the workers that it is not for the reviewing court to tell a litigant what it should complain about.  In particular, the [Labour Relations Act] specifies the grounds upon which arbitral awards may be reviewed.  A party who seeks to review an arbitral award is bound by the grounds contained in the review application.  A litigant may not, on appeal, raise a new ground of review.  To permit a party to do so may very well undermine the objective of the [Labour Relations Act] to have labour disputes resolved as speedily as possible.”</w:t>
      </w:r>
    </w:p>
    <w:p w14:paraId="750B9A47" w14:textId="77777777" w:rsidR="00AF3222" w:rsidRPr="007A37E1" w:rsidRDefault="00AF3222" w:rsidP="00F65ADD">
      <w:pPr>
        <w:pStyle w:val="FootnoteText"/>
        <w:jc w:val="both"/>
        <w:rPr>
          <w:rFonts w:ascii="Arial" w:hAnsi="Arial" w:cs="Arial"/>
        </w:rPr>
      </w:pPr>
      <w:r w:rsidRPr="007A37E1">
        <w:rPr>
          <w:rFonts w:ascii="Arial" w:hAnsi="Arial" w:cs="Arial"/>
        </w:rPr>
        <w:t>However, this principle is subject to one exception.  The point raised </w:t>
      </w:r>
      <w:r w:rsidRPr="007A37E1">
        <w:rPr>
          <w:rFonts w:ascii="Arial" w:hAnsi="Arial" w:cs="Arial"/>
          <w:i/>
          <w:iCs/>
        </w:rPr>
        <w:t>mero motu</w:t>
      </w:r>
      <w:r w:rsidRPr="007A37E1">
        <w:rPr>
          <w:rFonts w:ascii="Arial" w:hAnsi="Arial" w:cs="Arial"/>
        </w:rPr>
        <w:t> by the Court must be apparent from the papers in the sense that it was sufficiently canvassed and established by the facts, and that its determination must be necessary for the proper adjudication of the case.  Elaborating on the exception in </w:t>
      </w:r>
      <w:r w:rsidRPr="007A37E1">
        <w:rPr>
          <w:rFonts w:ascii="Arial" w:hAnsi="Arial" w:cs="Arial"/>
          <w:i/>
          <w:iCs/>
        </w:rPr>
        <w:t>CUSA</w:t>
      </w:r>
      <w:r w:rsidRPr="007A37E1">
        <w:rPr>
          <w:rFonts w:ascii="Arial" w:hAnsi="Arial" w:cs="Arial"/>
        </w:rPr>
        <w:t>, this Court said:</w:t>
      </w:r>
    </w:p>
    <w:p w14:paraId="09284CB2" w14:textId="5AD17EFC" w:rsidR="00AF3222" w:rsidRPr="007A37E1" w:rsidRDefault="00AF3222" w:rsidP="001566DD">
      <w:pPr>
        <w:pStyle w:val="FootnoteText"/>
        <w:rPr>
          <w:rFonts w:ascii="Arial" w:hAnsi="Arial" w:cs="Arial"/>
        </w:rPr>
      </w:pPr>
      <w:r w:rsidRPr="007A37E1">
        <w:rPr>
          <w:rFonts w:ascii="Arial" w:hAnsi="Arial" w:cs="Arial"/>
        </w:rPr>
        <w:t>“Where a point of law is apparent on the papers, but the common approach of the parties proceeds on a wrong perception of what the law is, a court is not only entitled, but is in fact also obliged, </w:t>
      </w:r>
      <w:r w:rsidRPr="007A37E1">
        <w:rPr>
          <w:rFonts w:ascii="Arial" w:hAnsi="Arial" w:cs="Arial"/>
          <w:i/>
          <w:iCs/>
        </w:rPr>
        <w:t>mero motu</w:t>
      </w:r>
      <w:r w:rsidRPr="007A37E1">
        <w:rPr>
          <w:rFonts w:ascii="Arial" w:hAnsi="Arial" w:cs="Arial"/>
        </w:rPr>
        <w:t>, to raise the point of law and require the parties to deal therewith.  Otherwise, the result would be a decision premised on an incorrect application of the law.  That would infringe the principle of legality.”’</w:t>
      </w:r>
    </w:p>
  </w:footnote>
  <w:footnote w:id="21">
    <w:p w14:paraId="1ABECCC8" w14:textId="77777777" w:rsidR="00AF3222" w:rsidRPr="007A37E1" w:rsidRDefault="00AF3222" w:rsidP="00862259">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Rule 53 provides:</w:t>
      </w:r>
    </w:p>
    <w:p w14:paraId="24C2E668" w14:textId="32E79515" w:rsidR="00AF3222" w:rsidRPr="007A37E1" w:rsidRDefault="00AF3222" w:rsidP="00862259">
      <w:pPr>
        <w:pStyle w:val="FootnoteText"/>
        <w:jc w:val="both"/>
        <w:rPr>
          <w:rFonts w:ascii="Arial" w:hAnsi="Arial" w:cs="Arial"/>
        </w:rPr>
      </w:pPr>
      <w:bookmarkStart w:id="1" w:name="0-0-0-41103"/>
      <w:bookmarkEnd w:id="1"/>
      <w:r w:rsidRPr="007A37E1">
        <w:rPr>
          <w:rFonts w:ascii="Arial" w:hAnsi="Arial" w:cs="Arial"/>
        </w:rPr>
        <w:t>‘(1) Save where any law otherwise provides, all proceedings to bring under review the decision or proceedings of any inferior court and of any tribunal, board or officer performing judicial, quasi-judicial or administrative functions shall be by way of notice of motion directed and delivered by the party seeking to review such decision or proceedings to the magistrate, presiding officer or chairman of the court, tribunal or board or to the officer, as the case may be, and to all other parties affected-</w:t>
      </w:r>
    </w:p>
    <w:p w14:paraId="640DDDC6" w14:textId="77777777" w:rsidR="00AF3222" w:rsidRPr="007A37E1" w:rsidRDefault="00AF3222" w:rsidP="00862259">
      <w:pPr>
        <w:pStyle w:val="FootnoteText"/>
        <w:jc w:val="both"/>
        <w:rPr>
          <w:rFonts w:ascii="Arial" w:hAnsi="Arial" w:cs="Arial"/>
        </w:rPr>
      </w:pPr>
      <w:r w:rsidRPr="007A37E1">
        <w:rPr>
          <w:rFonts w:ascii="Arial" w:hAnsi="Arial" w:cs="Arial"/>
          <w:i/>
        </w:rPr>
        <w:t>(a)</w:t>
      </w:r>
      <w:r w:rsidRPr="007A37E1">
        <w:rPr>
          <w:rFonts w:ascii="Arial" w:hAnsi="Arial" w:cs="Arial"/>
        </w:rPr>
        <w:t xml:space="preserve"> calling upon such persons to show cause why such decision or proceedings should not be reviewed and corrected or set aside, and</w:t>
      </w:r>
    </w:p>
    <w:p w14:paraId="0301E567" w14:textId="77777777" w:rsidR="00AF3222" w:rsidRPr="007A37E1" w:rsidRDefault="00AF3222" w:rsidP="00862259">
      <w:pPr>
        <w:pStyle w:val="FootnoteText"/>
        <w:jc w:val="both"/>
        <w:rPr>
          <w:rFonts w:ascii="Arial" w:hAnsi="Arial" w:cs="Arial"/>
        </w:rPr>
      </w:pPr>
      <w:bookmarkStart w:id="2" w:name="0-0-0-41105"/>
      <w:bookmarkEnd w:id="2"/>
      <w:r w:rsidRPr="007A37E1">
        <w:rPr>
          <w:rFonts w:ascii="Arial" w:hAnsi="Arial" w:cs="Arial"/>
          <w:i/>
        </w:rPr>
        <w:t>(b)</w:t>
      </w:r>
      <w:r w:rsidRPr="007A37E1">
        <w:rPr>
          <w:rFonts w:ascii="Arial" w:hAnsi="Arial" w:cs="Arial"/>
        </w:rPr>
        <w:t xml:space="preserve"> calling upon the magistrate, presiding officer, chairman or officer, as the case may be, to dispatch, within fifteen days after receipt of the notice of motion, to the registrar the record of such proceedings sought to be corrected or set aside, together with such reasons as he is by law required or desires to give or make, and to notify the applicant that he has done so.</w:t>
      </w:r>
    </w:p>
    <w:p w14:paraId="7ACA462E" w14:textId="2644306D" w:rsidR="00AF3222" w:rsidRPr="007A37E1" w:rsidRDefault="00AF3222" w:rsidP="00862259">
      <w:pPr>
        <w:pStyle w:val="FootnoteText"/>
        <w:jc w:val="both"/>
        <w:rPr>
          <w:rFonts w:ascii="Arial" w:hAnsi="Arial" w:cs="Arial"/>
        </w:rPr>
      </w:pPr>
      <w:bookmarkStart w:id="3" w:name="0-0-0-41107"/>
      <w:bookmarkEnd w:id="3"/>
      <w:r w:rsidRPr="007A37E1">
        <w:rPr>
          <w:rFonts w:ascii="Arial" w:hAnsi="Arial" w:cs="Arial"/>
        </w:rPr>
        <w:t>(2) The notice of motion shall set out the decision or proceedings sought to be reviewed and shall be supported by affidavit setting out the grounds and the facts and circumstances upon which applicant relies to have the decision or proceedings set aside or corrected.</w:t>
      </w:r>
    </w:p>
    <w:p w14:paraId="3CF34188" w14:textId="7E2AEC08" w:rsidR="00AF3222" w:rsidRPr="007A37E1" w:rsidRDefault="00AF3222" w:rsidP="00862259">
      <w:pPr>
        <w:pStyle w:val="FootnoteText"/>
        <w:jc w:val="both"/>
        <w:rPr>
          <w:rFonts w:ascii="Arial" w:hAnsi="Arial" w:cs="Arial"/>
        </w:rPr>
      </w:pPr>
      <w:bookmarkStart w:id="4" w:name="0-0-0-41109"/>
      <w:bookmarkEnd w:id="4"/>
      <w:r w:rsidRPr="007A37E1">
        <w:rPr>
          <w:rFonts w:ascii="Arial" w:hAnsi="Arial" w:cs="Arial"/>
        </w:rPr>
        <w:t>(3) The registrar shall make available to the applicant the record dispatched to him as aforesaid upon such terms as the registrar thinks appropriate to ensure its safety, and the applicant shall thereupon cause copies of such portions of the record as may be necessary for the purposes of the review to be made and shall furnish the registrar with two copies and each of the other parties with one copy thereof, in each case certified by the applicant as true copies. The costs of transcription, if any, shall be borne by the applicant and shall be costs in the cause.</w:t>
      </w:r>
    </w:p>
    <w:p w14:paraId="5B25E1AF" w14:textId="2C63931A" w:rsidR="00AF3222" w:rsidRPr="007A37E1" w:rsidRDefault="00AF3222" w:rsidP="00862259">
      <w:pPr>
        <w:pStyle w:val="FootnoteText"/>
        <w:jc w:val="both"/>
        <w:rPr>
          <w:rFonts w:ascii="Arial" w:hAnsi="Arial" w:cs="Arial"/>
        </w:rPr>
      </w:pPr>
      <w:bookmarkStart w:id="5" w:name="0-0-0-41111"/>
      <w:bookmarkEnd w:id="5"/>
      <w:r w:rsidRPr="007A37E1">
        <w:rPr>
          <w:rFonts w:ascii="Arial" w:hAnsi="Arial" w:cs="Arial"/>
        </w:rPr>
        <w:t>(4) The applicant may within ten days after the registrar has made the record available to him, by delivery of a notice and accompanying affidavit, amend, add to or vary the terms of his notice of motion and supplement the supporting affidavit.</w:t>
      </w:r>
    </w:p>
    <w:p w14:paraId="574FEA43" w14:textId="66762CBB" w:rsidR="00AF3222" w:rsidRPr="007A37E1" w:rsidRDefault="00AF3222" w:rsidP="00862259">
      <w:pPr>
        <w:pStyle w:val="FootnoteText"/>
        <w:jc w:val="both"/>
        <w:rPr>
          <w:rFonts w:ascii="Arial" w:hAnsi="Arial" w:cs="Arial"/>
        </w:rPr>
      </w:pPr>
      <w:bookmarkStart w:id="6" w:name="0-0-0-41113"/>
      <w:bookmarkEnd w:id="6"/>
      <w:r w:rsidRPr="007A37E1">
        <w:rPr>
          <w:rFonts w:ascii="Arial" w:hAnsi="Arial" w:cs="Arial"/>
        </w:rPr>
        <w:t>(5) Should the presiding officer, chairman or officer, as the case may be, or any party affected desire to oppose the granting of the order prayed in the notice of motion, he shall-</w:t>
      </w:r>
    </w:p>
    <w:p w14:paraId="2FDAF790" w14:textId="77777777" w:rsidR="00AF3222" w:rsidRPr="007A37E1" w:rsidRDefault="00AF3222" w:rsidP="00862259">
      <w:pPr>
        <w:pStyle w:val="FootnoteText"/>
        <w:jc w:val="both"/>
        <w:rPr>
          <w:rFonts w:ascii="Arial" w:hAnsi="Arial" w:cs="Arial"/>
        </w:rPr>
      </w:pPr>
      <w:bookmarkStart w:id="7" w:name="0-0-0-41115"/>
      <w:bookmarkEnd w:id="7"/>
      <w:r w:rsidRPr="007A37E1">
        <w:rPr>
          <w:rFonts w:ascii="Arial" w:hAnsi="Arial" w:cs="Arial"/>
          <w:i/>
        </w:rPr>
        <w:t>(a)</w:t>
      </w:r>
      <w:r w:rsidRPr="007A37E1">
        <w:rPr>
          <w:rFonts w:ascii="Arial" w:hAnsi="Arial" w:cs="Arial"/>
        </w:rPr>
        <w:t xml:space="preserve"> within fifteen days after receipt by him of the notice of motion or any amendment thereof deliver notice to the applicant that he intends so to oppose and shall in such notice appoint an address within eight kilometers of the office of the registrar at which he will accept notice and service of all process in such proceedings; and</w:t>
      </w:r>
    </w:p>
    <w:p w14:paraId="7E582660" w14:textId="77777777" w:rsidR="00AF3222" w:rsidRPr="007A37E1" w:rsidRDefault="00AF3222" w:rsidP="00862259">
      <w:pPr>
        <w:pStyle w:val="FootnoteText"/>
        <w:jc w:val="both"/>
        <w:rPr>
          <w:rFonts w:ascii="Arial" w:hAnsi="Arial" w:cs="Arial"/>
        </w:rPr>
      </w:pPr>
      <w:bookmarkStart w:id="8" w:name="0-0-0-41117"/>
      <w:bookmarkEnd w:id="8"/>
      <w:r w:rsidRPr="007A37E1">
        <w:rPr>
          <w:rFonts w:ascii="Arial" w:hAnsi="Arial" w:cs="Arial"/>
          <w:i/>
        </w:rPr>
        <w:t>(b)</w:t>
      </w:r>
      <w:r w:rsidRPr="007A37E1">
        <w:rPr>
          <w:rFonts w:ascii="Arial" w:hAnsi="Arial" w:cs="Arial"/>
        </w:rPr>
        <w:t xml:space="preserve"> within thirty days after the expiry of the time referred to in subrule (4) hereof, deliver any affidavits he may desire in answer to the allegations made by the applicant.</w:t>
      </w:r>
    </w:p>
    <w:p w14:paraId="16C533A1" w14:textId="2BFB8C0D" w:rsidR="00AF3222" w:rsidRPr="007A37E1" w:rsidRDefault="00AF3222" w:rsidP="00862259">
      <w:pPr>
        <w:pStyle w:val="FootnoteText"/>
        <w:jc w:val="both"/>
        <w:rPr>
          <w:rFonts w:ascii="Arial" w:hAnsi="Arial" w:cs="Arial"/>
        </w:rPr>
      </w:pPr>
      <w:bookmarkStart w:id="9" w:name="0-0-0-41119"/>
      <w:bookmarkEnd w:id="9"/>
      <w:r w:rsidRPr="007A37E1">
        <w:rPr>
          <w:rFonts w:ascii="Arial" w:hAnsi="Arial" w:cs="Arial"/>
        </w:rPr>
        <w:t>(6) The applicant shall have the rights and obligations in regard to replying affidavits set out in rule 6.</w:t>
      </w:r>
    </w:p>
    <w:p w14:paraId="67A0C63C" w14:textId="78D2D44D" w:rsidR="00AF3222" w:rsidRPr="007A37E1" w:rsidRDefault="00AF3222" w:rsidP="00862259">
      <w:pPr>
        <w:pStyle w:val="FootnoteText"/>
        <w:jc w:val="both"/>
        <w:rPr>
          <w:rFonts w:ascii="Arial" w:hAnsi="Arial" w:cs="Arial"/>
        </w:rPr>
      </w:pPr>
      <w:bookmarkStart w:id="10" w:name="0-0-0-41121"/>
      <w:bookmarkStart w:id="11" w:name="0-0-0-41123"/>
      <w:bookmarkEnd w:id="10"/>
      <w:bookmarkEnd w:id="11"/>
      <w:r w:rsidRPr="007A37E1">
        <w:rPr>
          <w:rFonts w:ascii="Arial" w:hAnsi="Arial" w:cs="Arial"/>
        </w:rPr>
        <w:t>(7) The provisions of rule 6 as to set down of applications shall </w:t>
      </w:r>
      <w:r w:rsidRPr="007A37E1">
        <w:rPr>
          <w:rFonts w:ascii="Arial" w:hAnsi="Arial" w:cs="Arial"/>
          <w:i/>
          <w:iCs/>
        </w:rPr>
        <w:t>mutatis mutandis</w:t>
      </w:r>
      <w:r w:rsidRPr="007A37E1">
        <w:rPr>
          <w:rFonts w:ascii="Arial" w:hAnsi="Arial" w:cs="Arial"/>
        </w:rPr>
        <w:t> apply to the set down of review proceedings.’</w:t>
      </w:r>
    </w:p>
  </w:footnote>
  <w:footnote w:id="22">
    <w:p w14:paraId="007193BD" w14:textId="0581E43A" w:rsidR="00AF3222" w:rsidRPr="007A37E1" w:rsidRDefault="00AF3222" w:rsidP="00862259">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iCs/>
        </w:rPr>
        <w:t>Jockey Club of South Africa v Forbes</w:t>
      </w:r>
      <w:r w:rsidRPr="007A37E1">
        <w:rPr>
          <w:rFonts w:ascii="Arial" w:hAnsi="Arial" w:cs="Arial"/>
        </w:rPr>
        <w:t> </w:t>
      </w:r>
      <w:hyperlink r:id="rId1" w:tooltip="View Case" w:history="1">
        <w:r w:rsidRPr="007A37E1">
          <w:rPr>
            <w:rStyle w:val="Hyperlink"/>
            <w:rFonts w:ascii="Arial" w:hAnsi="Arial" w:cs="Arial"/>
            <w:bCs/>
            <w:color w:val="auto"/>
            <w:u w:val="none"/>
          </w:rPr>
          <w:t>[1992] ZASCA 237</w:t>
        </w:r>
      </w:hyperlink>
      <w:r w:rsidRPr="007A37E1">
        <w:rPr>
          <w:rFonts w:ascii="Arial" w:hAnsi="Arial" w:cs="Arial"/>
        </w:rPr>
        <w:t>; [1993] 1 All SA 494; </w:t>
      </w:r>
      <w:r w:rsidRPr="007A37E1">
        <w:rPr>
          <w:rStyle w:val="Hyperlink"/>
          <w:rFonts w:ascii="Arial" w:hAnsi="Arial" w:cs="Arial"/>
          <w:bCs/>
          <w:color w:val="auto"/>
          <w:u w:val="none"/>
        </w:rPr>
        <w:t>1993 (1) SA 649</w:t>
      </w:r>
      <w:r w:rsidRPr="007A37E1">
        <w:rPr>
          <w:rFonts w:ascii="Arial" w:hAnsi="Arial" w:cs="Arial"/>
        </w:rPr>
        <w:t> (A) at 660.</w:t>
      </w:r>
    </w:p>
  </w:footnote>
  <w:footnote w:id="23">
    <w:p w14:paraId="2CA8FA3E" w14:textId="149CFEAD" w:rsidR="00AF3222" w:rsidRPr="007A37E1" w:rsidRDefault="00AF3222" w:rsidP="00862259">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Ibid at 661.</w:t>
      </w:r>
    </w:p>
  </w:footnote>
  <w:footnote w:id="24">
    <w:p w14:paraId="67F7E98F" w14:textId="52C2B9E9" w:rsidR="00AF3222" w:rsidRPr="007A37E1" w:rsidRDefault="00AF3222" w:rsidP="00862259">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rPr>
        <w:t>City of Cape Town v South African National Roads Authority Limited and Others</w:t>
      </w:r>
      <w:r w:rsidRPr="007A37E1">
        <w:rPr>
          <w:rFonts w:ascii="Arial" w:hAnsi="Arial" w:cs="Arial"/>
        </w:rPr>
        <w:t xml:space="preserve"> [2015] ZASCA 58; 2015 (3) SA 386; [2015] 2 All SA 517; 2015 (5) BCLR 560 paras 35-37.</w:t>
      </w:r>
    </w:p>
  </w:footnote>
  <w:footnote w:id="25">
    <w:p w14:paraId="06BF9CBB" w14:textId="4F8D77D0" w:rsidR="00AF3222" w:rsidRPr="007A37E1" w:rsidRDefault="00AF3222" w:rsidP="00862259">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iCs/>
        </w:rPr>
        <w:t xml:space="preserve">Democratic Alliance and Others v Acting National Director of Public Prosecutions and Others </w:t>
      </w:r>
      <w:r w:rsidRPr="007A37E1">
        <w:rPr>
          <w:rFonts w:ascii="Arial" w:hAnsi="Arial" w:cs="Arial"/>
          <w:iCs/>
        </w:rPr>
        <w:t>[2012] ZASCA 15; [2012] 2 All SA 345; 2012 (6) BCLR 613;</w:t>
      </w:r>
      <w:r w:rsidRPr="007A37E1">
        <w:rPr>
          <w:rFonts w:ascii="Arial" w:hAnsi="Arial" w:cs="Arial"/>
        </w:rPr>
        <w:t> </w:t>
      </w:r>
      <w:r w:rsidRPr="007A37E1">
        <w:rPr>
          <w:rStyle w:val="Hyperlink"/>
          <w:rFonts w:ascii="Arial" w:hAnsi="Arial" w:cs="Arial"/>
          <w:bCs/>
          <w:color w:val="auto"/>
          <w:u w:val="none"/>
        </w:rPr>
        <w:t>2012 (3) SA 486</w:t>
      </w:r>
      <w:r w:rsidRPr="007A37E1">
        <w:rPr>
          <w:rFonts w:ascii="Arial" w:hAnsi="Arial" w:cs="Arial"/>
        </w:rPr>
        <w:t> (SCA) para 37.</w:t>
      </w:r>
    </w:p>
  </w:footnote>
  <w:footnote w:id="26">
    <w:p w14:paraId="7DC77562" w14:textId="013A5755" w:rsidR="00AF3222" w:rsidRPr="007A37E1" w:rsidRDefault="00AF3222" w:rsidP="005602A4">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rPr>
        <w:t>Helen Suzman Foundation v Judicial Service Commission</w:t>
      </w:r>
      <w:r w:rsidRPr="007A37E1">
        <w:rPr>
          <w:rFonts w:ascii="Arial" w:hAnsi="Arial" w:cs="Arial"/>
        </w:rPr>
        <w:t xml:space="preserve"> [2018] ZACC 8; 2018 (4) SA 1; 2018 (7) BCLR 763 (CC) para 15.</w:t>
      </w:r>
    </w:p>
  </w:footnote>
  <w:footnote w:id="27">
    <w:p w14:paraId="69A1ED0D" w14:textId="672F293C" w:rsidR="00AF3222" w:rsidRPr="007A37E1" w:rsidRDefault="00AF3222" w:rsidP="005602A4">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rPr>
        <w:t xml:space="preserve">City of Cape Town v South African National Roads Authority Limited and Others </w:t>
      </w:r>
      <w:r w:rsidRPr="007A37E1">
        <w:rPr>
          <w:rFonts w:ascii="Arial" w:hAnsi="Arial" w:cs="Arial"/>
        </w:rPr>
        <w:t>fn 23 above.</w:t>
      </w:r>
    </w:p>
  </w:footnote>
  <w:footnote w:id="28">
    <w:p w14:paraId="1B0C75C4" w14:textId="2E14573C" w:rsidR="00AF3222" w:rsidRPr="007A37E1" w:rsidRDefault="00AF3222" w:rsidP="005602A4">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iCs/>
          <w:shd w:val="clear" w:color="auto" w:fill="FFFFFF"/>
        </w:rPr>
        <w:t>Turnbull-Jackson v Hibiscus Coast Municipality</w:t>
      </w:r>
      <w:r w:rsidRPr="007A37E1">
        <w:rPr>
          <w:rFonts w:ascii="Arial" w:hAnsi="Arial" w:cs="Arial"/>
          <w:shd w:val="clear" w:color="auto" w:fill="FFFFFF"/>
        </w:rPr>
        <w:t> </w:t>
      </w:r>
      <w:r w:rsidRPr="007A37E1">
        <w:rPr>
          <w:rStyle w:val="Hyperlink"/>
          <w:rFonts w:ascii="Arial" w:hAnsi="Arial" w:cs="Arial"/>
          <w:bCs/>
          <w:color w:val="auto"/>
          <w:u w:val="none"/>
          <w:shd w:val="clear" w:color="auto" w:fill="FFFFFF"/>
        </w:rPr>
        <w:t>[2014] ZACC 24</w:t>
      </w:r>
      <w:r w:rsidRPr="007A37E1">
        <w:rPr>
          <w:rFonts w:ascii="Arial" w:hAnsi="Arial" w:cs="Arial"/>
          <w:shd w:val="clear" w:color="auto" w:fill="FFFFFF"/>
        </w:rPr>
        <w:t>; </w:t>
      </w:r>
      <w:hyperlink r:id="rId2" w:tooltip="View LawCiteRecord" w:history="1">
        <w:r w:rsidRPr="007A37E1">
          <w:rPr>
            <w:rStyle w:val="Hyperlink"/>
            <w:rFonts w:ascii="Arial" w:hAnsi="Arial" w:cs="Arial"/>
            <w:bCs/>
            <w:color w:val="auto"/>
            <w:u w:val="none"/>
            <w:shd w:val="clear" w:color="auto" w:fill="FFFFFF"/>
          </w:rPr>
          <w:t>2014 (6) SA 592</w:t>
        </w:r>
      </w:hyperlink>
      <w:r w:rsidRPr="007A37E1">
        <w:rPr>
          <w:rFonts w:ascii="Arial" w:hAnsi="Arial" w:cs="Arial"/>
          <w:shd w:val="clear" w:color="auto" w:fill="FFFFFF"/>
        </w:rPr>
        <w:t>; </w:t>
      </w:r>
      <w:r w:rsidRPr="007A37E1">
        <w:rPr>
          <w:rStyle w:val="Hyperlink"/>
          <w:rFonts w:ascii="Arial" w:hAnsi="Arial" w:cs="Arial"/>
          <w:bCs/>
          <w:color w:val="auto"/>
          <w:u w:val="none"/>
          <w:shd w:val="clear" w:color="auto" w:fill="FFFFFF"/>
        </w:rPr>
        <w:t>2014 (11) BCLR 1310</w:t>
      </w:r>
      <w:r w:rsidRPr="007A37E1">
        <w:rPr>
          <w:rFonts w:ascii="Arial" w:hAnsi="Arial" w:cs="Arial"/>
          <w:shd w:val="clear" w:color="auto" w:fill="FFFFFF"/>
        </w:rPr>
        <w:t> (CC) para 37.</w:t>
      </w:r>
    </w:p>
  </w:footnote>
  <w:footnote w:id="29">
    <w:p w14:paraId="7D990D11" w14:textId="7B71ED43" w:rsidR="00AF3222" w:rsidRPr="007A37E1" w:rsidRDefault="00AF3222" w:rsidP="005602A4">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iCs/>
        </w:rPr>
        <w:t>Bridon International GMBH v International Trade Administration Commission</w:t>
      </w:r>
      <w:r w:rsidRPr="007A37E1">
        <w:rPr>
          <w:rFonts w:ascii="Arial" w:hAnsi="Arial" w:cs="Arial"/>
        </w:rPr>
        <w:t> </w:t>
      </w:r>
      <w:r w:rsidRPr="007A37E1">
        <w:rPr>
          <w:rStyle w:val="Hyperlink"/>
          <w:rFonts w:ascii="Arial" w:hAnsi="Arial" w:cs="Arial"/>
          <w:bCs/>
          <w:color w:val="auto"/>
          <w:u w:val="none"/>
        </w:rPr>
        <w:t>[2012] ZASCA 82</w:t>
      </w:r>
      <w:r w:rsidRPr="007A37E1">
        <w:rPr>
          <w:rFonts w:ascii="Arial" w:hAnsi="Arial" w:cs="Arial"/>
        </w:rPr>
        <w:t>; [2012] 4 All SA 121; </w:t>
      </w:r>
      <w:r w:rsidRPr="007A37E1">
        <w:rPr>
          <w:rStyle w:val="Hyperlink"/>
          <w:rFonts w:ascii="Arial" w:hAnsi="Arial" w:cs="Arial"/>
          <w:bCs/>
          <w:color w:val="auto"/>
          <w:u w:val="none"/>
        </w:rPr>
        <w:t>2013 (3) SA 197</w:t>
      </w:r>
      <w:r w:rsidRPr="007A37E1">
        <w:rPr>
          <w:rFonts w:ascii="Arial" w:hAnsi="Arial" w:cs="Arial"/>
        </w:rPr>
        <w:t> (SCA) para 31.</w:t>
      </w:r>
    </w:p>
  </w:footnote>
  <w:footnote w:id="30">
    <w:p w14:paraId="288E63DE" w14:textId="4F849A10" w:rsidR="00AF3222" w:rsidRPr="007A37E1" w:rsidRDefault="00AF3222" w:rsidP="005602A4">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Ibid.</w:t>
      </w:r>
    </w:p>
  </w:footnote>
  <w:footnote w:id="31">
    <w:p w14:paraId="04D8CD69" w14:textId="535A5A6D" w:rsidR="00AF3222" w:rsidRPr="007A37E1" w:rsidRDefault="00AF3222">
      <w:pPr>
        <w:pStyle w:val="FootnoteText"/>
        <w:rPr>
          <w:rFonts w:ascii="Arial" w:hAnsi="Arial" w:cs="Arial"/>
          <w:lang w:val="en-US"/>
        </w:rPr>
      </w:pPr>
      <w:r w:rsidRPr="007A37E1">
        <w:rPr>
          <w:rStyle w:val="FootnoteReference"/>
          <w:rFonts w:ascii="Arial" w:hAnsi="Arial" w:cs="Arial"/>
        </w:rPr>
        <w:footnoteRef/>
      </w:r>
      <w:r w:rsidRPr="007A37E1">
        <w:rPr>
          <w:rFonts w:ascii="Arial" w:hAnsi="Arial" w:cs="Arial"/>
          <w:i/>
          <w:lang w:val="en-US"/>
        </w:rPr>
        <w:t xml:space="preserve"> Safcor Forwarding (Pty) Ltd v NTC</w:t>
      </w:r>
      <w:r w:rsidRPr="007A37E1">
        <w:rPr>
          <w:rFonts w:ascii="Arial" w:hAnsi="Arial" w:cs="Arial"/>
          <w:lang w:val="en-US"/>
        </w:rPr>
        <w:t xml:space="preserve"> 1982 (3) SA 654 (A) at 675B-H.</w:t>
      </w:r>
    </w:p>
  </w:footnote>
  <w:footnote w:id="32">
    <w:p w14:paraId="0D6E2704" w14:textId="3BB012FF" w:rsidR="00AF3222" w:rsidRPr="007A37E1" w:rsidRDefault="00AF3222" w:rsidP="005602A4">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lang w:val="en-US"/>
        </w:rPr>
        <w:t xml:space="preserve">Prince v President of the Law Society of the Cape of Good Hope </w:t>
      </w:r>
      <w:r w:rsidRPr="007A37E1">
        <w:rPr>
          <w:rFonts w:ascii="Arial" w:hAnsi="Arial" w:cs="Arial"/>
          <w:lang w:val="en-US"/>
        </w:rPr>
        <w:t xml:space="preserve">[2002] ZACC 1; 2001 (2) SA 388 (CC) para 22. See also </w:t>
      </w:r>
      <w:r w:rsidRPr="007A37E1">
        <w:rPr>
          <w:rFonts w:ascii="Arial" w:hAnsi="Arial" w:cs="Arial"/>
          <w:i/>
          <w:iCs/>
        </w:rPr>
        <w:t>Shaik v Minister of Constitutional Development and Others</w:t>
      </w:r>
      <w:r w:rsidRPr="007A37E1">
        <w:rPr>
          <w:rFonts w:ascii="Arial" w:hAnsi="Arial" w:cs="Arial"/>
        </w:rPr>
        <w:t xml:space="preserve"> [2003] ZACC 24; 2004 (4) BCLR 333; 2004 (3) SA 599 (CC) paras 24 and 25.</w:t>
      </w:r>
    </w:p>
  </w:footnote>
  <w:footnote w:id="33">
    <w:p w14:paraId="7AEDCA89" w14:textId="4FA45582" w:rsidR="00AF3222" w:rsidRPr="007A37E1" w:rsidRDefault="00AF3222" w:rsidP="005602A4">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iCs/>
        </w:rPr>
        <w:t xml:space="preserve">Public Servants Association obo Ubogu v Head of Department of Health, Gauteng and Others </w:t>
      </w:r>
      <w:r w:rsidRPr="007A37E1">
        <w:rPr>
          <w:rFonts w:ascii="Arial" w:hAnsi="Arial" w:cs="Arial"/>
          <w:iCs/>
        </w:rPr>
        <w:t>[2017] ZACC 45;</w:t>
      </w:r>
      <w:r w:rsidRPr="007A37E1">
        <w:rPr>
          <w:rFonts w:ascii="Arial" w:hAnsi="Arial" w:cs="Arial"/>
        </w:rPr>
        <w:t xml:space="preserve"> 2018 (2) BCLR 184; 2018 (2) SA 365 (CC) </w:t>
      </w:r>
      <w:r w:rsidRPr="007A37E1">
        <w:rPr>
          <w:rFonts w:ascii="Arial" w:hAnsi="Arial" w:cs="Arial"/>
          <w:lang w:val="en-US"/>
        </w:rPr>
        <w:t>para 50.</w:t>
      </w:r>
    </w:p>
  </w:footnote>
  <w:footnote w:id="34">
    <w:p w14:paraId="6695FBB1" w14:textId="201B6B8A" w:rsidR="00AF3222" w:rsidRPr="007A37E1" w:rsidRDefault="00AF3222" w:rsidP="004F465B">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iCs/>
          <w:lang w:val="en-US"/>
        </w:rPr>
        <w:t xml:space="preserve">Democratic Alliance v President of South Africa and Others </w:t>
      </w:r>
      <w:r w:rsidRPr="007A37E1">
        <w:rPr>
          <w:rFonts w:ascii="Arial" w:hAnsi="Arial" w:cs="Arial"/>
          <w:iCs/>
          <w:lang w:val="en-US"/>
        </w:rPr>
        <w:t xml:space="preserve">[2012] ZACC 24; 2012 (12) BCLR 1297; </w:t>
      </w:r>
      <w:r w:rsidRPr="007A37E1">
        <w:rPr>
          <w:rFonts w:ascii="Arial" w:hAnsi="Arial" w:cs="Arial"/>
          <w:lang w:val="en-US"/>
        </w:rPr>
        <w:t xml:space="preserve">2013 (1) SA 248 (CC) para 32. </w:t>
      </w:r>
    </w:p>
  </w:footnote>
  <w:footnote w:id="35">
    <w:p w14:paraId="5BE96336" w14:textId="1761DB01" w:rsidR="00AF3222" w:rsidRPr="007A37E1" w:rsidRDefault="00AF3222" w:rsidP="004F465B">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rPr>
        <w:t>Minister of Home Affairs and Others v Scalabrini Centre, Cape Town and Others</w:t>
      </w:r>
      <w:r w:rsidRPr="007A37E1">
        <w:rPr>
          <w:rFonts w:ascii="Arial" w:hAnsi="Arial" w:cs="Arial"/>
        </w:rPr>
        <w:t xml:space="preserve"> [2013] ZASCA 134; 2013 (6) SA 421; [2013] 4 All SA 571 (SCA) paras 65-66.</w:t>
      </w:r>
    </w:p>
  </w:footnote>
  <w:footnote w:id="36">
    <w:p w14:paraId="43D91D04" w14:textId="3ED0A834" w:rsidR="00AF3222" w:rsidRPr="007A37E1" w:rsidRDefault="00AF3222" w:rsidP="004E2AD5">
      <w:pPr>
        <w:pStyle w:val="FootnoteText"/>
        <w:jc w:val="both"/>
        <w:rPr>
          <w:rFonts w:ascii="Arial" w:hAnsi="Arial" w:cs="Arial"/>
        </w:rPr>
      </w:pPr>
      <w:r w:rsidRPr="007A37E1">
        <w:rPr>
          <w:rStyle w:val="FootnoteReference"/>
          <w:rFonts w:ascii="Arial" w:hAnsi="Arial" w:cs="Arial"/>
        </w:rPr>
        <w:footnoteRef/>
      </w:r>
      <w:r w:rsidRPr="007A37E1">
        <w:rPr>
          <w:rFonts w:ascii="Arial" w:hAnsi="Arial" w:cs="Arial"/>
        </w:rPr>
        <w:t xml:space="preserve"> See fn 33 above.</w:t>
      </w:r>
    </w:p>
  </w:footnote>
  <w:footnote w:id="37">
    <w:p w14:paraId="7AE8F377" w14:textId="56F94D1F" w:rsidR="00AF3222" w:rsidRPr="007A37E1" w:rsidRDefault="00AF3222" w:rsidP="0026644C">
      <w:pPr>
        <w:pStyle w:val="Heading2"/>
        <w:shd w:val="clear" w:color="auto" w:fill="FFFFFF"/>
        <w:spacing w:before="0" w:after="180" w:line="288" w:lineRule="atLeast"/>
        <w:jc w:val="both"/>
        <w:rPr>
          <w:rFonts w:ascii="Arial" w:hAnsi="Arial" w:cs="Arial"/>
          <w:sz w:val="20"/>
          <w:szCs w:val="20"/>
        </w:rPr>
      </w:pPr>
      <w:r w:rsidRPr="007A37E1">
        <w:rPr>
          <w:rStyle w:val="FootnoteReference"/>
          <w:rFonts w:ascii="Arial" w:hAnsi="Arial" w:cs="Arial"/>
          <w:color w:val="auto"/>
          <w:sz w:val="20"/>
          <w:szCs w:val="20"/>
        </w:rPr>
        <w:footnoteRef/>
      </w:r>
      <w:r w:rsidRPr="007A37E1">
        <w:rPr>
          <w:rFonts w:ascii="Arial" w:hAnsi="Arial" w:cs="Arial"/>
          <w:color w:val="auto"/>
          <w:sz w:val="20"/>
          <w:szCs w:val="20"/>
        </w:rPr>
        <w:t xml:space="preserve"> </w:t>
      </w:r>
      <w:r w:rsidRPr="007A37E1">
        <w:rPr>
          <w:rFonts w:ascii="Arial" w:hAnsi="Arial" w:cs="Arial"/>
          <w:bCs/>
          <w:i/>
          <w:color w:val="auto"/>
          <w:sz w:val="20"/>
          <w:szCs w:val="20"/>
        </w:rPr>
        <w:t>Minister of Water and Environmental Affairs v Kloof Conservancy</w:t>
      </w:r>
      <w:r w:rsidRPr="007A37E1">
        <w:rPr>
          <w:rFonts w:ascii="Arial" w:hAnsi="Arial" w:cs="Arial"/>
          <w:bCs/>
          <w:color w:val="auto"/>
          <w:sz w:val="20"/>
          <w:szCs w:val="20"/>
        </w:rPr>
        <w:t xml:space="preserve"> [2015] ZASCA 177; [2016] 1 All SA 676 (SCA)</w:t>
      </w:r>
      <w:r w:rsidRPr="007A37E1">
        <w:rPr>
          <w:rFonts w:ascii="Arial" w:hAnsi="Arial" w:cs="Arial"/>
          <w:bCs/>
          <w:sz w:val="20"/>
          <w:szCs w:val="20"/>
        </w:rPr>
        <w:t xml:space="preserve"> </w:t>
      </w:r>
      <w:r w:rsidRPr="007A37E1">
        <w:rPr>
          <w:rFonts w:ascii="Arial" w:hAnsi="Arial" w:cs="Arial"/>
          <w:bCs/>
          <w:color w:val="auto"/>
          <w:sz w:val="20"/>
          <w:szCs w:val="20"/>
        </w:rPr>
        <w:t>para13</w:t>
      </w:r>
      <w:r w:rsidRPr="007A37E1">
        <w:rPr>
          <w:rFonts w:ascii="Arial" w:hAnsi="Arial" w:cs="Arial"/>
          <w:bCs/>
          <w:sz w:val="20"/>
          <w:szCs w:val="20"/>
        </w:rPr>
        <w:t>.</w:t>
      </w:r>
    </w:p>
  </w:footnote>
  <w:footnote w:id="38">
    <w:p w14:paraId="69C5D0B2" w14:textId="19E52797" w:rsidR="00AF3222" w:rsidRPr="007A37E1" w:rsidRDefault="00AF3222">
      <w:pPr>
        <w:pStyle w:val="FootnoteText"/>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lang w:val="en-US"/>
        </w:rPr>
        <w:t>See s 40(2)</w:t>
      </w:r>
      <w:r w:rsidRPr="007A37E1">
        <w:rPr>
          <w:rFonts w:ascii="Arial" w:hAnsi="Arial" w:cs="Arial"/>
          <w:i/>
          <w:lang w:val="en-US"/>
        </w:rPr>
        <w:t>(b)</w:t>
      </w:r>
      <w:r w:rsidRPr="007A37E1">
        <w:rPr>
          <w:rFonts w:ascii="Arial" w:hAnsi="Arial" w:cs="Arial"/>
          <w:lang w:val="en-US"/>
        </w:rPr>
        <w:t xml:space="preserve">. </w:t>
      </w:r>
    </w:p>
  </w:footnote>
  <w:footnote w:id="39">
    <w:p w14:paraId="3F6454C7" w14:textId="5A57D74D" w:rsidR="00AF3222" w:rsidRPr="007A37E1" w:rsidRDefault="00AF3222">
      <w:pPr>
        <w:pStyle w:val="FootnoteText"/>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lang w:val="en-US"/>
        </w:rPr>
        <w:t>See s 146(1) of the Constitution.</w:t>
      </w:r>
    </w:p>
  </w:footnote>
  <w:footnote w:id="40">
    <w:p w14:paraId="4FCEA2C3" w14:textId="2798C2FC" w:rsidR="00AF3222" w:rsidRPr="007A37E1" w:rsidRDefault="00AF3222" w:rsidP="00286705">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lang w:val="en-US"/>
        </w:rPr>
        <w:t>New York Times Co. v Sullivan</w:t>
      </w:r>
      <w:r w:rsidRPr="007A37E1">
        <w:rPr>
          <w:rFonts w:ascii="Arial" w:hAnsi="Arial" w:cs="Arial"/>
          <w:lang w:val="en-US"/>
        </w:rPr>
        <w:t xml:space="preserve"> 376 U.S. 254 (1964) at 299.</w:t>
      </w:r>
    </w:p>
  </w:footnote>
  <w:footnote w:id="41">
    <w:p w14:paraId="4546E8DC" w14:textId="5058A7BD" w:rsidR="00AF3222" w:rsidRPr="007A37E1" w:rsidRDefault="00AF3222" w:rsidP="00286705">
      <w:pPr>
        <w:pStyle w:val="FootnoteText"/>
        <w:jc w:val="both"/>
        <w:rPr>
          <w:rFonts w:ascii="Arial" w:hAnsi="Arial" w:cs="Arial"/>
          <w:lang w:val="en-US"/>
        </w:rPr>
      </w:pPr>
      <w:r w:rsidRPr="007A37E1">
        <w:rPr>
          <w:rStyle w:val="FootnoteReference"/>
          <w:rFonts w:ascii="Arial" w:hAnsi="Arial" w:cs="Arial"/>
        </w:rPr>
        <w:footnoteRef/>
      </w:r>
      <w:r w:rsidRPr="007A37E1">
        <w:rPr>
          <w:rFonts w:ascii="Arial" w:hAnsi="Arial" w:cs="Arial"/>
        </w:rPr>
        <w:t xml:space="preserve"> </w:t>
      </w:r>
      <w:r w:rsidRPr="007A37E1">
        <w:rPr>
          <w:rFonts w:ascii="Arial" w:hAnsi="Arial" w:cs="Arial"/>
          <w:i/>
        </w:rPr>
        <w:t>Mkhatshwa and Others v Mkhatshwa and Others</w:t>
      </w:r>
      <w:r w:rsidRPr="007A37E1">
        <w:rPr>
          <w:rFonts w:ascii="Arial" w:hAnsi="Arial" w:cs="Arial"/>
        </w:rPr>
        <w:t xml:space="preserve"> [2021] ZACC 15 paras 23-27.</w:t>
      </w:r>
    </w:p>
  </w:footnote>
  <w:footnote w:id="42">
    <w:p w14:paraId="2E31B373" w14:textId="7E4ABCC4" w:rsidR="00AF3222" w:rsidRPr="004A7535" w:rsidRDefault="00AF3222" w:rsidP="00C61A26">
      <w:pPr>
        <w:pStyle w:val="FootnoteText"/>
        <w:jc w:val="both"/>
        <w:rPr>
          <w:rFonts w:ascii="Arial" w:hAnsi="Arial" w:cs="Arial"/>
          <w:i/>
        </w:rPr>
      </w:pPr>
      <w:r w:rsidRPr="007A37E1">
        <w:rPr>
          <w:rStyle w:val="FootnoteReference"/>
          <w:rFonts w:ascii="Arial" w:hAnsi="Arial" w:cs="Arial"/>
        </w:rPr>
        <w:footnoteRef/>
      </w:r>
      <w:r w:rsidRPr="007A37E1">
        <w:rPr>
          <w:rFonts w:ascii="Arial" w:hAnsi="Arial" w:cs="Arial"/>
        </w:rPr>
        <w:t xml:space="preserve"> See the latest Constitutional Court Judgment in </w:t>
      </w:r>
      <w:r w:rsidRPr="007A37E1">
        <w:rPr>
          <w:rFonts w:ascii="Arial" w:hAnsi="Arial" w:cs="Arial"/>
          <w:i/>
        </w:rPr>
        <w:t xml:space="preserve">Secretary of the Judicial Commission of Inquiry into Allegations of State Capture, Corruption and Fraud in the Public Sector including Organs of State v Zuma and Others </w:t>
      </w:r>
      <w:r w:rsidRPr="007A37E1">
        <w:rPr>
          <w:rFonts w:ascii="Arial" w:hAnsi="Arial" w:cs="Arial"/>
        </w:rPr>
        <w:t>[2021] ZACC 18 at para 136.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114D" w14:textId="77777777" w:rsidR="00AF3222" w:rsidRDefault="00AF32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D9443" w14:textId="77777777" w:rsidR="00AF3222" w:rsidRDefault="00AF3222">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34203579"/>
      <w:docPartObj>
        <w:docPartGallery w:val="Page Numbers (Top of Page)"/>
        <w:docPartUnique/>
      </w:docPartObj>
    </w:sdtPr>
    <w:sdtEndPr>
      <w:rPr>
        <w:noProof/>
      </w:rPr>
    </w:sdtEndPr>
    <w:sdtContent>
      <w:p w14:paraId="3BCBD728" w14:textId="132B519A" w:rsidR="00AF3222" w:rsidRPr="00E90B15" w:rsidRDefault="00AF3222">
        <w:pPr>
          <w:pStyle w:val="Header"/>
          <w:jc w:val="right"/>
          <w:rPr>
            <w:rFonts w:ascii="Arial" w:hAnsi="Arial" w:cs="Arial"/>
          </w:rPr>
        </w:pPr>
        <w:r w:rsidRPr="00E90B15">
          <w:rPr>
            <w:rFonts w:ascii="Arial" w:hAnsi="Arial" w:cs="Arial"/>
          </w:rPr>
          <w:fldChar w:fldCharType="begin"/>
        </w:r>
        <w:r w:rsidRPr="00E90B15">
          <w:rPr>
            <w:rFonts w:ascii="Arial" w:hAnsi="Arial" w:cs="Arial"/>
          </w:rPr>
          <w:instrText xml:space="preserve"> PAGE   \* MERGEFORMAT </w:instrText>
        </w:r>
        <w:r w:rsidRPr="00E90B15">
          <w:rPr>
            <w:rFonts w:ascii="Arial" w:hAnsi="Arial" w:cs="Arial"/>
          </w:rPr>
          <w:fldChar w:fldCharType="separate"/>
        </w:r>
        <w:r w:rsidR="00CB4859">
          <w:rPr>
            <w:rFonts w:ascii="Arial" w:hAnsi="Arial" w:cs="Arial"/>
            <w:noProof/>
          </w:rPr>
          <w:t>2</w:t>
        </w:r>
        <w:r w:rsidRPr="00E90B15">
          <w:rPr>
            <w:rFonts w:ascii="Arial" w:hAnsi="Arial" w:cs="Arial"/>
            <w:noProof/>
          </w:rPr>
          <w:fldChar w:fldCharType="end"/>
        </w:r>
      </w:p>
    </w:sdtContent>
  </w:sdt>
  <w:p w14:paraId="1609F8FE" w14:textId="77777777" w:rsidR="00AF3222" w:rsidRPr="00E90B15" w:rsidRDefault="00AF3222">
    <w:pPr>
      <w:pStyle w:val="Header"/>
      <w:ind w:right="360"/>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689A"/>
    <w:multiLevelType w:val="hybridMultilevel"/>
    <w:tmpl w:val="6DA01A9E"/>
    <w:lvl w:ilvl="0" w:tplc="CDE67AAA">
      <w:start w:val="1"/>
      <w:numFmt w:val="lowerRoman"/>
      <w:lvlText w:val="(%1)"/>
      <w:lvlJc w:val="left"/>
      <w:pPr>
        <w:ind w:left="1000" w:hanging="72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1" w15:restartNumberingAfterBreak="0">
    <w:nsid w:val="09FE7929"/>
    <w:multiLevelType w:val="hybridMultilevel"/>
    <w:tmpl w:val="CDACD8AE"/>
    <w:lvl w:ilvl="0" w:tplc="4A448992">
      <w:start w:val="1"/>
      <w:numFmt w:val="decimal"/>
      <w:lvlText w:val="[%1]"/>
      <w:lvlJc w:val="left"/>
      <w:pPr>
        <w:ind w:left="0" w:firstLine="0"/>
      </w:pPr>
      <w:rPr>
        <w:rFonts w:ascii="Times New Roman" w:hAnsi="Times New Roman"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25EEA"/>
    <w:multiLevelType w:val="hybridMultilevel"/>
    <w:tmpl w:val="C4464B34"/>
    <w:lvl w:ilvl="0" w:tplc="EDDCA3FE">
      <w:start w:val="7"/>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7251F20"/>
    <w:multiLevelType w:val="hybridMultilevel"/>
    <w:tmpl w:val="92EE4100"/>
    <w:lvl w:ilvl="0" w:tplc="D8C466B4">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0B010A"/>
    <w:multiLevelType w:val="hybridMultilevel"/>
    <w:tmpl w:val="19BA55A6"/>
    <w:lvl w:ilvl="0" w:tplc="15E8DA3E">
      <w:start w:val="1"/>
      <w:numFmt w:val="lowerLetter"/>
      <w:lvlText w:val="%1."/>
      <w:lvlJc w:val="left"/>
      <w:pPr>
        <w:ind w:left="2052" w:hanging="360"/>
      </w:pPr>
      <w:rPr>
        <w:rFonts w:hint="default"/>
      </w:rPr>
    </w:lvl>
    <w:lvl w:ilvl="1" w:tplc="1C090019" w:tentative="1">
      <w:start w:val="1"/>
      <w:numFmt w:val="lowerLetter"/>
      <w:lvlText w:val="%2."/>
      <w:lvlJc w:val="left"/>
      <w:pPr>
        <w:ind w:left="2772" w:hanging="360"/>
      </w:pPr>
    </w:lvl>
    <w:lvl w:ilvl="2" w:tplc="1C09001B" w:tentative="1">
      <w:start w:val="1"/>
      <w:numFmt w:val="lowerRoman"/>
      <w:lvlText w:val="%3."/>
      <w:lvlJc w:val="right"/>
      <w:pPr>
        <w:ind w:left="3492" w:hanging="180"/>
      </w:pPr>
    </w:lvl>
    <w:lvl w:ilvl="3" w:tplc="1C09000F" w:tentative="1">
      <w:start w:val="1"/>
      <w:numFmt w:val="decimal"/>
      <w:lvlText w:val="%4."/>
      <w:lvlJc w:val="left"/>
      <w:pPr>
        <w:ind w:left="4212" w:hanging="360"/>
      </w:pPr>
    </w:lvl>
    <w:lvl w:ilvl="4" w:tplc="1C090019" w:tentative="1">
      <w:start w:val="1"/>
      <w:numFmt w:val="lowerLetter"/>
      <w:lvlText w:val="%5."/>
      <w:lvlJc w:val="left"/>
      <w:pPr>
        <w:ind w:left="4932" w:hanging="360"/>
      </w:pPr>
    </w:lvl>
    <w:lvl w:ilvl="5" w:tplc="1C09001B" w:tentative="1">
      <w:start w:val="1"/>
      <w:numFmt w:val="lowerRoman"/>
      <w:lvlText w:val="%6."/>
      <w:lvlJc w:val="right"/>
      <w:pPr>
        <w:ind w:left="5652" w:hanging="180"/>
      </w:pPr>
    </w:lvl>
    <w:lvl w:ilvl="6" w:tplc="1C09000F" w:tentative="1">
      <w:start w:val="1"/>
      <w:numFmt w:val="decimal"/>
      <w:lvlText w:val="%7."/>
      <w:lvlJc w:val="left"/>
      <w:pPr>
        <w:ind w:left="6372" w:hanging="360"/>
      </w:pPr>
    </w:lvl>
    <w:lvl w:ilvl="7" w:tplc="1C090019" w:tentative="1">
      <w:start w:val="1"/>
      <w:numFmt w:val="lowerLetter"/>
      <w:lvlText w:val="%8."/>
      <w:lvlJc w:val="left"/>
      <w:pPr>
        <w:ind w:left="7092" w:hanging="360"/>
      </w:pPr>
    </w:lvl>
    <w:lvl w:ilvl="8" w:tplc="1C09001B" w:tentative="1">
      <w:start w:val="1"/>
      <w:numFmt w:val="lowerRoman"/>
      <w:lvlText w:val="%9."/>
      <w:lvlJc w:val="right"/>
      <w:pPr>
        <w:ind w:left="7812" w:hanging="180"/>
      </w:pPr>
    </w:lvl>
  </w:abstractNum>
  <w:abstractNum w:abstractNumId="5" w15:restartNumberingAfterBreak="0">
    <w:nsid w:val="1DF20D28"/>
    <w:multiLevelType w:val="hybridMultilevel"/>
    <w:tmpl w:val="B6B01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2C7955"/>
    <w:multiLevelType w:val="hybridMultilevel"/>
    <w:tmpl w:val="FB92D934"/>
    <w:lvl w:ilvl="0" w:tplc="B906CE3A">
      <w:start w:val="1"/>
      <w:numFmt w:val="decimal"/>
      <w:lvlText w:val="%1"/>
      <w:lvlJc w:val="left"/>
      <w:pPr>
        <w:ind w:left="501" w:hanging="360"/>
      </w:pPr>
      <w:rPr>
        <w:rFonts w:hint="default"/>
      </w:rPr>
    </w:lvl>
    <w:lvl w:ilvl="1" w:tplc="1C090019" w:tentative="1">
      <w:start w:val="1"/>
      <w:numFmt w:val="lowerLetter"/>
      <w:lvlText w:val="%2."/>
      <w:lvlJc w:val="left"/>
      <w:pPr>
        <w:ind w:left="1221" w:hanging="360"/>
      </w:p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7" w15:restartNumberingAfterBreak="0">
    <w:nsid w:val="291412E1"/>
    <w:multiLevelType w:val="hybridMultilevel"/>
    <w:tmpl w:val="72C4262A"/>
    <w:lvl w:ilvl="0" w:tplc="18548E3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8B4551"/>
    <w:multiLevelType w:val="hybridMultilevel"/>
    <w:tmpl w:val="D1D448D2"/>
    <w:lvl w:ilvl="0" w:tplc="03C043B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2E4127"/>
    <w:multiLevelType w:val="hybridMultilevel"/>
    <w:tmpl w:val="8CCE23F6"/>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10" w15:restartNumberingAfterBreak="0">
    <w:nsid w:val="3CE446BE"/>
    <w:multiLevelType w:val="hybridMultilevel"/>
    <w:tmpl w:val="2788EBA6"/>
    <w:lvl w:ilvl="0" w:tplc="3DDA28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680480"/>
    <w:multiLevelType w:val="hybridMultilevel"/>
    <w:tmpl w:val="7004B012"/>
    <w:lvl w:ilvl="0" w:tplc="E9B6AB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6E3CB9"/>
    <w:multiLevelType w:val="hybridMultilevel"/>
    <w:tmpl w:val="1854B54C"/>
    <w:lvl w:ilvl="0" w:tplc="C53C27D6">
      <w:start w:val="1"/>
      <w:numFmt w:val="decimal"/>
      <w:lvlText w:val="%1"/>
      <w:lvlJc w:val="left"/>
      <w:pPr>
        <w:ind w:left="-66" w:hanging="360"/>
      </w:pPr>
      <w:rPr>
        <w:rFonts w:ascii="Arial" w:eastAsia="Times New Roman" w:hAnsi="Arial" w:cs="Arial"/>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3" w15:restartNumberingAfterBreak="0">
    <w:nsid w:val="43BA05BC"/>
    <w:multiLevelType w:val="hybridMultilevel"/>
    <w:tmpl w:val="14B49192"/>
    <w:lvl w:ilvl="0" w:tplc="811EBA14">
      <w:start w:val="1"/>
      <w:numFmt w:val="lowerLetter"/>
      <w:lvlText w:val="(%1)"/>
      <w:lvlJc w:val="left"/>
      <w:pPr>
        <w:ind w:left="502" w:hanging="360"/>
      </w:pPr>
      <w:rPr>
        <w:rFonts w:hint="default"/>
        <w: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449960C6"/>
    <w:multiLevelType w:val="hybridMultilevel"/>
    <w:tmpl w:val="B6A80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40F31"/>
    <w:multiLevelType w:val="hybridMultilevel"/>
    <w:tmpl w:val="F4760C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0021F18"/>
    <w:multiLevelType w:val="hybridMultilevel"/>
    <w:tmpl w:val="EB0E2410"/>
    <w:lvl w:ilvl="0" w:tplc="509E27A2">
      <w:start w:val="1"/>
      <w:numFmt w:val="lowerLetter"/>
      <w:lvlText w:val="(%1)"/>
      <w:lvlJc w:val="left"/>
      <w:pPr>
        <w:ind w:left="-66" w:hanging="360"/>
      </w:pPr>
      <w:rPr>
        <w:rFonts w:hint="default"/>
      </w:rPr>
    </w:lvl>
    <w:lvl w:ilvl="1" w:tplc="1C090019" w:tentative="1">
      <w:start w:val="1"/>
      <w:numFmt w:val="lowerLetter"/>
      <w:lvlText w:val="%2."/>
      <w:lvlJc w:val="left"/>
      <w:pPr>
        <w:ind w:left="654" w:hanging="360"/>
      </w:pPr>
    </w:lvl>
    <w:lvl w:ilvl="2" w:tplc="1C09001B" w:tentative="1">
      <w:start w:val="1"/>
      <w:numFmt w:val="lowerRoman"/>
      <w:lvlText w:val="%3."/>
      <w:lvlJc w:val="right"/>
      <w:pPr>
        <w:ind w:left="1374" w:hanging="180"/>
      </w:pPr>
    </w:lvl>
    <w:lvl w:ilvl="3" w:tplc="1C09000F" w:tentative="1">
      <w:start w:val="1"/>
      <w:numFmt w:val="decimal"/>
      <w:lvlText w:val="%4."/>
      <w:lvlJc w:val="left"/>
      <w:pPr>
        <w:ind w:left="2094" w:hanging="360"/>
      </w:pPr>
    </w:lvl>
    <w:lvl w:ilvl="4" w:tplc="1C090019" w:tentative="1">
      <w:start w:val="1"/>
      <w:numFmt w:val="lowerLetter"/>
      <w:lvlText w:val="%5."/>
      <w:lvlJc w:val="left"/>
      <w:pPr>
        <w:ind w:left="2814" w:hanging="360"/>
      </w:pPr>
    </w:lvl>
    <w:lvl w:ilvl="5" w:tplc="1C09001B" w:tentative="1">
      <w:start w:val="1"/>
      <w:numFmt w:val="lowerRoman"/>
      <w:lvlText w:val="%6."/>
      <w:lvlJc w:val="right"/>
      <w:pPr>
        <w:ind w:left="3534" w:hanging="180"/>
      </w:pPr>
    </w:lvl>
    <w:lvl w:ilvl="6" w:tplc="1C09000F" w:tentative="1">
      <w:start w:val="1"/>
      <w:numFmt w:val="decimal"/>
      <w:lvlText w:val="%7."/>
      <w:lvlJc w:val="left"/>
      <w:pPr>
        <w:ind w:left="4254" w:hanging="360"/>
      </w:pPr>
    </w:lvl>
    <w:lvl w:ilvl="7" w:tplc="1C090019" w:tentative="1">
      <w:start w:val="1"/>
      <w:numFmt w:val="lowerLetter"/>
      <w:lvlText w:val="%8."/>
      <w:lvlJc w:val="left"/>
      <w:pPr>
        <w:ind w:left="4974" w:hanging="360"/>
      </w:pPr>
    </w:lvl>
    <w:lvl w:ilvl="8" w:tplc="1C09001B" w:tentative="1">
      <w:start w:val="1"/>
      <w:numFmt w:val="lowerRoman"/>
      <w:lvlText w:val="%9."/>
      <w:lvlJc w:val="right"/>
      <w:pPr>
        <w:ind w:left="5694" w:hanging="180"/>
      </w:pPr>
    </w:lvl>
  </w:abstractNum>
  <w:abstractNum w:abstractNumId="17" w15:restartNumberingAfterBreak="0">
    <w:nsid w:val="530B237D"/>
    <w:multiLevelType w:val="hybridMultilevel"/>
    <w:tmpl w:val="0EDC61C6"/>
    <w:lvl w:ilvl="0" w:tplc="3CA29448">
      <w:start w:val="1"/>
      <w:numFmt w:val="decimal"/>
      <w:lvlText w:val="%1."/>
      <w:lvlJc w:val="left"/>
      <w:pPr>
        <w:ind w:left="-66" w:hanging="360"/>
      </w:pPr>
      <w:rPr>
        <w:rFonts w:hint="default"/>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8" w15:restartNumberingAfterBreak="0">
    <w:nsid w:val="58AB7330"/>
    <w:multiLevelType w:val="hybridMultilevel"/>
    <w:tmpl w:val="968ACACE"/>
    <w:lvl w:ilvl="0" w:tplc="A4F4CE1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3F62E29"/>
    <w:multiLevelType w:val="hybridMultilevel"/>
    <w:tmpl w:val="28F48350"/>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20" w15:restartNumberingAfterBreak="0">
    <w:nsid w:val="66087BCF"/>
    <w:multiLevelType w:val="hybridMultilevel"/>
    <w:tmpl w:val="0EA088AC"/>
    <w:lvl w:ilvl="0" w:tplc="27BA67C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739F6A35"/>
    <w:multiLevelType w:val="hybridMultilevel"/>
    <w:tmpl w:val="76702B5C"/>
    <w:lvl w:ilvl="0" w:tplc="25CEC0A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3A3241"/>
    <w:multiLevelType w:val="hybridMultilevel"/>
    <w:tmpl w:val="3B383396"/>
    <w:lvl w:ilvl="0" w:tplc="4D68E90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C8D7FD7"/>
    <w:multiLevelType w:val="hybridMultilevel"/>
    <w:tmpl w:val="570E42F2"/>
    <w:lvl w:ilvl="0" w:tplc="C986BBAC">
      <w:start w:val="1"/>
      <w:numFmt w:val="decimal"/>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15"/>
  </w:num>
  <w:num w:numId="4">
    <w:abstractNumId w:val="20"/>
  </w:num>
  <w:num w:numId="5">
    <w:abstractNumId w:val="14"/>
  </w:num>
  <w:num w:numId="6">
    <w:abstractNumId w:val="7"/>
  </w:num>
  <w:num w:numId="7">
    <w:abstractNumId w:val="8"/>
  </w:num>
  <w:num w:numId="8">
    <w:abstractNumId w:val="3"/>
  </w:num>
  <w:num w:numId="9">
    <w:abstractNumId w:val="18"/>
  </w:num>
  <w:num w:numId="10">
    <w:abstractNumId w:val="22"/>
  </w:num>
  <w:num w:numId="11">
    <w:abstractNumId w:val="6"/>
  </w:num>
  <w:num w:numId="12">
    <w:abstractNumId w:val="4"/>
  </w:num>
  <w:num w:numId="13">
    <w:abstractNumId w:val="19"/>
  </w:num>
  <w:num w:numId="14">
    <w:abstractNumId w:val="9"/>
  </w:num>
  <w:num w:numId="15">
    <w:abstractNumId w:val="17"/>
  </w:num>
  <w:num w:numId="16">
    <w:abstractNumId w:val="16"/>
  </w:num>
  <w:num w:numId="17">
    <w:abstractNumId w:val="12"/>
  </w:num>
  <w:num w:numId="18">
    <w:abstractNumId w:val="5"/>
  </w:num>
  <w:num w:numId="19">
    <w:abstractNumId w:val="11"/>
  </w:num>
  <w:num w:numId="20">
    <w:abstractNumId w:val="10"/>
  </w:num>
  <w:num w:numId="21">
    <w:abstractNumId w:val="2"/>
  </w:num>
  <w:num w:numId="22">
    <w:abstractNumId w:val="13"/>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49EB804-CB9F-4701-8CDC-FAC7591CF328}"/>
    <w:docVar w:name="dgnword-eventsink" w:val="483630224"/>
  </w:docVars>
  <w:rsids>
    <w:rsidRoot w:val="00093030"/>
    <w:rsid w:val="00000370"/>
    <w:rsid w:val="00000755"/>
    <w:rsid w:val="00000BF8"/>
    <w:rsid w:val="00000DDF"/>
    <w:rsid w:val="00001193"/>
    <w:rsid w:val="000016DB"/>
    <w:rsid w:val="00003076"/>
    <w:rsid w:val="00003584"/>
    <w:rsid w:val="00003BA9"/>
    <w:rsid w:val="00004275"/>
    <w:rsid w:val="000044A4"/>
    <w:rsid w:val="000049B7"/>
    <w:rsid w:val="00004A38"/>
    <w:rsid w:val="00004B08"/>
    <w:rsid w:val="00005095"/>
    <w:rsid w:val="00005209"/>
    <w:rsid w:val="00005302"/>
    <w:rsid w:val="000057AD"/>
    <w:rsid w:val="00005F31"/>
    <w:rsid w:val="0000616B"/>
    <w:rsid w:val="00006A49"/>
    <w:rsid w:val="00006A77"/>
    <w:rsid w:val="00006C1C"/>
    <w:rsid w:val="00007E7B"/>
    <w:rsid w:val="000101AF"/>
    <w:rsid w:val="00010364"/>
    <w:rsid w:val="00010900"/>
    <w:rsid w:val="00010A7E"/>
    <w:rsid w:val="0001101D"/>
    <w:rsid w:val="00011532"/>
    <w:rsid w:val="00011A42"/>
    <w:rsid w:val="000120C6"/>
    <w:rsid w:val="000127D9"/>
    <w:rsid w:val="00012D26"/>
    <w:rsid w:val="00013208"/>
    <w:rsid w:val="00013602"/>
    <w:rsid w:val="00013E2D"/>
    <w:rsid w:val="00013F15"/>
    <w:rsid w:val="00014D42"/>
    <w:rsid w:val="00015254"/>
    <w:rsid w:val="000157C5"/>
    <w:rsid w:val="0001631E"/>
    <w:rsid w:val="00016893"/>
    <w:rsid w:val="00016930"/>
    <w:rsid w:val="00017C02"/>
    <w:rsid w:val="00020EA2"/>
    <w:rsid w:val="00021265"/>
    <w:rsid w:val="00021D8A"/>
    <w:rsid w:val="00021E5E"/>
    <w:rsid w:val="00023317"/>
    <w:rsid w:val="000238E6"/>
    <w:rsid w:val="00023D16"/>
    <w:rsid w:val="00024739"/>
    <w:rsid w:val="0002551A"/>
    <w:rsid w:val="00025784"/>
    <w:rsid w:val="00025A4F"/>
    <w:rsid w:val="00025AD0"/>
    <w:rsid w:val="00025E09"/>
    <w:rsid w:val="0002608C"/>
    <w:rsid w:val="000261B1"/>
    <w:rsid w:val="000266AC"/>
    <w:rsid w:val="000266B4"/>
    <w:rsid w:val="0002693A"/>
    <w:rsid w:val="0002709F"/>
    <w:rsid w:val="000278DF"/>
    <w:rsid w:val="00027C48"/>
    <w:rsid w:val="0003055E"/>
    <w:rsid w:val="0003150D"/>
    <w:rsid w:val="00031A4B"/>
    <w:rsid w:val="0003200C"/>
    <w:rsid w:val="0003247D"/>
    <w:rsid w:val="00032669"/>
    <w:rsid w:val="00032EBF"/>
    <w:rsid w:val="000333AC"/>
    <w:rsid w:val="00034DD9"/>
    <w:rsid w:val="0003511F"/>
    <w:rsid w:val="0003524D"/>
    <w:rsid w:val="0003646C"/>
    <w:rsid w:val="00036490"/>
    <w:rsid w:val="00036495"/>
    <w:rsid w:val="00036B52"/>
    <w:rsid w:val="00037069"/>
    <w:rsid w:val="00037EE9"/>
    <w:rsid w:val="000400C8"/>
    <w:rsid w:val="000409CD"/>
    <w:rsid w:val="000411D3"/>
    <w:rsid w:val="00042046"/>
    <w:rsid w:val="00042D8B"/>
    <w:rsid w:val="00042FEA"/>
    <w:rsid w:val="000450F7"/>
    <w:rsid w:val="000451C7"/>
    <w:rsid w:val="000454A4"/>
    <w:rsid w:val="00045713"/>
    <w:rsid w:val="000458A6"/>
    <w:rsid w:val="00045B1A"/>
    <w:rsid w:val="0004655E"/>
    <w:rsid w:val="00047803"/>
    <w:rsid w:val="00050EEE"/>
    <w:rsid w:val="0005111C"/>
    <w:rsid w:val="00052552"/>
    <w:rsid w:val="00052C1C"/>
    <w:rsid w:val="00052FD2"/>
    <w:rsid w:val="00053175"/>
    <w:rsid w:val="000533EF"/>
    <w:rsid w:val="00053987"/>
    <w:rsid w:val="000544D3"/>
    <w:rsid w:val="0005462C"/>
    <w:rsid w:val="00054923"/>
    <w:rsid w:val="00054C15"/>
    <w:rsid w:val="0005511E"/>
    <w:rsid w:val="0005560C"/>
    <w:rsid w:val="00055710"/>
    <w:rsid w:val="00055AA5"/>
    <w:rsid w:val="00055D08"/>
    <w:rsid w:val="00055E44"/>
    <w:rsid w:val="0005619A"/>
    <w:rsid w:val="00056CFC"/>
    <w:rsid w:val="000570DB"/>
    <w:rsid w:val="000573C0"/>
    <w:rsid w:val="00057704"/>
    <w:rsid w:val="000605B3"/>
    <w:rsid w:val="0006092F"/>
    <w:rsid w:val="0006194E"/>
    <w:rsid w:val="00062124"/>
    <w:rsid w:val="00062146"/>
    <w:rsid w:val="00062B12"/>
    <w:rsid w:val="00062BAE"/>
    <w:rsid w:val="00062C0B"/>
    <w:rsid w:val="000638CA"/>
    <w:rsid w:val="00063C1C"/>
    <w:rsid w:val="00063C7C"/>
    <w:rsid w:val="00063FE4"/>
    <w:rsid w:val="00064C11"/>
    <w:rsid w:val="00064F40"/>
    <w:rsid w:val="00066B9C"/>
    <w:rsid w:val="000678AF"/>
    <w:rsid w:val="00067A07"/>
    <w:rsid w:val="00067CF8"/>
    <w:rsid w:val="00070087"/>
    <w:rsid w:val="000709C1"/>
    <w:rsid w:val="00070A5D"/>
    <w:rsid w:val="00070D8E"/>
    <w:rsid w:val="00070E54"/>
    <w:rsid w:val="00070EC8"/>
    <w:rsid w:val="0007114A"/>
    <w:rsid w:val="0007118C"/>
    <w:rsid w:val="000713F6"/>
    <w:rsid w:val="0007160E"/>
    <w:rsid w:val="00071B2F"/>
    <w:rsid w:val="0007295B"/>
    <w:rsid w:val="00072EA8"/>
    <w:rsid w:val="0007303C"/>
    <w:rsid w:val="00073044"/>
    <w:rsid w:val="0007319C"/>
    <w:rsid w:val="000737EB"/>
    <w:rsid w:val="00073E5C"/>
    <w:rsid w:val="000742B4"/>
    <w:rsid w:val="000743C2"/>
    <w:rsid w:val="000748FD"/>
    <w:rsid w:val="00074A73"/>
    <w:rsid w:val="00074FA6"/>
    <w:rsid w:val="00075B74"/>
    <w:rsid w:val="00076F30"/>
    <w:rsid w:val="000774F7"/>
    <w:rsid w:val="00077C4A"/>
    <w:rsid w:val="00080347"/>
    <w:rsid w:val="0008060A"/>
    <w:rsid w:val="00080E45"/>
    <w:rsid w:val="00081231"/>
    <w:rsid w:val="00081C49"/>
    <w:rsid w:val="00081C60"/>
    <w:rsid w:val="000820BF"/>
    <w:rsid w:val="00083194"/>
    <w:rsid w:val="0008392A"/>
    <w:rsid w:val="00083DC9"/>
    <w:rsid w:val="00083F51"/>
    <w:rsid w:val="000841FA"/>
    <w:rsid w:val="0008439A"/>
    <w:rsid w:val="0008445C"/>
    <w:rsid w:val="00084B62"/>
    <w:rsid w:val="00084ED7"/>
    <w:rsid w:val="000857D3"/>
    <w:rsid w:val="00085FDC"/>
    <w:rsid w:val="000862DA"/>
    <w:rsid w:val="000863D6"/>
    <w:rsid w:val="0008672B"/>
    <w:rsid w:val="00086ECE"/>
    <w:rsid w:val="000909AA"/>
    <w:rsid w:val="00091900"/>
    <w:rsid w:val="0009212D"/>
    <w:rsid w:val="00092F59"/>
    <w:rsid w:val="00093030"/>
    <w:rsid w:val="0009365A"/>
    <w:rsid w:val="00093FD1"/>
    <w:rsid w:val="000943C6"/>
    <w:rsid w:val="000946C8"/>
    <w:rsid w:val="00094793"/>
    <w:rsid w:val="00094CBF"/>
    <w:rsid w:val="000951A5"/>
    <w:rsid w:val="0009555D"/>
    <w:rsid w:val="00096949"/>
    <w:rsid w:val="00096C33"/>
    <w:rsid w:val="00097100"/>
    <w:rsid w:val="000974D6"/>
    <w:rsid w:val="0009762E"/>
    <w:rsid w:val="00097901"/>
    <w:rsid w:val="00097C6F"/>
    <w:rsid w:val="00097DD4"/>
    <w:rsid w:val="000A01AE"/>
    <w:rsid w:val="000A03F8"/>
    <w:rsid w:val="000A18B2"/>
    <w:rsid w:val="000A1A6F"/>
    <w:rsid w:val="000A2952"/>
    <w:rsid w:val="000A39FA"/>
    <w:rsid w:val="000A3F86"/>
    <w:rsid w:val="000A4300"/>
    <w:rsid w:val="000A4837"/>
    <w:rsid w:val="000A4A0D"/>
    <w:rsid w:val="000A4DCC"/>
    <w:rsid w:val="000A50E1"/>
    <w:rsid w:val="000A57AC"/>
    <w:rsid w:val="000A5D27"/>
    <w:rsid w:val="000A7DCF"/>
    <w:rsid w:val="000B075C"/>
    <w:rsid w:val="000B0D96"/>
    <w:rsid w:val="000B0FAA"/>
    <w:rsid w:val="000B1685"/>
    <w:rsid w:val="000B1724"/>
    <w:rsid w:val="000B1799"/>
    <w:rsid w:val="000B20C7"/>
    <w:rsid w:val="000B2C45"/>
    <w:rsid w:val="000B2CCA"/>
    <w:rsid w:val="000B3887"/>
    <w:rsid w:val="000B3F0E"/>
    <w:rsid w:val="000B4400"/>
    <w:rsid w:val="000B4B19"/>
    <w:rsid w:val="000B4E43"/>
    <w:rsid w:val="000B5259"/>
    <w:rsid w:val="000B736F"/>
    <w:rsid w:val="000C0714"/>
    <w:rsid w:val="000C0893"/>
    <w:rsid w:val="000C0C4E"/>
    <w:rsid w:val="000C16AA"/>
    <w:rsid w:val="000C2C76"/>
    <w:rsid w:val="000C31AA"/>
    <w:rsid w:val="000C3342"/>
    <w:rsid w:val="000C373C"/>
    <w:rsid w:val="000C3A3A"/>
    <w:rsid w:val="000C4293"/>
    <w:rsid w:val="000C51E9"/>
    <w:rsid w:val="000C582B"/>
    <w:rsid w:val="000C58E1"/>
    <w:rsid w:val="000C5A88"/>
    <w:rsid w:val="000C5BD0"/>
    <w:rsid w:val="000C5BFF"/>
    <w:rsid w:val="000C7CE1"/>
    <w:rsid w:val="000C7FD8"/>
    <w:rsid w:val="000D0663"/>
    <w:rsid w:val="000D066A"/>
    <w:rsid w:val="000D0B0C"/>
    <w:rsid w:val="000D10B8"/>
    <w:rsid w:val="000D1646"/>
    <w:rsid w:val="000D1B14"/>
    <w:rsid w:val="000D21AF"/>
    <w:rsid w:val="000D2D27"/>
    <w:rsid w:val="000D3BC2"/>
    <w:rsid w:val="000D496E"/>
    <w:rsid w:val="000D4D7A"/>
    <w:rsid w:val="000D565A"/>
    <w:rsid w:val="000D6DD4"/>
    <w:rsid w:val="000D6F77"/>
    <w:rsid w:val="000D7049"/>
    <w:rsid w:val="000D71B8"/>
    <w:rsid w:val="000D7A40"/>
    <w:rsid w:val="000D7E90"/>
    <w:rsid w:val="000D7FF3"/>
    <w:rsid w:val="000E0127"/>
    <w:rsid w:val="000E03A7"/>
    <w:rsid w:val="000E05AB"/>
    <w:rsid w:val="000E07D7"/>
    <w:rsid w:val="000E0FF9"/>
    <w:rsid w:val="000E1012"/>
    <w:rsid w:val="000E1A14"/>
    <w:rsid w:val="000E1D79"/>
    <w:rsid w:val="000E30BB"/>
    <w:rsid w:val="000E3A05"/>
    <w:rsid w:val="000E4018"/>
    <w:rsid w:val="000E4028"/>
    <w:rsid w:val="000E41CA"/>
    <w:rsid w:val="000E4C8A"/>
    <w:rsid w:val="000E51C9"/>
    <w:rsid w:val="000E56A9"/>
    <w:rsid w:val="000E56E4"/>
    <w:rsid w:val="000E5A34"/>
    <w:rsid w:val="000E5B58"/>
    <w:rsid w:val="000E5D1B"/>
    <w:rsid w:val="000E6531"/>
    <w:rsid w:val="000E7CD9"/>
    <w:rsid w:val="000F0118"/>
    <w:rsid w:val="000F012A"/>
    <w:rsid w:val="000F0735"/>
    <w:rsid w:val="000F0ADB"/>
    <w:rsid w:val="000F1293"/>
    <w:rsid w:val="000F13E9"/>
    <w:rsid w:val="000F1680"/>
    <w:rsid w:val="000F1760"/>
    <w:rsid w:val="000F1936"/>
    <w:rsid w:val="000F26BE"/>
    <w:rsid w:val="000F2D4B"/>
    <w:rsid w:val="000F2F66"/>
    <w:rsid w:val="000F3155"/>
    <w:rsid w:val="000F325E"/>
    <w:rsid w:val="000F354C"/>
    <w:rsid w:val="000F36A8"/>
    <w:rsid w:val="000F3ECE"/>
    <w:rsid w:val="000F48D0"/>
    <w:rsid w:val="000F4DAE"/>
    <w:rsid w:val="000F53C0"/>
    <w:rsid w:val="000F552A"/>
    <w:rsid w:val="000F63FB"/>
    <w:rsid w:val="000F66B3"/>
    <w:rsid w:val="000F6A66"/>
    <w:rsid w:val="000F6F5F"/>
    <w:rsid w:val="000F7403"/>
    <w:rsid w:val="000F741D"/>
    <w:rsid w:val="000F7CE1"/>
    <w:rsid w:val="000F7D5F"/>
    <w:rsid w:val="0010049C"/>
    <w:rsid w:val="0010090C"/>
    <w:rsid w:val="00100F5A"/>
    <w:rsid w:val="00101209"/>
    <w:rsid w:val="001015C5"/>
    <w:rsid w:val="001028B5"/>
    <w:rsid w:val="00102C8C"/>
    <w:rsid w:val="00104517"/>
    <w:rsid w:val="001046FA"/>
    <w:rsid w:val="00104C65"/>
    <w:rsid w:val="001058A1"/>
    <w:rsid w:val="00105C6A"/>
    <w:rsid w:val="001062B8"/>
    <w:rsid w:val="001067B0"/>
    <w:rsid w:val="001067C0"/>
    <w:rsid w:val="00107072"/>
    <w:rsid w:val="00107449"/>
    <w:rsid w:val="0010782B"/>
    <w:rsid w:val="00107B9F"/>
    <w:rsid w:val="00107BC6"/>
    <w:rsid w:val="00111058"/>
    <w:rsid w:val="00111224"/>
    <w:rsid w:val="00112566"/>
    <w:rsid w:val="00113810"/>
    <w:rsid w:val="001138C5"/>
    <w:rsid w:val="0011393E"/>
    <w:rsid w:val="001143CF"/>
    <w:rsid w:val="00114453"/>
    <w:rsid w:val="001157A4"/>
    <w:rsid w:val="00115CC8"/>
    <w:rsid w:val="00115D71"/>
    <w:rsid w:val="0011610E"/>
    <w:rsid w:val="001164A6"/>
    <w:rsid w:val="00116A08"/>
    <w:rsid w:val="00117B3B"/>
    <w:rsid w:val="001205BB"/>
    <w:rsid w:val="00120772"/>
    <w:rsid w:val="00120C7D"/>
    <w:rsid w:val="00120F93"/>
    <w:rsid w:val="0012117E"/>
    <w:rsid w:val="00121259"/>
    <w:rsid w:val="0012173C"/>
    <w:rsid w:val="00121C49"/>
    <w:rsid w:val="00121F49"/>
    <w:rsid w:val="0012226F"/>
    <w:rsid w:val="001225FE"/>
    <w:rsid w:val="00123A09"/>
    <w:rsid w:val="00123A33"/>
    <w:rsid w:val="00123BD2"/>
    <w:rsid w:val="00124464"/>
    <w:rsid w:val="00125D0D"/>
    <w:rsid w:val="00126D70"/>
    <w:rsid w:val="00127B00"/>
    <w:rsid w:val="0013007D"/>
    <w:rsid w:val="0013022B"/>
    <w:rsid w:val="00130371"/>
    <w:rsid w:val="00130454"/>
    <w:rsid w:val="0013054F"/>
    <w:rsid w:val="0013158A"/>
    <w:rsid w:val="00131D8B"/>
    <w:rsid w:val="00132616"/>
    <w:rsid w:val="00132F6B"/>
    <w:rsid w:val="0013341E"/>
    <w:rsid w:val="00133AD0"/>
    <w:rsid w:val="00133BCC"/>
    <w:rsid w:val="00133EBC"/>
    <w:rsid w:val="0013438D"/>
    <w:rsid w:val="00134395"/>
    <w:rsid w:val="00135C48"/>
    <w:rsid w:val="001372AE"/>
    <w:rsid w:val="001374C1"/>
    <w:rsid w:val="00137AF9"/>
    <w:rsid w:val="00140290"/>
    <w:rsid w:val="001405B2"/>
    <w:rsid w:val="0014075D"/>
    <w:rsid w:val="00141D08"/>
    <w:rsid w:val="00142152"/>
    <w:rsid w:val="00142826"/>
    <w:rsid w:val="00143F78"/>
    <w:rsid w:val="00144655"/>
    <w:rsid w:val="00145039"/>
    <w:rsid w:val="00145BF9"/>
    <w:rsid w:val="00145CF0"/>
    <w:rsid w:val="00145DD1"/>
    <w:rsid w:val="00145E98"/>
    <w:rsid w:val="00146787"/>
    <w:rsid w:val="0014686F"/>
    <w:rsid w:val="00146E95"/>
    <w:rsid w:val="00147770"/>
    <w:rsid w:val="001502A5"/>
    <w:rsid w:val="0015053A"/>
    <w:rsid w:val="00151318"/>
    <w:rsid w:val="00152397"/>
    <w:rsid w:val="001524CB"/>
    <w:rsid w:val="00152876"/>
    <w:rsid w:val="00152ABC"/>
    <w:rsid w:val="00152D09"/>
    <w:rsid w:val="001536E7"/>
    <w:rsid w:val="0015375A"/>
    <w:rsid w:val="00153BD0"/>
    <w:rsid w:val="00153E31"/>
    <w:rsid w:val="001542F8"/>
    <w:rsid w:val="00154FEE"/>
    <w:rsid w:val="00155979"/>
    <w:rsid w:val="00155E21"/>
    <w:rsid w:val="00155F7E"/>
    <w:rsid w:val="001560EB"/>
    <w:rsid w:val="001566B7"/>
    <w:rsid w:val="001566DD"/>
    <w:rsid w:val="0015670A"/>
    <w:rsid w:val="00156DA9"/>
    <w:rsid w:val="00157699"/>
    <w:rsid w:val="001602BF"/>
    <w:rsid w:val="001603E8"/>
    <w:rsid w:val="001604F2"/>
    <w:rsid w:val="0016140F"/>
    <w:rsid w:val="00161562"/>
    <w:rsid w:val="00161722"/>
    <w:rsid w:val="00161818"/>
    <w:rsid w:val="00161CEF"/>
    <w:rsid w:val="00162145"/>
    <w:rsid w:val="0016238B"/>
    <w:rsid w:val="001624C6"/>
    <w:rsid w:val="00162964"/>
    <w:rsid w:val="0016299B"/>
    <w:rsid w:val="00164B62"/>
    <w:rsid w:val="00165280"/>
    <w:rsid w:val="00165346"/>
    <w:rsid w:val="00165C5C"/>
    <w:rsid w:val="0016704E"/>
    <w:rsid w:val="00167679"/>
    <w:rsid w:val="00167CF1"/>
    <w:rsid w:val="001725D7"/>
    <w:rsid w:val="00172D6B"/>
    <w:rsid w:val="001734E3"/>
    <w:rsid w:val="0017378B"/>
    <w:rsid w:val="00174295"/>
    <w:rsid w:val="00174AAB"/>
    <w:rsid w:val="00174BAB"/>
    <w:rsid w:val="00174C54"/>
    <w:rsid w:val="00175473"/>
    <w:rsid w:val="001764FC"/>
    <w:rsid w:val="001766BC"/>
    <w:rsid w:val="00176A1F"/>
    <w:rsid w:val="00176D6E"/>
    <w:rsid w:val="0017730F"/>
    <w:rsid w:val="00180000"/>
    <w:rsid w:val="00180441"/>
    <w:rsid w:val="001805A2"/>
    <w:rsid w:val="00180D69"/>
    <w:rsid w:val="00180DF9"/>
    <w:rsid w:val="00180EA7"/>
    <w:rsid w:val="00180F56"/>
    <w:rsid w:val="001815C4"/>
    <w:rsid w:val="0018188C"/>
    <w:rsid w:val="001818CA"/>
    <w:rsid w:val="00181A6D"/>
    <w:rsid w:val="00181B97"/>
    <w:rsid w:val="00182467"/>
    <w:rsid w:val="00182ADF"/>
    <w:rsid w:val="001833F1"/>
    <w:rsid w:val="001834CD"/>
    <w:rsid w:val="00183ACB"/>
    <w:rsid w:val="00183DC9"/>
    <w:rsid w:val="0018424A"/>
    <w:rsid w:val="00184C31"/>
    <w:rsid w:val="001852A5"/>
    <w:rsid w:val="0018530A"/>
    <w:rsid w:val="00185E39"/>
    <w:rsid w:val="001868CE"/>
    <w:rsid w:val="00186AD6"/>
    <w:rsid w:val="001875E9"/>
    <w:rsid w:val="00187B8A"/>
    <w:rsid w:val="001906C9"/>
    <w:rsid w:val="00190DE8"/>
    <w:rsid w:val="001910E7"/>
    <w:rsid w:val="00191214"/>
    <w:rsid w:val="001919ED"/>
    <w:rsid w:val="00191D15"/>
    <w:rsid w:val="00192607"/>
    <w:rsid w:val="0019274E"/>
    <w:rsid w:val="0019286A"/>
    <w:rsid w:val="00192D70"/>
    <w:rsid w:val="00194B31"/>
    <w:rsid w:val="00194FB8"/>
    <w:rsid w:val="00195B4A"/>
    <w:rsid w:val="00195F6B"/>
    <w:rsid w:val="00196E37"/>
    <w:rsid w:val="0019759D"/>
    <w:rsid w:val="001A0049"/>
    <w:rsid w:val="001A073D"/>
    <w:rsid w:val="001A1E6A"/>
    <w:rsid w:val="001A1FB4"/>
    <w:rsid w:val="001A2186"/>
    <w:rsid w:val="001A2355"/>
    <w:rsid w:val="001A3BDE"/>
    <w:rsid w:val="001A4618"/>
    <w:rsid w:val="001A48D7"/>
    <w:rsid w:val="001A5A6F"/>
    <w:rsid w:val="001A5F76"/>
    <w:rsid w:val="001A683F"/>
    <w:rsid w:val="001A709E"/>
    <w:rsid w:val="001A78B8"/>
    <w:rsid w:val="001A7B11"/>
    <w:rsid w:val="001A7B74"/>
    <w:rsid w:val="001B0542"/>
    <w:rsid w:val="001B08D0"/>
    <w:rsid w:val="001B197A"/>
    <w:rsid w:val="001B226F"/>
    <w:rsid w:val="001B291E"/>
    <w:rsid w:val="001B2CED"/>
    <w:rsid w:val="001B3613"/>
    <w:rsid w:val="001B36D1"/>
    <w:rsid w:val="001B4048"/>
    <w:rsid w:val="001B41C6"/>
    <w:rsid w:val="001B4A7E"/>
    <w:rsid w:val="001B5808"/>
    <w:rsid w:val="001B5A79"/>
    <w:rsid w:val="001B5B4B"/>
    <w:rsid w:val="001B6431"/>
    <w:rsid w:val="001B6C08"/>
    <w:rsid w:val="001B6FC9"/>
    <w:rsid w:val="001B7383"/>
    <w:rsid w:val="001B75C7"/>
    <w:rsid w:val="001B7A0B"/>
    <w:rsid w:val="001B7AD7"/>
    <w:rsid w:val="001B7F4B"/>
    <w:rsid w:val="001C0037"/>
    <w:rsid w:val="001C0130"/>
    <w:rsid w:val="001C01B8"/>
    <w:rsid w:val="001C01C3"/>
    <w:rsid w:val="001C072A"/>
    <w:rsid w:val="001C08F5"/>
    <w:rsid w:val="001C0BC5"/>
    <w:rsid w:val="001C1392"/>
    <w:rsid w:val="001C1AD5"/>
    <w:rsid w:val="001C1F16"/>
    <w:rsid w:val="001C219C"/>
    <w:rsid w:val="001C2313"/>
    <w:rsid w:val="001C25DD"/>
    <w:rsid w:val="001C25E9"/>
    <w:rsid w:val="001C2A9F"/>
    <w:rsid w:val="001C2BF7"/>
    <w:rsid w:val="001C34D0"/>
    <w:rsid w:val="001C3BF8"/>
    <w:rsid w:val="001C3F20"/>
    <w:rsid w:val="001C48DD"/>
    <w:rsid w:val="001C5050"/>
    <w:rsid w:val="001C537A"/>
    <w:rsid w:val="001C5729"/>
    <w:rsid w:val="001C5C2D"/>
    <w:rsid w:val="001C5C50"/>
    <w:rsid w:val="001C5D2B"/>
    <w:rsid w:val="001C5D82"/>
    <w:rsid w:val="001C6A8B"/>
    <w:rsid w:val="001C6AE5"/>
    <w:rsid w:val="001C72A2"/>
    <w:rsid w:val="001C761E"/>
    <w:rsid w:val="001C77C7"/>
    <w:rsid w:val="001C7973"/>
    <w:rsid w:val="001C7DDB"/>
    <w:rsid w:val="001D00C5"/>
    <w:rsid w:val="001D05EE"/>
    <w:rsid w:val="001D071D"/>
    <w:rsid w:val="001D0B0A"/>
    <w:rsid w:val="001D0D46"/>
    <w:rsid w:val="001D19B5"/>
    <w:rsid w:val="001D1A7D"/>
    <w:rsid w:val="001D1D64"/>
    <w:rsid w:val="001D1DB3"/>
    <w:rsid w:val="001D1F26"/>
    <w:rsid w:val="001D2560"/>
    <w:rsid w:val="001D2983"/>
    <w:rsid w:val="001D2CA8"/>
    <w:rsid w:val="001D402D"/>
    <w:rsid w:val="001D42D6"/>
    <w:rsid w:val="001D5000"/>
    <w:rsid w:val="001D5248"/>
    <w:rsid w:val="001D5363"/>
    <w:rsid w:val="001D56C1"/>
    <w:rsid w:val="001D5B73"/>
    <w:rsid w:val="001D608F"/>
    <w:rsid w:val="001D7BF8"/>
    <w:rsid w:val="001D7D30"/>
    <w:rsid w:val="001E01AE"/>
    <w:rsid w:val="001E0E06"/>
    <w:rsid w:val="001E0E1B"/>
    <w:rsid w:val="001E10D3"/>
    <w:rsid w:val="001E215C"/>
    <w:rsid w:val="001E22C1"/>
    <w:rsid w:val="001E24ED"/>
    <w:rsid w:val="001E2935"/>
    <w:rsid w:val="001E3991"/>
    <w:rsid w:val="001E3E08"/>
    <w:rsid w:val="001E42D4"/>
    <w:rsid w:val="001E4679"/>
    <w:rsid w:val="001E48CE"/>
    <w:rsid w:val="001E4BDE"/>
    <w:rsid w:val="001E4CB2"/>
    <w:rsid w:val="001E5445"/>
    <w:rsid w:val="001E5770"/>
    <w:rsid w:val="001E5FC7"/>
    <w:rsid w:val="001E6020"/>
    <w:rsid w:val="001E6393"/>
    <w:rsid w:val="001E7818"/>
    <w:rsid w:val="001E7919"/>
    <w:rsid w:val="001F0FF7"/>
    <w:rsid w:val="001F19A9"/>
    <w:rsid w:val="001F1C9E"/>
    <w:rsid w:val="001F1F0F"/>
    <w:rsid w:val="001F2027"/>
    <w:rsid w:val="001F20D6"/>
    <w:rsid w:val="001F22EC"/>
    <w:rsid w:val="001F2A30"/>
    <w:rsid w:val="001F2C0B"/>
    <w:rsid w:val="001F39B0"/>
    <w:rsid w:val="001F429F"/>
    <w:rsid w:val="001F4899"/>
    <w:rsid w:val="001F49A4"/>
    <w:rsid w:val="001F5070"/>
    <w:rsid w:val="001F5BA5"/>
    <w:rsid w:val="001F6228"/>
    <w:rsid w:val="001F6AE2"/>
    <w:rsid w:val="001F74B5"/>
    <w:rsid w:val="001F79B3"/>
    <w:rsid w:val="001F7B80"/>
    <w:rsid w:val="00200121"/>
    <w:rsid w:val="00200BAC"/>
    <w:rsid w:val="00200CB4"/>
    <w:rsid w:val="002010BB"/>
    <w:rsid w:val="0020116B"/>
    <w:rsid w:val="002019B6"/>
    <w:rsid w:val="00201A3E"/>
    <w:rsid w:val="00201C3F"/>
    <w:rsid w:val="002025B2"/>
    <w:rsid w:val="00202A3D"/>
    <w:rsid w:val="00202A80"/>
    <w:rsid w:val="00202B4D"/>
    <w:rsid w:val="00202B5A"/>
    <w:rsid w:val="00202C83"/>
    <w:rsid w:val="00203C8F"/>
    <w:rsid w:val="00203E7D"/>
    <w:rsid w:val="002044D1"/>
    <w:rsid w:val="00204506"/>
    <w:rsid w:val="00204860"/>
    <w:rsid w:val="00204958"/>
    <w:rsid w:val="00204A47"/>
    <w:rsid w:val="00205595"/>
    <w:rsid w:val="0020576B"/>
    <w:rsid w:val="00205B3F"/>
    <w:rsid w:val="0020601B"/>
    <w:rsid w:val="0020797C"/>
    <w:rsid w:val="00207CBA"/>
    <w:rsid w:val="00210440"/>
    <w:rsid w:val="0021045D"/>
    <w:rsid w:val="0021182B"/>
    <w:rsid w:val="00213DAD"/>
    <w:rsid w:val="00214A44"/>
    <w:rsid w:val="00215CED"/>
    <w:rsid w:val="00215D14"/>
    <w:rsid w:val="00215E43"/>
    <w:rsid w:val="002164DD"/>
    <w:rsid w:val="002167DB"/>
    <w:rsid w:val="0021689F"/>
    <w:rsid w:val="002168E2"/>
    <w:rsid w:val="0021756A"/>
    <w:rsid w:val="00217774"/>
    <w:rsid w:val="00217ED5"/>
    <w:rsid w:val="002204A7"/>
    <w:rsid w:val="00220881"/>
    <w:rsid w:val="00220A1C"/>
    <w:rsid w:val="00223761"/>
    <w:rsid w:val="00223CB6"/>
    <w:rsid w:val="002243A8"/>
    <w:rsid w:val="002251C3"/>
    <w:rsid w:val="00225B82"/>
    <w:rsid w:val="00225BBC"/>
    <w:rsid w:val="00225F42"/>
    <w:rsid w:val="00226126"/>
    <w:rsid w:val="002264A6"/>
    <w:rsid w:val="0022737F"/>
    <w:rsid w:val="00227537"/>
    <w:rsid w:val="00230082"/>
    <w:rsid w:val="0023034B"/>
    <w:rsid w:val="00230FE7"/>
    <w:rsid w:val="0023283A"/>
    <w:rsid w:val="00232EBF"/>
    <w:rsid w:val="002332A0"/>
    <w:rsid w:val="00233D66"/>
    <w:rsid w:val="002341A3"/>
    <w:rsid w:val="002349F8"/>
    <w:rsid w:val="00235983"/>
    <w:rsid w:val="00235C33"/>
    <w:rsid w:val="00235E41"/>
    <w:rsid w:val="00236217"/>
    <w:rsid w:val="00236576"/>
    <w:rsid w:val="00236689"/>
    <w:rsid w:val="00236C2D"/>
    <w:rsid w:val="002375DB"/>
    <w:rsid w:val="00237709"/>
    <w:rsid w:val="002404DD"/>
    <w:rsid w:val="002405E0"/>
    <w:rsid w:val="00240BFA"/>
    <w:rsid w:val="00241863"/>
    <w:rsid w:val="0024246E"/>
    <w:rsid w:val="00242BBF"/>
    <w:rsid w:val="00242BCE"/>
    <w:rsid w:val="002435A1"/>
    <w:rsid w:val="002439D6"/>
    <w:rsid w:val="00243C66"/>
    <w:rsid w:val="00244759"/>
    <w:rsid w:val="002452DE"/>
    <w:rsid w:val="0024556B"/>
    <w:rsid w:val="00246158"/>
    <w:rsid w:val="002467C8"/>
    <w:rsid w:val="002472BB"/>
    <w:rsid w:val="002474B8"/>
    <w:rsid w:val="0024759C"/>
    <w:rsid w:val="0024760F"/>
    <w:rsid w:val="002504A4"/>
    <w:rsid w:val="002510E3"/>
    <w:rsid w:val="00251515"/>
    <w:rsid w:val="00251878"/>
    <w:rsid w:val="00251BC5"/>
    <w:rsid w:val="0025289D"/>
    <w:rsid w:val="00252904"/>
    <w:rsid w:val="0025366B"/>
    <w:rsid w:val="00253AE0"/>
    <w:rsid w:val="00253BB5"/>
    <w:rsid w:val="00253CFB"/>
    <w:rsid w:val="0025416A"/>
    <w:rsid w:val="0025430E"/>
    <w:rsid w:val="00254A19"/>
    <w:rsid w:val="002551F0"/>
    <w:rsid w:val="00255AA0"/>
    <w:rsid w:val="00255CE2"/>
    <w:rsid w:val="00256125"/>
    <w:rsid w:val="00256D1C"/>
    <w:rsid w:val="00257014"/>
    <w:rsid w:val="00257408"/>
    <w:rsid w:val="00257896"/>
    <w:rsid w:val="0026020A"/>
    <w:rsid w:val="00260225"/>
    <w:rsid w:val="00260BA0"/>
    <w:rsid w:val="00260E0F"/>
    <w:rsid w:val="002621A5"/>
    <w:rsid w:val="002624D6"/>
    <w:rsid w:val="002628A7"/>
    <w:rsid w:val="00262B85"/>
    <w:rsid w:val="00262BCD"/>
    <w:rsid w:val="002632AB"/>
    <w:rsid w:val="00263D2E"/>
    <w:rsid w:val="00264049"/>
    <w:rsid w:val="002649B4"/>
    <w:rsid w:val="00264A2A"/>
    <w:rsid w:val="00265865"/>
    <w:rsid w:val="00265C66"/>
    <w:rsid w:val="00265F01"/>
    <w:rsid w:val="00265FF2"/>
    <w:rsid w:val="002661CE"/>
    <w:rsid w:val="0026644C"/>
    <w:rsid w:val="002666C2"/>
    <w:rsid w:val="00266A89"/>
    <w:rsid w:val="0027018A"/>
    <w:rsid w:val="0027032C"/>
    <w:rsid w:val="00270383"/>
    <w:rsid w:val="00270574"/>
    <w:rsid w:val="00270A98"/>
    <w:rsid w:val="00271192"/>
    <w:rsid w:val="00271958"/>
    <w:rsid w:val="00271F83"/>
    <w:rsid w:val="00271FAE"/>
    <w:rsid w:val="00271FF1"/>
    <w:rsid w:val="002722A7"/>
    <w:rsid w:val="00272552"/>
    <w:rsid w:val="00272B72"/>
    <w:rsid w:val="0027337F"/>
    <w:rsid w:val="0027363C"/>
    <w:rsid w:val="00273E62"/>
    <w:rsid w:val="0027431C"/>
    <w:rsid w:val="0027439D"/>
    <w:rsid w:val="0027482C"/>
    <w:rsid w:val="00274D90"/>
    <w:rsid w:val="00274DA0"/>
    <w:rsid w:val="00274EF3"/>
    <w:rsid w:val="00275147"/>
    <w:rsid w:val="00275171"/>
    <w:rsid w:val="00275373"/>
    <w:rsid w:val="00275873"/>
    <w:rsid w:val="00275D6D"/>
    <w:rsid w:val="00275E4D"/>
    <w:rsid w:val="0027687A"/>
    <w:rsid w:val="00276927"/>
    <w:rsid w:val="0027729B"/>
    <w:rsid w:val="00277873"/>
    <w:rsid w:val="0028050E"/>
    <w:rsid w:val="00280F22"/>
    <w:rsid w:val="00281468"/>
    <w:rsid w:val="00281AA1"/>
    <w:rsid w:val="00281FC6"/>
    <w:rsid w:val="00281FFC"/>
    <w:rsid w:val="00282665"/>
    <w:rsid w:val="00282CF1"/>
    <w:rsid w:val="00282F31"/>
    <w:rsid w:val="0028324D"/>
    <w:rsid w:val="002840D7"/>
    <w:rsid w:val="00284B34"/>
    <w:rsid w:val="00284EAC"/>
    <w:rsid w:val="00285321"/>
    <w:rsid w:val="002856AB"/>
    <w:rsid w:val="002858BC"/>
    <w:rsid w:val="00285944"/>
    <w:rsid w:val="00285CE2"/>
    <w:rsid w:val="00286705"/>
    <w:rsid w:val="00286F2A"/>
    <w:rsid w:val="00287707"/>
    <w:rsid w:val="002878A7"/>
    <w:rsid w:val="00287D5C"/>
    <w:rsid w:val="00287DCD"/>
    <w:rsid w:val="00287DD2"/>
    <w:rsid w:val="0029075B"/>
    <w:rsid w:val="002909ED"/>
    <w:rsid w:val="00290A48"/>
    <w:rsid w:val="00290F25"/>
    <w:rsid w:val="00292053"/>
    <w:rsid w:val="00292DC0"/>
    <w:rsid w:val="00293046"/>
    <w:rsid w:val="0029370A"/>
    <w:rsid w:val="00293BCC"/>
    <w:rsid w:val="00293BEE"/>
    <w:rsid w:val="00293CB2"/>
    <w:rsid w:val="00294159"/>
    <w:rsid w:val="00294BF1"/>
    <w:rsid w:val="00294FBF"/>
    <w:rsid w:val="0029545D"/>
    <w:rsid w:val="002954F8"/>
    <w:rsid w:val="002955AB"/>
    <w:rsid w:val="002960BE"/>
    <w:rsid w:val="002960D1"/>
    <w:rsid w:val="002963C5"/>
    <w:rsid w:val="00296998"/>
    <w:rsid w:val="00296BB6"/>
    <w:rsid w:val="002A0965"/>
    <w:rsid w:val="002A1988"/>
    <w:rsid w:val="002A2557"/>
    <w:rsid w:val="002A3271"/>
    <w:rsid w:val="002A35DB"/>
    <w:rsid w:val="002A382E"/>
    <w:rsid w:val="002A393C"/>
    <w:rsid w:val="002A3B56"/>
    <w:rsid w:val="002A4645"/>
    <w:rsid w:val="002A46B0"/>
    <w:rsid w:val="002A4CF0"/>
    <w:rsid w:val="002A4E30"/>
    <w:rsid w:val="002A5121"/>
    <w:rsid w:val="002A58B8"/>
    <w:rsid w:val="002A5D39"/>
    <w:rsid w:val="002A6FDC"/>
    <w:rsid w:val="002A7AC4"/>
    <w:rsid w:val="002A7C61"/>
    <w:rsid w:val="002A7F50"/>
    <w:rsid w:val="002B081D"/>
    <w:rsid w:val="002B0EF2"/>
    <w:rsid w:val="002B1180"/>
    <w:rsid w:val="002B19A6"/>
    <w:rsid w:val="002B2C7F"/>
    <w:rsid w:val="002B4BAD"/>
    <w:rsid w:val="002B4C8B"/>
    <w:rsid w:val="002B4E4C"/>
    <w:rsid w:val="002B51B4"/>
    <w:rsid w:val="002B529D"/>
    <w:rsid w:val="002B5C45"/>
    <w:rsid w:val="002B68BA"/>
    <w:rsid w:val="002B6A99"/>
    <w:rsid w:val="002B6EAE"/>
    <w:rsid w:val="002B7443"/>
    <w:rsid w:val="002B7AEB"/>
    <w:rsid w:val="002B7EDA"/>
    <w:rsid w:val="002C0533"/>
    <w:rsid w:val="002C0935"/>
    <w:rsid w:val="002C0E04"/>
    <w:rsid w:val="002C14C3"/>
    <w:rsid w:val="002C29E6"/>
    <w:rsid w:val="002C2B4E"/>
    <w:rsid w:val="002C3215"/>
    <w:rsid w:val="002C3898"/>
    <w:rsid w:val="002C3C81"/>
    <w:rsid w:val="002C3D2B"/>
    <w:rsid w:val="002C4173"/>
    <w:rsid w:val="002C4AC8"/>
    <w:rsid w:val="002C4FD0"/>
    <w:rsid w:val="002C5158"/>
    <w:rsid w:val="002C559F"/>
    <w:rsid w:val="002C598E"/>
    <w:rsid w:val="002C60EE"/>
    <w:rsid w:val="002C6550"/>
    <w:rsid w:val="002C7288"/>
    <w:rsid w:val="002C750D"/>
    <w:rsid w:val="002C7593"/>
    <w:rsid w:val="002C79F5"/>
    <w:rsid w:val="002C7E0D"/>
    <w:rsid w:val="002C7FBE"/>
    <w:rsid w:val="002D0D37"/>
    <w:rsid w:val="002D11B1"/>
    <w:rsid w:val="002D128B"/>
    <w:rsid w:val="002D12FB"/>
    <w:rsid w:val="002D2121"/>
    <w:rsid w:val="002D2141"/>
    <w:rsid w:val="002D2429"/>
    <w:rsid w:val="002D2A3D"/>
    <w:rsid w:val="002D2EE3"/>
    <w:rsid w:val="002D32BB"/>
    <w:rsid w:val="002D33D2"/>
    <w:rsid w:val="002D4595"/>
    <w:rsid w:val="002D4A0B"/>
    <w:rsid w:val="002D5307"/>
    <w:rsid w:val="002D54B5"/>
    <w:rsid w:val="002D577E"/>
    <w:rsid w:val="002D6407"/>
    <w:rsid w:val="002D671F"/>
    <w:rsid w:val="002D688A"/>
    <w:rsid w:val="002D70AD"/>
    <w:rsid w:val="002D749D"/>
    <w:rsid w:val="002D74C6"/>
    <w:rsid w:val="002D7CE1"/>
    <w:rsid w:val="002D7E51"/>
    <w:rsid w:val="002E04EB"/>
    <w:rsid w:val="002E1A1B"/>
    <w:rsid w:val="002E1A56"/>
    <w:rsid w:val="002E2534"/>
    <w:rsid w:val="002E3500"/>
    <w:rsid w:val="002E37AF"/>
    <w:rsid w:val="002E3864"/>
    <w:rsid w:val="002E3A57"/>
    <w:rsid w:val="002E454E"/>
    <w:rsid w:val="002E4B3D"/>
    <w:rsid w:val="002E4BEE"/>
    <w:rsid w:val="002E507E"/>
    <w:rsid w:val="002E53AD"/>
    <w:rsid w:val="002E5A57"/>
    <w:rsid w:val="002E5D81"/>
    <w:rsid w:val="002E5DFD"/>
    <w:rsid w:val="002E6494"/>
    <w:rsid w:val="002E6B2A"/>
    <w:rsid w:val="002E7DDC"/>
    <w:rsid w:val="002F0861"/>
    <w:rsid w:val="002F08A2"/>
    <w:rsid w:val="002F11E7"/>
    <w:rsid w:val="002F1318"/>
    <w:rsid w:val="002F225E"/>
    <w:rsid w:val="002F2FD0"/>
    <w:rsid w:val="002F2FF2"/>
    <w:rsid w:val="002F3801"/>
    <w:rsid w:val="002F47E3"/>
    <w:rsid w:val="002F4FD9"/>
    <w:rsid w:val="002F5600"/>
    <w:rsid w:val="002F580C"/>
    <w:rsid w:val="002F65FE"/>
    <w:rsid w:val="002F67E3"/>
    <w:rsid w:val="002F6E1B"/>
    <w:rsid w:val="002F736D"/>
    <w:rsid w:val="002F7782"/>
    <w:rsid w:val="002F797D"/>
    <w:rsid w:val="002F7EC4"/>
    <w:rsid w:val="0030000D"/>
    <w:rsid w:val="00300756"/>
    <w:rsid w:val="00301623"/>
    <w:rsid w:val="00301734"/>
    <w:rsid w:val="00301AAB"/>
    <w:rsid w:val="00301BE4"/>
    <w:rsid w:val="003021C5"/>
    <w:rsid w:val="003022D0"/>
    <w:rsid w:val="00302368"/>
    <w:rsid w:val="003025DE"/>
    <w:rsid w:val="0030353F"/>
    <w:rsid w:val="003038D5"/>
    <w:rsid w:val="00303E0A"/>
    <w:rsid w:val="00304276"/>
    <w:rsid w:val="00304718"/>
    <w:rsid w:val="00304ACD"/>
    <w:rsid w:val="003051D4"/>
    <w:rsid w:val="00305790"/>
    <w:rsid w:val="00305A75"/>
    <w:rsid w:val="00305BAC"/>
    <w:rsid w:val="00305EEF"/>
    <w:rsid w:val="0030631E"/>
    <w:rsid w:val="00306478"/>
    <w:rsid w:val="00306656"/>
    <w:rsid w:val="0030693C"/>
    <w:rsid w:val="003075F5"/>
    <w:rsid w:val="00307601"/>
    <w:rsid w:val="00307AA9"/>
    <w:rsid w:val="00307EDB"/>
    <w:rsid w:val="003101BB"/>
    <w:rsid w:val="003108F3"/>
    <w:rsid w:val="00310D00"/>
    <w:rsid w:val="00310F30"/>
    <w:rsid w:val="003113B9"/>
    <w:rsid w:val="003113C9"/>
    <w:rsid w:val="00311EFA"/>
    <w:rsid w:val="003121D4"/>
    <w:rsid w:val="00312C5C"/>
    <w:rsid w:val="00312F5A"/>
    <w:rsid w:val="00312FA8"/>
    <w:rsid w:val="00313B9B"/>
    <w:rsid w:val="00313EE6"/>
    <w:rsid w:val="0031414D"/>
    <w:rsid w:val="003143D3"/>
    <w:rsid w:val="00314E0C"/>
    <w:rsid w:val="0031528D"/>
    <w:rsid w:val="0031538A"/>
    <w:rsid w:val="00315704"/>
    <w:rsid w:val="00315824"/>
    <w:rsid w:val="00315BFE"/>
    <w:rsid w:val="00315CC1"/>
    <w:rsid w:val="00315FDE"/>
    <w:rsid w:val="00315FDF"/>
    <w:rsid w:val="00316435"/>
    <w:rsid w:val="003168EC"/>
    <w:rsid w:val="00316F9D"/>
    <w:rsid w:val="00317026"/>
    <w:rsid w:val="003172F4"/>
    <w:rsid w:val="0031737A"/>
    <w:rsid w:val="00317F4B"/>
    <w:rsid w:val="00320E5B"/>
    <w:rsid w:val="00321A0C"/>
    <w:rsid w:val="00322059"/>
    <w:rsid w:val="00322491"/>
    <w:rsid w:val="00322498"/>
    <w:rsid w:val="003225C8"/>
    <w:rsid w:val="0032305C"/>
    <w:rsid w:val="003230AD"/>
    <w:rsid w:val="00323579"/>
    <w:rsid w:val="00323F7B"/>
    <w:rsid w:val="0032419D"/>
    <w:rsid w:val="00324229"/>
    <w:rsid w:val="00324B12"/>
    <w:rsid w:val="003252FF"/>
    <w:rsid w:val="00325E4A"/>
    <w:rsid w:val="00325F9F"/>
    <w:rsid w:val="00326639"/>
    <w:rsid w:val="00326A0D"/>
    <w:rsid w:val="00326D1E"/>
    <w:rsid w:val="00326FC1"/>
    <w:rsid w:val="0032751F"/>
    <w:rsid w:val="00327B2C"/>
    <w:rsid w:val="00327CBE"/>
    <w:rsid w:val="00327CC9"/>
    <w:rsid w:val="00330127"/>
    <w:rsid w:val="00330258"/>
    <w:rsid w:val="0033096A"/>
    <w:rsid w:val="00330C27"/>
    <w:rsid w:val="003314DB"/>
    <w:rsid w:val="00331898"/>
    <w:rsid w:val="00332011"/>
    <w:rsid w:val="003325D8"/>
    <w:rsid w:val="0033272F"/>
    <w:rsid w:val="0033308C"/>
    <w:rsid w:val="00333427"/>
    <w:rsid w:val="00333472"/>
    <w:rsid w:val="00333974"/>
    <w:rsid w:val="00333999"/>
    <w:rsid w:val="003339B3"/>
    <w:rsid w:val="00334078"/>
    <w:rsid w:val="00334267"/>
    <w:rsid w:val="0033563E"/>
    <w:rsid w:val="00335873"/>
    <w:rsid w:val="003359F2"/>
    <w:rsid w:val="00335BDB"/>
    <w:rsid w:val="003367EC"/>
    <w:rsid w:val="00336B49"/>
    <w:rsid w:val="00336FA4"/>
    <w:rsid w:val="003376D4"/>
    <w:rsid w:val="00337BF4"/>
    <w:rsid w:val="0034179B"/>
    <w:rsid w:val="0034207F"/>
    <w:rsid w:val="0034280C"/>
    <w:rsid w:val="00343260"/>
    <w:rsid w:val="00343ECA"/>
    <w:rsid w:val="00344264"/>
    <w:rsid w:val="003447AE"/>
    <w:rsid w:val="00344A84"/>
    <w:rsid w:val="00344FB1"/>
    <w:rsid w:val="00345DFA"/>
    <w:rsid w:val="0034678C"/>
    <w:rsid w:val="00346F59"/>
    <w:rsid w:val="0034789E"/>
    <w:rsid w:val="00347FCE"/>
    <w:rsid w:val="0035025D"/>
    <w:rsid w:val="0035035B"/>
    <w:rsid w:val="00350846"/>
    <w:rsid w:val="003516D2"/>
    <w:rsid w:val="003519A9"/>
    <w:rsid w:val="003525CD"/>
    <w:rsid w:val="003525FC"/>
    <w:rsid w:val="00352FDE"/>
    <w:rsid w:val="00353629"/>
    <w:rsid w:val="003536E3"/>
    <w:rsid w:val="00353B16"/>
    <w:rsid w:val="00353E81"/>
    <w:rsid w:val="00353F17"/>
    <w:rsid w:val="00355009"/>
    <w:rsid w:val="00355C35"/>
    <w:rsid w:val="00355E06"/>
    <w:rsid w:val="003561EE"/>
    <w:rsid w:val="00356768"/>
    <w:rsid w:val="00356BF0"/>
    <w:rsid w:val="0035709F"/>
    <w:rsid w:val="003573E8"/>
    <w:rsid w:val="00360813"/>
    <w:rsid w:val="00360C75"/>
    <w:rsid w:val="00361979"/>
    <w:rsid w:val="00361DE3"/>
    <w:rsid w:val="00362387"/>
    <w:rsid w:val="003659EE"/>
    <w:rsid w:val="00366C75"/>
    <w:rsid w:val="00366DD1"/>
    <w:rsid w:val="00366EAF"/>
    <w:rsid w:val="00367338"/>
    <w:rsid w:val="003678FC"/>
    <w:rsid w:val="00367E35"/>
    <w:rsid w:val="00367EE3"/>
    <w:rsid w:val="00370751"/>
    <w:rsid w:val="003709E7"/>
    <w:rsid w:val="00370BA8"/>
    <w:rsid w:val="00371293"/>
    <w:rsid w:val="00372987"/>
    <w:rsid w:val="00372DE3"/>
    <w:rsid w:val="003731C8"/>
    <w:rsid w:val="00373AE3"/>
    <w:rsid w:val="0037469B"/>
    <w:rsid w:val="0037504E"/>
    <w:rsid w:val="00375A98"/>
    <w:rsid w:val="00375AFD"/>
    <w:rsid w:val="00375EDC"/>
    <w:rsid w:val="00376103"/>
    <w:rsid w:val="00376575"/>
    <w:rsid w:val="00377644"/>
    <w:rsid w:val="00377E53"/>
    <w:rsid w:val="003801FA"/>
    <w:rsid w:val="00381D51"/>
    <w:rsid w:val="00382421"/>
    <w:rsid w:val="0038254C"/>
    <w:rsid w:val="003825D9"/>
    <w:rsid w:val="003826D3"/>
    <w:rsid w:val="00382A78"/>
    <w:rsid w:val="00382D3F"/>
    <w:rsid w:val="003833DC"/>
    <w:rsid w:val="00383461"/>
    <w:rsid w:val="00384535"/>
    <w:rsid w:val="00384706"/>
    <w:rsid w:val="00384828"/>
    <w:rsid w:val="00384DD0"/>
    <w:rsid w:val="00384F58"/>
    <w:rsid w:val="00385979"/>
    <w:rsid w:val="00385DFF"/>
    <w:rsid w:val="0038655B"/>
    <w:rsid w:val="00387008"/>
    <w:rsid w:val="00387552"/>
    <w:rsid w:val="00390187"/>
    <w:rsid w:val="00391669"/>
    <w:rsid w:val="003921F4"/>
    <w:rsid w:val="00392ED9"/>
    <w:rsid w:val="00393461"/>
    <w:rsid w:val="00393F25"/>
    <w:rsid w:val="00393FB8"/>
    <w:rsid w:val="00394F55"/>
    <w:rsid w:val="0039572D"/>
    <w:rsid w:val="0039647E"/>
    <w:rsid w:val="00396776"/>
    <w:rsid w:val="003967BE"/>
    <w:rsid w:val="003974AD"/>
    <w:rsid w:val="003A0CDF"/>
    <w:rsid w:val="003A1607"/>
    <w:rsid w:val="003A1691"/>
    <w:rsid w:val="003A17B5"/>
    <w:rsid w:val="003A22E4"/>
    <w:rsid w:val="003A274F"/>
    <w:rsid w:val="003A29B8"/>
    <w:rsid w:val="003A2FDB"/>
    <w:rsid w:val="003A3165"/>
    <w:rsid w:val="003A3225"/>
    <w:rsid w:val="003A3A5C"/>
    <w:rsid w:val="003A3EDF"/>
    <w:rsid w:val="003A3F9B"/>
    <w:rsid w:val="003A498B"/>
    <w:rsid w:val="003A545B"/>
    <w:rsid w:val="003A61B0"/>
    <w:rsid w:val="003A6621"/>
    <w:rsid w:val="003A6E64"/>
    <w:rsid w:val="003A75DE"/>
    <w:rsid w:val="003B025B"/>
    <w:rsid w:val="003B0702"/>
    <w:rsid w:val="003B09AA"/>
    <w:rsid w:val="003B09DB"/>
    <w:rsid w:val="003B0EB4"/>
    <w:rsid w:val="003B1C47"/>
    <w:rsid w:val="003B2395"/>
    <w:rsid w:val="003B24E2"/>
    <w:rsid w:val="003B28E7"/>
    <w:rsid w:val="003B40A2"/>
    <w:rsid w:val="003B4203"/>
    <w:rsid w:val="003B4487"/>
    <w:rsid w:val="003B6C49"/>
    <w:rsid w:val="003C09F5"/>
    <w:rsid w:val="003C149A"/>
    <w:rsid w:val="003C1905"/>
    <w:rsid w:val="003C1A34"/>
    <w:rsid w:val="003C2663"/>
    <w:rsid w:val="003C2E90"/>
    <w:rsid w:val="003C394B"/>
    <w:rsid w:val="003C4089"/>
    <w:rsid w:val="003C43A7"/>
    <w:rsid w:val="003C43E2"/>
    <w:rsid w:val="003C4664"/>
    <w:rsid w:val="003C4790"/>
    <w:rsid w:val="003C4B24"/>
    <w:rsid w:val="003C50EC"/>
    <w:rsid w:val="003C59DB"/>
    <w:rsid w:val="003C5AD8"/>
    <w:rsid w:val="003C6284"/>
    <w:rsid w:val="003C62CC"/>
    <w:rsid w:val="003C66BD"/>
    <w:rsid w:val="003C6743"/>
    <w:rsid w:val="003C7067"/>
    <w:rsid w:val="003C7A22"/>
    <w:rsid w:val="003C7B46"/>
    <w:rsid w:val="003D061A"/>
    <w:rsid w:val="003D0964"/>
    <w:rsid w:val="003D0B17"/>
    <w:rsid w:val="003D1C29"/>
    <w:rsid w:val="003D1C2F"/>
    <w:rsid w:val="003D1CA8"/>
    <w:rsid w:val="003D21B0"/>
    <w:rsid w:val="003D2FBD"/>
    <w:rsid w:val="003D3103"/>
    <w:rsid w:val="003D348B"/>
    <w:rsid w:val="003D3A69"/>
    <w:rsid w:val="003D4290"/>
    <w:rsid w:val="003D454B"/>
    <w:rsid w:val="003D4E9E"/>
    <w:rsid w:val="003D5438"/>
    <w:rsid w:val="003D573B"/>
    <w:rsid w:val="003D6158"/>
    <w:rsid w:val="003D64FA"/>
    <w:rsid w:val="003D66B8"/>
    <w:rsid w:val="003D68B9"/>
    <w:rsid w:val="003D6AC9"/>
    <w:rsid w:val="003D6E33"/>
    <w:rsid w:val="003D7611"/>
    <w:rsid w:val="003E0255"/>
    <w:rsid w:val="003E051A"/>
    <w:rsid w:val="003E0CA2"/>
    <w:rsid w:val="003E10F0"/>
    <w:rsid w:val="003E13AC"/>
    <w:rsid w:val="003E1F77"/>
    <w:rsid w:val="003E22E0"/>
    <w:rsid w:val="003E2579"/>
    <w:rsid w:val="003E3635"/>
    <w:rsid w:val="003E42B5"/>
    <w:rsid w:val="003E4323"/>
    <w:rsid w:val="003E4678"/>
    <w:rsid w:val="003E4BF6"/>
    <w:rsid w:val="003E5065"/>
    <w:rsid w:val="003E523A"/>
    <w:rsid w:val="003E5992"/>
    <w:rsid w:val="003E5A15"/>
    <w:rsid w:val="003E5ADA"/>
    <w:rsid w:val="003E660B"/>
    <w:rsid w:val="003E74D3"/>
    <w:rsid w:val="003F02CB"/>
    <w:rsid w:val="003F0394"/>
    <w:rsid w:val="003F0A94"/>
    <w:rsid w:val="003F0ADB"/>
    <w:rsid w:val="003F0AE4"/>
    <w:rsid w:val="003F0B55"/>
    <w:rsid w:val="003F0DB6"/>
    <w:rsid w:val="003F218E"/>
    <w:rsid w:val="003F2536"/>
    <w:rsid w:val="003F2A77"/>
    <w:rsid w:val="003F2F54"/>
    <w:rsid w:val="003F3243"/>
    <w:rsid w:val="003F3EA7"/>
    <w:rsid w:val="003F4352"/>
    <w:rsid w:val="003F52A9"/>
    <w:rsid w:val="003F6E0B"/>
    <w:rsid w:val="003F7256"/>
    <w:rsid w:val="003F7A32"/>
    <w:rsid w:val="003F7AE0"/>
    <w:rsid w:val="0040096C"/>
    <w:rsid w:val="00400B03"/>
    <w:rsid w:val="0040141A"/>
    <w:rsid w:val="00401532"/>
    <w:rsid w:val="0040175B"/>
    <w:rsid w:val="00402CE2"/>
    <w:rsid w:val="00403F7B"/>
    <w:rsid w:val="0040474A"/>
    <w:rsid w:val="004047CB"/>
    <w:rsid w:val="0040480D"/>
    <w:rsid w:val="00404851"/>
    <w:rsid w:val="00404F3C"/>
    <w:rsid w:val="0040572E"/>
    <w:rsid w:val="00406576"/>
    <w:rsid w:val="0040727B"/>
    <w:rsid w:val="00407413"/>
    <w:rsid w:val="00407779"/>
    <w:rsid w:val="0040791C"/>
    <w:rsid w:val="004101C3"/>
    <w:rsid w:val="00411097"/>
    <w:rsid w:val="004116EF"/>
    <w:rsid w:val="0041180C"/>
    <w:rsid w:val="0041193B"/>
    <w:rsid w:val="00411A1C"/>
    <w:rsid w:val="00411B85"/>
    <w:rsid w:val="004122EA"/>
    <w:rsid w:val="00412316"/>
    <w:rsid w:val="00412851"/>
    <w:rsid w:val="00412E34"/>
    <w:rsid w:val="00413647"/>
    <w:rsid w:val="00413B48"/>
    <w:rsid w:val="00414338"/>
    <w:rsid w:val="004143FC"/>
    <w:rsid w:val="00414DEB"/>
    <w:rsid w:val="004157F3"/>
    <w:rsid w:val="0041585E"/>
    <w:rsid w:val="0041598B"/>
    <w:rsid w:val="00415C62"/>
    <w:rsid w:val="004166AD"/>
    <w:rsid w:val="00416E84"/>
    <w:rsid w:val="00417059"/>
    <w:rsid w:val="0041718C"/>
    <w:rsid w:val="00417DD6"/>
    <w:rsid w:val="00417EEC"/>
    <w:rsid w:val="004202BA"/>
    <w:rsid w:val="00420828"/>
    <w:rsid w:val="00420F6B"/>
    <w:rsid w:val="00421352"/>
    <w:rsid w:val="004213DD"/>
    <w:rsid w:val="00421D70"/>
    <w:rsid w:val="00421D8A"/>
    <w:rsid w:val="00422612"/>
    <w:rsid w:val="004226A5"/>
    <w:rsid w:val="00422A98"/>
    <w:rsid w:val="00422C20"/>
    <w:rsid w:val="00422FAE"/>
    <w:rsid w:val="004238B5"/>
    <w:rsid w:val="00423A69"/>
    <w:rsid w:val="004244C5"/>
    <w:rsid w:val="004245DB"/>
    <w:rsid w:val="00424660"/>
    <w:rsid w:val="00425242"/>
    <w:rsid w:val="00425481"/>
    <w:rsid w:val="00425FC1"/>
    <w:rsid w:val="00426A19"/>
    <w:rsid w:val="004271E3"/>
    <w:rsid w:val="0042745A"/>
    <w:rsid w:val="00427482"/>
    <w:rsid w:val="004300B6"/>
    <w:rsid w:val="00430641"/>
    <w:rsid w:val="00432508"/>
    <w:rsid w:val="00432C2B"/>
    <w:rsid w:val="00432D09"/>
    <w:rsid w:val="00432F90"/>
    <w:rsid w:val="004331D2"/>
    <w:rsid w:val="004337D7"/>
    <w:rsid w:val="00433961"/>
    <w:rsid w:val="004352D4"/>
    <w:rsid w:val="0043571D"/>
    <w:rsid w:val="00435FC3"/>
    <w:rsid w:val="004360B7"/>
    <w:rsid w:val="004364B0"/>
    <w:rsid w:val="00436887"/>
    <w:rsid w:val="00436BDE"/>
    <w:rsid w:val="00436FD4"/>
    <w:rsid w:val="004376C1"/>
    <w:rsid w:val="004377E0"/>
    <w:rsid w:val="004405DC"/>
    <w:rsid w:val="004406DC"/>
    <w:rsid w:val="0044134F"/>
    <w:rsid w:val="00442675"/>
    <w:rsid w:val="00442946"/>
    <w:rsid w:val="004431AA"/>
    <w:rsid w:val="004433A3"/>
    <w:rsid w:val="0044345F"/>
    <w:rsid w:val="004435DD"/>
    <w:rsid w:val="004446B5"/>
    <w:rsid w:val="00444FC8"/>
    <w:rsid w:val="0044513B"/>
    <w:rsid w:val="004457ED"/>
    <w:rsid w:val="00445C8D"/>
    <w:rsid w:val="004461E0"/>
    <w:rsid w:val="00446697"/>
    <w:rsid w:val="00446C6F"/>
    <w:rsid w:val="0044725E"/>
    <w:rsid w:val="00447CE6"/>
    <w:rsid w:val="00447D23"/>
    <w:rsid w:val="004502D9"/>
    <w:rsid w:val="0045030D"/>
    <w:rsid w:val="00450785"/>
    <w:rsid w:val="00450D9A"/>
    <w:rsid w:val="004520E7"/>
    <w:rsid w:val="004527E5"/>
    <w:rsid w:val="00452A30"/>
    <w:rsid w:val="00452B81"/>
    <w:rsid w:val="00452CF7"/>
    <w:rsid w:val="00452FA7"/>
    <w:rsid w:val="00453960"/>
    <w:rsid w:val="00453D6A"/>
    <w:rsid w:val="00453D8F"/>
    <w:rsid w:val="00455544"/>
    <w:rsid w:val="00455BD6"/>
    <w:rsid w:val="00456185"/>
    <w:rsid w:val="00456E29"/>
    <w:rsid w:val="0045749D"/>
    <w:rsid w:val="004578C1"/>
    <w:rsid w:val="0045796C"/>
    <w:rsid w:val="00457C46"/>
    <w:rsid w:val="00457C70"/>
    <w:rsid w:val="00460489"/>
    <w:rsid w:val="00460760"/>
    <w:rsid w:val="00460B39"/>
    <w:rsid w:val="00460D3F"/>
    <w:rsid w:val="00460DEB"/>
    <w:rsid w:val="00461202"/>
    <w:rsid w:val="004618BC"/>
    <w:rsid w:val="00461B8E"/>
    <w:rsid w:val="00461E34"/>
    <w:rsid w:val="00461F7D"/>
    <w:rsid w:val="0046205B"/>
    <w:rsid w:val="00463B41"/>
    <w:rsid w:val="00463C61"/>
    <w:rsid w:val="0046483C"/>
    <w:rsid w:val="00465145"/>
    <w:rsid w:val="0046526D"/>
    <w:rsid w:val="00465A76"/>
    <w:rsid w:val="004667E3"/>
    <w:rsid w:val="004668D6"/>
    <w:rsid w:val="00466B6A"/>
    <w:rsid w:val="00466CC5"/>
    <w:rsid w:val="00467E67"/>
    <w:rsid w:val="00467E8A"/>
    <w:rsid w:val="00467F38"/>
    <w:rsid w:val="004705E0"/>
    <w:rsid w:val="00471244"/>
    <w:rsid w:val="004712B3"/>
    <w:rsid w:val="0047147E"/>
    <w:rsid w:val="004714F0"/>
    <w:rsid w:val="00471529"/>
    <w:rsid w:val="004719E8"/>
    <w:rsid w:val="00471FB1"/>
    <w:rsid w:val="004724C0"/>
    <w:rsid w:val="0047307C"/>
    <w:rsid w:val="004731FC"/>
    <w:rsid w:val="004733C5"/>
    <w:rsid w:val="00473F98"/>
    <w:rsid w:val="00473FA9"/>
    <w:rsid w:val="004746A3"/>
    <w:rsid w:val="00475396"/>
    <w:rsid w:val="00475906"/>
    <w:rsid w:val="00476861"/>
    <w:rsid w:val="00476B52"/>
    <w:rsid w:val="0047710B"/>
    <w:rsid w:val="00477AC5"/>
    <w:rsid w:val="00480029"/>
    <w:rsid w:val="00480A61"/>
    <w:rsid w:val="00480C56"/>
    <w:rsid w:val="0048119C"/>
    <w:rsid w:val="00481200"/>
    <w:rsid w:val="00481774"/>
    <w:rsid w:val="00481A8D"/>
    <w:rsid w:val="00481AAC"/>
    <w:rsid w:val="0048234A"/>
    <w:rsid w:val="0048242E"/>
    <w:rsid w:val="00482519"/>
    <w:rsid w:val="0048320A"/>
    <w:rsid w:val="00483384"/>
    <w:rsid w:val="00483747"/>
    <w:rsid w:val="00483BA1"/>
    <w:rsid w:val="00483D8C"/>
    <w:rsid w:val="004845AA"/>
    <w:rsid w:val="00485010"/>
    <w:rsid w:val="00485E45"/>
    <w:rsid w:val="00486718"/>
    <w:rsid w:val="00486956"/>
    <w:rsid w:val="00486C3A"/>
    <w:rsid w:val="00487172"/>
    <w:rsid w:val="00487EB4"/>
    <w:rsid w:val="004906B9"/>
    <w:rsid w:val="0049070E"/>
    <w:rsid w:val="00490D24"/>
    <w:rsid w:val="00491073"/>
    <w:rsid w:val="004910BE"/>
    <w:rsid w:val="0049180A"/>
    <w:rsid w:val="00492003"/>
    <w:rsid w:val="00492C83"/>
    <w:rsid w:val="00492DF2"/>
    <w:rsid w:val="00492EE5"/>
    <w:rsid w:val="00493BFC"/>
    <w:rsid w:val="0049401F"/>
    <w:rsid w:val="00494105"/>
    <w:rsid w:val="0049489E"/>
    <w:rsid w:val="00494B32"/>
    <w:rsid w:val="00494F66"/>
    <w:rsid w:val="004951F1"/>
    <w:rsid w:val="004961C1"/>
    <w:rsid w:val="004962B5"/>
    <w:rsid w:val="004969AE"/>
    <w:rsid w:val="00497DD0"/>
    <w:rsid w:val="00497EAD"/>
    <w:rsid w:val="004A0169"/>
    <w:rsid w:val="004A05E1"/>
    <w:rsid w:val="004A06BE"/>
    <w:rsid w:val="004A1008"/>
    <w:rsid w:val="004A1A94"/>
    <w:rsid w:val="004A1DB2"/>
    <w:rsid w:val="004A1F06"/>
    <w:rsid w:val="004A2349"/>
    <w:rsid w:val="004A279C"/>
    <w:rsid w:val="004A2A30"/>
    <w:rsid w:val="004A2B84"/>
    <w:rsid w:val="004A2ECF"/>
    <w:rsid w:val="004A3034"/>
    <w:rsid w:val="004A32A5"/>
    <w:rsid w:val="004A3423"/>
    <w:rsid w:val="004A36DE"/>
    <w:rsid w:val="004A3F11"/>
    <w:rsid w:val="004A4475"/>
    <w:rsid w:val="004A4743"/>
    <w:rsid w:val="004A5102"/>
    <w:rsid w:val="004A54DF"/>
    <w:rsid w:val="004A5E33"/>
    <w:rsid w:val="004A63A8"/>
    <w:rsid w:val="004A69B7"/>
    <w:rsid w:val="004A6ABE"/>
    <w:rsid w:val="004A6E16"/>
    <w:rsid w:val="004A7094"/>
    <w:rsid w:val="004A7279"/>
    <w:rsid w:val="004A7498"/>
    <w:rsid w:val="004A7535"/>
    <w:rsid w:val="004A7871"/>
    <w:rsid w:val="004A7C82"/>
    <w:rsid w:val="004A7D46"/>
    <w:rsid w:val="004B0D2A"/>
    <w:rsid w:val="004B147B"/>
    <w:rsid w:val="004B24E6"/>
    <w:rsid w:val="004B2B82"/>
    <w:rsid w:val="004B2ED1"/>
    <w:rsid w:val="004B493F"/>
    <w:rsid w:val="004B49B3"/>
    <w:rsid w:val="004B54B1"/>
    <w:rsid w:val="004B5DB1"/>
    <w:rsid w:val="004B6722"/>
    <w:rsid w:val="004B7EE4"/>
    <w:rsid w:val="004C0269"/>
    <w:rsid w:val="004C061C"/>
    <w:rsid w:val="004C0805"/>
    <w:rsid w:val="004C0EBC"/>
    <w:rsid w:val="004C0F21"/>
    <w:rsid w:val="004C1CCA"/>
    <w:rsid w:val="004C1DBB"/>
    <w:rsid w:val="004C2451"/>
    <w:rsid w:val="004C24F8"/>
    <w:rsid w:val="004C2574"/>
    <w:rsid w:val="004C2B48"/>
    <w:rsid w:val="004C36D8"/>
    <w:rsid w:val="004C36DC"/>
    <w:rsid w:val="004C3BE8"/>
    <w:rsid w:val="004C42F3"/>
    <w:rsid w:val="004C490A"/>
    <w:rsid w:val="004C4EBE"/>
    <w:rsid w:val="004C5276"/>
    <w:rsid w:val="004C5EDE"/>
    <w:rsid w:val="004C5FED"/>
    <w:rsid w:val="004C6A60"/>
    <w:rsid w:val="004C6C92"/>
    <w:rsid w:val="004C6F87"/>
    <w:rsid w:val="004C7125"/>
    <w:rsid w:val="004D1F1F"/>
    <w:rsid w:val="004D2211"/>
    <w:rsid w:val="004D2265"/>
    <w:rsid w:val="004D2673"/>
    <w:rsid w:val="004D2DF3"/>
    <w:rsid w:val="004D3496"/>
    <w:rsid w:val="004D355B"/>
    <w:rsid w:val="004D3C80"/>
    <w:rsid w:val="004D4726"/>
    <w:rsid w:val="004D5336"/>
    <w:rsid w:val="004D5AFF"/>
    <w:rsid w:val="004D5D7E"/>
    <w:rsid w:val="004D6BB8"/>
    <w:rsid w:val="004D7232"/>
    <w:rsid w:val="004D7471"/>
    <w:rsid w:val="004D7874"/>
    <w:rsid w:val="004D7D31"/>
    <w:rsid w:val="004D7EF2"/>
    <w:rsid w:val="004E05BC"/>
    <w:rsid w:val="004E0A99"/>
    <w:rsid w:val="004E0C5C"/>
    <w:rsid w:val="004E1DB1"/>
    <w:rsid w:val="004E1FAA"/>
    <w:rsid w:val="004E22B9"/>
    <w:rsid w:val="004E22D6"/>
    <w:rsid w:val="004E2AD5"/>
    <w:rsid w:val="004E2FFF"/>
    <w:rsid w:val="004E3BE6"/>
    <w:rsid w:val="004E3EC6"/>
    <w:rsid w:val="004E444A"/>
    <w:rsid w:val="004E469D"/>
    <w:rsid w:val="004E4836"/>
    <w:rsid w:val="004E4E9D"/>
    <w:rsid w:val="004E5081"/>
    <w:rsid w:val="004E6BFA"/>
    <w:rsid w:val="004E6D88"/>
    <w:rsid w:val="004E6DE8"/>
    <w:rsid w:val="004E6E65"/>
    <w:rsid w:val="004E701C"/>
    <w:rsid w:val="004E75C7"/>
    <w:rsid w:val="004F01C0"/>
    <w:rsid w:val="004F06CD"/>
    <w:rsid w:val="004F0AA1"/>
    <w:rsid w:val="004F0D5D"/>
    <w:rsid w:val="004F0DF6"/>
    <w:rsid w:val="004F10C6"/>
    <w:rsid w:val="004F10CF"/>
    <w:rsid w:val="004F1CAC"/>
    <w:rsid w:val="004F251B"/>
    <w:rsid w:val="004F2776"/>
    <w:rsid w:val="004F2835"/>
    <w:rsid w:val="004F2DBC"/>
    <w:rsid w:val="004F30DA"/>
    <w:rsid w:val="004F31D8"/>
    <w:rsid w:val="004F3287"/>
    <w:rsid w:val="004F34C4"/>
    <w:rsid w:val="004F4308"/>
    <w:rsid w:val="004F459F"/>
    <w:rsid w:val="004F4621"/>
    <w:rsid w:val="004F465B"/>
    <w:rsid w:val="004F4F0A"/>
    <w:rsid w:val="004F54A2"/>
    <w:rsid w:val="004F66DE"/>
    <w:rsid w:val="004F6A46"/>
    <w:rsid w:val="004F6F97"/>
    <w:rsid w:val="004F77E8"/>
    <w:rsid w:val="005002D5"/>
    <w:rsid w:val="005004F5"/>
    <w:rsid w:val="005011FF"/>
    <w:rsid w:val="005016B6"/>
    <w:rsid w:val="005018BB"/>
    <w:rsid w:val="00502619"/>
    <w:rsid w:val="00502871"/>
    <w:rsid w:val="0050463C"/>
    <w:rsid w:val="005049F9"/>
    <w:rsid w:val="005051E6"/>
    <w:rsid w:val="005055A4"/>
    <w:rsid w:val="00505F2D"/>
    <w:rsid w:val="00507868"/>
    <w:rsid w:val="00507A07"/>
    <w:rsid w:val="00507A4C"/>
    <w:rsid w:val="00507A8F"/>
    <w:rsid w:val="005100D8"/>
    <w:rsid w:val="0051075E"/>
    <w:rsid w:val="00510A88"/>
    <w:rsid w:val="0051195C"/>
    <w:rsid w:val="00511D5A"/>
    <w:rsid w:val="00512D8D"/>
    <w:rsid w:val="005135D5"/>
    <w:rsid w:val="00513A18"/>
    <w:rsid w:val="005144B8"/>
    <w:rsid w:val="00514586"/>
    <w:rsid w:val="0051479D"/>
    <w:rsid w:val="00515B18"/>
    <w:rsid w:val="0051612A"/>
    <w:rsid w:val="0051691D"/>
    <w:rsid w:val="00516DFC"/>
    <w:rsid w:val="005171DB"/>
    <w:rsid w:val="005176C6"/>
    <w:rsid w:val="005179AC"/>
    <w:rsid w:val="00517D16"/>
    <w:rsid w:val="00517DFC"/>
    <w:rsid w:val="00517E1C"/>
    <w:rsid w:val="00520F4A"/>
    <w:rsid w:val="00520FF2"/>
    <w:rsid w:val="00521110"/>
    <w:rsid w:val="005214A6"/>
    <w:rsid w:val="00521DD2"/>
    <w:rsid w:val="0052219D"/>
    <w:rsid w:val="005221B5"/>
    <w:rsid w:val="005229FD"/>
    <w:rsid w:val="00522FAD"/>
    <w:rsid w:val="00523494"/>
    <w:rsid w:val="005235E9"/>
    <w:rsid w:val="0052497C"/>
    <w:rsid w:val="00524E89"/>
    <w:rsid w:val="00525212"/>
    <w:rsid w:val="0052534E"/>
    <w:rsid w:val="00525C93"/>
    <w:rsid w:val="00525CAB"/>
    <w:rsid w:val="00525EAF"/>
    <w:rsid w:val="00525F51"/>
    <w:rsid w:val="00526F26"/>
    <w:rsid w:val="0052708D"/>
    <w:rsid w:val="00527A5D"/>
    <w:rsid w:val="00527B5C"/>
    <w:rsid w:val="005316CA"/>
    <w:rsid w:val="005334BB"/>
    <w:rsid w:val="005339CF"/>
    <w:rsid w:val="005352A2"/>
    <w:rsid w:val="0053560E"/>
    <w:rsid w:val="0053592D"/>
    <w:rsid w:val="00535BA0"/>
    <w:rsid w:val="00535C2A"/>
    <w:rsid w:val="00535DC3"/>
    <w:rsid w:val="00535ECB"/>
    <w:rsid w:val="00535EF8"/>
    <w:rsid w:val="00536884"/>
    <w:rsid w:val="00536D2C"/>
    <w:rsid w:val="00536F49"/>
    <w:rsid w:val="00540513"/>
    <w:rsid w:val="00540744"/>
    <w:rsid w:val="005423DB"/>
    <w:rsid w:val="0054282E"/>
    <w:rsid w:val="005436E0"/>
    <w:rsid w:val="0054386C"/>
    <w:rsid w:val="005441A8"/>
    <w:rsid w:val="00545ACE"/>
    <w:rsid w:val="005460EA"/>
    <w:rsid w:val="00546A9A"/>
    <w:rsid w:val="00547091"/>
    <w:rsid w:val="00550283"/>
    <w:rsid w:val="005502EB"/>
    <w:rsid w:val="005510AF"/>
    <w:rsid w:val="0055168C"/>
    <w:rsid w:val="005516C3"/>
    <w:rsid w:val="00551E06"/>
    <w:rsid w:val="005520C9"/>
    <w:rsid w:val="00552904"/>
    <w:rsid w:val="00552F22"/>
    <w:rsid w:val="00552FDB"/>
    <w:rsid w:val="005534AE"/>
    <w:rsid w:val="005534BB"/>
    <w:rsid w:val="0055488E"/>
    <w:rsid w:val="00554E00"/>
    <w:rsid w:val="0055507F"/>
    <w:rsid w:val="00555C2A"/>
    <w:rsid w:val="00555E8D"/>
    <w:rsid w:val="00557121"/>
    <w:rsid w:val="0055734C"/>
    <w:rsid w:val="005602A4"/>
    <w:rsid w:val="00560374"/>
    <w:rsid w:val="0056072F"/>
    <w:rsid w:val="005608BE"/>
    <w:rsid w:val="00560D06"/>
    <w:rsid w:val="00562686"/>
    <w:rsid w:val="005636B5"/>
    <w:rsid w:val="00563C02"/>
    <w:rsid w:val="0056447C"/>
    <w:rsid w:val="0056573D"/>
    <w:rsid w:val="00566061"/>
    <w:rsid w:val="00567247"/>
    <w:rsid w:val="00567A67"/>
    <w:rsid w:val="00567DB1"/>
    <w:rsid w:val="00567E86"/>
    <w:rsid w:val="005709D1"/>
    <w:rsid w:val="005711DB"/>
    <w:rsid w:val="00571430"/>
    <w:rsid w:val="00571D4F"/>
    <w:rsid w:val="00573568"/>
    <w:rsid w:val="0057361C"/>
    <w:rsid w:val="005737EE"/>
    <w:rsid w:val="00573EFC"/>
    <w:rsid w:val="00574689"/>
    <w:rsid w:val="00575361"/>
    <w:rsid w:val="0057589E"/>
    <w:rsid w:val="00575C37"/>
    <w:rsid w:val="00576756"/>
    <w:rsid w:val="005768B6"/>
    <w:rsid w:val="00576C20"/>
    <w:rsid w:val="00576C85"/>
    <w:rsid w:val="00576CE3"/>
    <w:rsid w:val="00576E34"/>
    <w:rsid w:val="00577636"/>
    <w:rsid w:val="00577CB4"/>
    <w:rsid w:val="0058048A"/>
    <w:rsid w:val="00580C74"/>
    <w:rsid w:val="005814CF"/>
    <w:rsid w:val="00582667"/>
    <w:rsid w:val="00582846"/>
    <w:rsid w:val="00583118"/>
    <w:rsid w:val="005833AD"/>
    <w:rsid w:val="00583440"/>
    <w:rsid w:val="00583762"/>
    <w:rsid w:val="0058502F"/>
    <w:rsid w:val="005851F6"/>
    <w:rsid w:val="00585711"/>
    <w:rsid w:val="00585FA0"/>
    <w:rsid w:val="00586444"/>
    <w:rsid w:val="005866A9"/>
    <w:rsid w:val="0058685D"/>
    <w:rsid w:val="00586E59"/>
    <w:rsid w:val="00587804"/>
    <w:rsid w:val="0058788F"/>
    <w:rsid w:val="00590DC6"/>
    <w:rsid w:val="00591B51"/>
    <w:rsid w:val="00592592"/>
    <w:rsid w:val="0059271A"/>
    <w:rsid w:val="005938FD"/>
    <w:rsid w:val="00593BB6"/>
    <w:rsid w:val="00593F76"/>
    <w:rsid w:val="0059469A"/>
    <w:rsid w:val="00594717"/>
    <w:rsid w:val="00594771"/>
    <w:rsid w:val="005948DC"/>
    <w:rsid w:val="00594E11"/>
    <w:rsid w:val="005952EA"/>
    <w:rsid w:val="0059598C"/>
    <w:rsid w:val="00595C21"/>
    <w:rsid w:val="00596592"/>
    <w:rsid w:val="0059709A"/>
    <w:rsid w:val="005A0141"/>
    <w:rsid w:val="005A0DF6"/>
    <w:rsid w:val="005A11BF"/>
    <w:rsid w:val="005A1696"/>
    <w:rsid w:val="005A17EB"/>
    <w:rsid w:val="005A2409"/>
    <w:rsid w:val="005A2EDA"/>
    <w:rsid w:val="005A302C"/>
    <w:rsid w:val="005A3393"/>
    <w:rsid w:val="005A3728"/>
    <w:rsid w:val="005A3B08"/>
    <w:rsid w:val="005A48D1"/>
    <w:rsid w:val="005A4F3D"/>
    <w:rsid w:val="005A58C3"/>
    <w:rsid w:val="005A63F6"/>
    <w:rsid w:val="005A6BF5"/>
    <w:rsid w:val="005A7012"/>
    <w:rsid w:val="005A792D"/>
    <w:rsid w:val="005A7ACD"/>
    <w:rsid w:val="005A7B81"/>
    <w:rsid w:val="005A7D52"/>
    <w:rsid w:val="005B00C5"/>
    <w:rsid w:val="005B0828"/>
    <w:rsid w:val="005B132F"/>
    <w:rsid w:val="005B1403"/>
    <w:rsid w:val="005B249D"/>
    <w:rsid w:val="005B2A35"/>
    <w:rsid w:val="005B2C41"/>
    <w:rsid w:val="005B2D6A"/>
    <w:rsid w:val="005B2EF5"/>
    <w:rsid w:val="005B3BAE"/>
    <w:rsid w:val="005B4332"/>
    <w:rsid w:val="005B468B"/>
    <w:rsid w:val="005B4961"/>
    <w:rsid w:val="005B4D95"/>
    <w:rsid w:val="005B53E7"/>
    <w:rsid w:val="005B5853"/>
    <w:rsid w:val="005B5B1C"/>
    <w:rsid w:val="005B5F3B"/>
    <w:rsid w:val="005B654F"/>
    <w:rsid w:val="005B6EE8"/>
    <w:rsid w:val="005B7894"/>
    <w:rsid w:val="005C04F1"/>
    <w:rsid w:val="005C086A"/>
    <w:rsid w:val="005C0A19"/>
    <w:rsid w:val="005C13C8"/>
    <w:rsid w:val="005C1DED"/>
    <w:rsid w:val="005C2392"/>
    <w:rsid w:val="005C265E"/>
    <w:rsid w:val="005C27E6"/>
    <w:rsid w:val="005C2802"/>
    <w:rsid w:val="005C30EF"/>
    <w:rsid w:val="005C3362"/>
    <w:rsid w:val="005C371A"/>
    <w:rsid w:val="005C3F65"/>
    <w:rsid w:val="005C4B5D"/>
    <w:rsid w:val="005C4E46"/>
    <w:rsid w:val="005C4E8D"/>
    <w:rsid w:val="005C58B2"/>
    <w:rsid w:val="005C58EB"/>
    <w:rsid w:val="005C75AC"/>
    <w:rsid w:val="005C7A32"/>
    <w:rsid w:val="005C7F86"/>
    <w:rsid w:val="005D005D"/>
    <w:rsid w:val="005D0395"/>
    <w:rsid w:val="005D04D9"/>
    <w:rsid w:val="005D0CD5"/>
    <w:rsid w:val="005D0FB6"/>
    <w:rsid w:val="005D13D8"/>
    <w:rsid w:val="005D1751"/>
    <w:rsid w:val="005D1ED5"/>
    <w:rsid w:val="005D213A"/>
    <w:rsid w:val="005D2247"/>
    <w:rsid w:val="005D24A5"/>
    <w:rsid w:val="005D275F"/>
    <w:rsid w:val="005D3203"/>
    <w:rsid w:val="005D3E07"/>
    <w:rsid w:val="005D3F4A"/>
    <w:rsid w:val="005D406F"/>
    <w:rsid w:val="005D47B1"/>
    <w:rsid w:val="005D4856"/>
    <w:rsid w:val="005D489D"/>
    <w:rsid w:val="005D4968"/>
    <w:rsid w:val="005D4B00"/>
    <w:rsid w:val="005D4DC1"/>
    <w:rsid w:val="005D52D6"/>
    <w:rsid w:val="005D55FF"/>
    <w:rsid w:val="005D654C"/>
    <w:rsid w:val="005D6828"/>
    <w:rsid w:val="005D6967"/>
    <w:rsid w:val="005D6CE6"/>
    <w:rsid w:val="005D6D85"/>
    <w:rsid w:val="005D7952"/>
    <w:rsid w:val="005E05F8"/>
    <w:rsid w:val="005E09DC"/>
    <w:rsid w:val="005E16BF"/>
    <w:rsid w:val="005E1979"/>
    <w:rsid w:val="005E1A63"/>
    <w:rsid w:val="005E1CAA"/>
    <w:rsid w:val="005E1CE8"/>
    <w:rsid w:val="005E263D"/>
    <w:rsid w:val="005E28EC"/>
    <w:rsid w:val="005E2F4C"/>
    <w:rsid w:val="005E301C"/>
    <w:rsid w:val="005E31D8"/>
    <w:rsid w:val="005E33C1"/>
    <w:rsid w:val="005E461B"/>
    <w:rsid w:val="005E4C5A"/>
    <w:rsid w:val="005E5151"/>
    <w:rsid w:val="005E55B2"/>
    <w:rsid w:val="005E5B13"/>
    <w:rsid w:val="005E5F33"/>
    <w:rsid w:val="005E63AC"/>
    <w:rsid w:val="005E693A"/>
    <w:rsid w:val="005E79CB"/>
    <w:rsid w:val="005E7B28"/>
    <w:rsid w:val="005F00B8"/>
    <w:rsid w:val="005F0D42"/>
    <w:rsid w:val="005F14BD"/>
    <w:rsid w:val="005F1A6C"/>
    <w:rsid w:val="005F1A9E"/>
    <w:rsid w:val="005F1CCE"/>
    <w:rsid w:val="005F1E40"/>
    <w:rsid w:val="005F2B8D"/>
    <w:rsid w:val="005F33C3"/>
    <w:rsid w:val="005F4661"/>
    <w:rsid w:val="005F4D8B"/>
    <w:rsid w:val="005F5332"/>
    <w:rsid w:val="005F540C"/>
    <w:rsid w:val="005F546E"/>
    <w:rsid w:val="005F5778"/>
    <w:rsid w:val="005F6577"/>
    <w:rsid w:val="005F6891"/>
    <w:rsid w:val="005F69B6"/>
    <w:rsid w:val="005F7519"/>
    <w:rsid w:val="005F76F9"/>
    <w:rsid w:val="005F7C70"/>
    <w:rsid w:val="005F7D2F"/>
    <w:rsid w:val="005F7DD7"/>
    <w:rsid w:val="00600845"/>
    <w:rsid w:val="006008E6"/>
    <w:rsid w:val="00600E92"/>
    <w:rsid w:val="0060159B"/>
    <w:rsid w:val="00601F6D"/>
    <w:rsid w:val="0060299E"/>
    <w:rsid w:val="00602E66"/>
    <w:rsid w:val="00603218"/>
    <w:rsid w:val="00603866"/>
    <w:rsid w:val="00604198"/>
    <w:rsid w:val="006042FD"/>
    <w:rsid w:val="00604CF5"/>
    <w:rsid w:val="00606A4E"/>
    <w:rsid w:val="00606CA2"/>
    <w:rsid w:val="00606D63"/>
    <w:rsid w:val="00606DBD"/>
    <w:rsid w:val="006077DC"/>
    <w:rsid w:val="00607997"/>
    <w:rsid w:val="006102A6"/>
    <w:rsid w:val="00610974"/>
    <w:rsid w:val="00611443"/>
    <w:rsid w:val="00611CB4"/>
    <w:rsid w:val="00612004"/>
    <w:rsid w:val="00612E7F"/>
    <w:rsid w:val="00612F9B"/>
    <w:rsid w:val="00613666"/>
    <w:rsid w:val="00613980"/>
    <w:rsid w:val="00613BCC"/>
    <w:rsid w:val="00614449"/>
    <w:rsid w:val="00614731"/>
    <w:rsid w:val="00614794"/>
    <w:rsid w:val="0061489A"/>
    <w:rsid w:val="00614F3D"/>
    <w:rsid w:val="006157F5"/>
    <w:rsid w:val="00615969"/>
    <w:rsid w:val="00615DCB"/>
    <w:rsid w:val="006166D4"/>
    <w:rsid w:val="00617B04"/>
    <w:rsid w:val="00617E09"/>
    <w:rsid w:val="00620081"/>
    <w:rsid w:val="006202F4"/>
    <w:rsid w:val="00620A9A"/>
    <w:rsid w:val="00622A28"/>
    <w:rsid w:val="00623399"/>
    <w:rsid w:val="006236BD"/>
    <w:rsid w:val="00623893"/>
    <w:rsid w:val="00624A6E"/>
    <w:rsid w:val="006255BF"/>
    <w:rsid w:val="0062637C"/>
    <w:rsid w:val="006271B2"/>
    <w:rsid w:val="00627865"/>
    <w:rsid w:val="00627A7C"/>
    <w:rsid w:val="00627F4E"/>
    <w:rsid w:val="006307C9"/>
    <w:rsid w:val="00631719"/>
    <w:rsid w:val="00631866"/>
    <w:rsid w:val="00631F06"/>
    <w:rsid w:val="00631F7F"/>
    <w:rsid w:val="0063219E"/>
    <w:rsid w:val="00632289"/>
    <w:rsid w:val="00632904"/>
    <w:rsid w:val="00632E6A"/>
    <w:rsid w:val="00632F67"/>
    <w:rsid w:val="00633623"/>
    <w:rsid w:val="006340F5"/>
    <w:rsid w:val="006346FA"/>
    <w:rsid w:val="00634DE0"/>
    <w:rsid w:val="00635461"/>
    <w:rsid w:val="00635774"/>
    <w:rsid w:val="00635BB3"/>
    <w:rsid w:val="00636103"/>
    <w:rsid w:val="0063671D"/>
    <w:rsid w:val="00636C93"/>
    <w:rsid w:val="00636F10"/>
    <w:rsid w:val="0063722F"/>
    <w:rsid w:val="006373DB"/>
    <w:rsid w:val="00637C57"/>
    <w:rsid w:val="00640039"/>
    <w:rsid w:val="00640B7F"/>
    <w:rsid w:val="0064124A"/>
    <w:rsid w:val="0064143D"/>
    <w:rsid w:val="00641E97"/>
    <w:rsid w:val="0064285C"/>
    <w:rsid w:val="00642FAE"/>
    <w:rsid w:val="00643092"/>
    <w:rsid w:val="006433F6"/>
    <w:rsid w:val="00643B45"/>
    <w:rsid w:val="00643BC9"/>
    <w:rsid w:val="00643D52"/>
    <w:rsid w:val="00643EA4"/>
    <w:rsid w:val="006446B3"/>
    <w:rsid w:val="00644B8D"/>
    <w:rsid w:val="00645224"/>
    <w:rsid w:val="00645541"/>
    <w:rsid w:val="00645FC7"/>
    <w:rsid w:val="0064707A"/>
    <w:rsid w:val="00647118"/>
    <w:rsid w:val="006472E1"/>
    <w:rsid w:val="0065005D"/>
    <w:rsid w:val="00650853"/>
    <w:rsid w:val="0065115B"/>
    <w:rsid w:val="00651B22"/>
    <w:rsid w:val="006527FE"/>
    <w:rsid w:val="006528DD"/>
    <w:rsid w:val="006529D8"/>
    <w:rsid w:val="00652E87"/>
    <w:rsid w:val="0065322D"/>
    <w:rsid w:val="0065340A"/>
    <w:rsid w:val="00654147"/>
    <w:rsid w:val="00655A0E"/>
    <w:rsid w:val="00655A64"/>
    <w:rsid w:val="00655AE8"/>
    <w:rsid w:val="00655E3F"/>
    <w:rsid w:val="00655F30"/>
    <w:rsid w:val="00656453"/>
    <w:rsid w:val="00656524"/>
    <w:rsid w:val="00657933"/>
    <w:rsid w:val="00657B14"/>
    <w:rsid w:val="00657BE7"/>
    <w:rsid w:val="00660200"/>
    <w:rsid w:val="00660AE2"/>
    <w:rsid w:val="00661BBF"/>
    <w:rsid w:val="006624D3"/>
    <w:rsid w:val="0066294E"/>
    <w:rsid w:val="00664004"/>
    <w:rsid w:val="006641A4"/>
    <w:rsid w:val="006648FC"/>
    <w:rsid w:val="00664F51"/>
    <w:rsid w:val="00665919"/>
    <w:rsid w:val="00665B5C"/>
    <w:rsid w:val="006660C5"/>
    <w:rsid w:val="00666E36"/>
    <w:rsid w:val="00670218"/>
    <w:rsid w:val="00670C1B"/>
    <w:rsid w:val="00671F20"/>
    <w:rsid w:val="00672051"/>
    <w:rsid w:val="00672345"/>
    <w:rsid w:val="006724B4"/>
    <w:rsid w:val="00672ABA"/>
    <w:rsid w:val="00672C35"/>
    <w:rsid w:val="00673541"/>
    <w:rsid w:val="00673780"/>
    <w:rsid w:val="00673839"/>
    <w:rsid w:val="00673A6C"/>
    <w:rsid w:val="00674756"/>
    <w:rsid w:val="006748FE"/>
    <w:rsid w:val="0067492C"/>
    <w:rsid w:val="00674C99"/>
    <w:rsid w:val="00674F7C"/>
    <w:rsid w:val="0067547B"/>
    <w:rsid w:val="0067547F"/>
    <w:rsid w:val="006756FD"/>
    <w:rsid w:val="006757B0"/>
    <w:rsid w:val="0067583A"/>
    <w:rsid w:val="00675DB2"/>
    <w:rsid w:val="00676094"/>
    <w:rsid w:val="00676965"/>
    <w:rsid w:val="00676B3D"/>
    <w:rsid w:val="00676E23"/>
    <w:rsid w:val="006770FC"/>
    <w:rsid w:val="006771BE"/>
    <w:rsid w:val="006771BF"/>
    <w:rsid w:val="0068037B"/>
    <w:rsid w:val="00680A4A"/>
    <w:rsid w:val="00680A5A"/>
    <w:rsid w:val="00680AEB"/>
    <w:rsid w:val="00680C16"/>
    <w:rsid w:val="0068169F"/>
    <w:rsid w:val="00681A54"/>
    <w:rsid w:val="00681E64"/>
    <w:rsid w:val="00682031"/>
    <w:rsid w:val="0068206E"/>
    <w:rsid w:val="00682BAB"/>
    <w:rsid w:val="00682D92"/>
    <w:rsid w:val="0068322A"/>
    <w:rsid w:val="006839B4"/>
    <w:rsid w:val="00683EBE"/>
    <w:rsid w:val="00684049"/>
    <w:rsid w:val="0068414C"/>
    <w:rsid w:val="006848EF"/>
    <w:rsid w:val="00684ACE"/>
    <w:rsid w:val="00684C25"/>
    <w:rsid w:val="006850AF"/>
    <w:rsid w:val="006852D4"/>
    <w:rsid w:val="00685B9F"/>
    <w:rsid w:val="006868C0"/>
    <w:rsid w:val="00686E95"/>
    <w:rsid w:val="00687316"/>
    <w:rsid w:val="006874D0"/>
    <w:rsid w:val="0068766D"/>
    <w:rsid w:val="00687E59"/>
    <w:rsid w:val="0069068E"/>
    <w:rsid w:val="00690872"/>
    <w:rsid w:val="006919D3"/>
    <w:rsid w:val="0069204A"/>
    <w:rsid w:val="0069211C"/>
    <w:rsid w:val="0069214B"/>
    <w:rsid w:val="006923B4"/>
    <w:rsid w:val="00692F0C"/>
    <w:rsid w:val="0069328B"/>
    <w:rsid w:val="00693ACF"/>
    <w:rsid w:val="00693C93"/>
    <w:rsid w:val="00693E86"/>
    <w:rsid w:val="006940A0"/>
    <w:rsid w:val="006943D0"/>
    <w:rsid w:val="00694D07"/>
    <w:rsid w:val="006957FB"/>
    <w:rsid w:val="00695F4E"/>
    <w:rsid w:val="0069716C"/>
    <w:rsid w:val="00697435"/>
    <w:rsid w:val="0069768D"/>
    <w:rsid w:val="00697997"/>
    <w:rsid w:val="006A0599"/>
    <w:rsid w:val="006A0805"/>
    <w:rsid w:val="006A0D09"/>
    <w:rsid w:val="006A0D38"/>
    <w:rsid w:val="006A0E9A"/>
    <w:rsid w:val="006A2361"/>
    <w:rsid w:val="006A25FC"/>
    <w:rsid w:val="006A2681"/>
    <w:rsid w:val="006A3726"/>
    <w:rsid w:val="006A3FCD"/>
    <w:rsid w:val="006A4429"/>
    <w:rsid w:val="006A4D8F"/>
    <w:rsid w:val="006A5651"/>
    <w:rsid w:val="006A58AC"/>
    <w:rsid w:val="006A5A3E"/>
    <w:rsid w:val="006A656C"/>
    <w:rsid w:val="006A6737"/>
    <w:rsid w:val="006A68D2"/>
    <w:rsid w:val="006A6DBF"/>
    <w:rsid w:val="006A6DDE"/>
    <w:rsid w:val="006A766A"/>
    <w:rsid w:val="006A7ABC"/>
    <w:rsid w:val="006B02CE"/>
    <w:rsid w:val="006B0A7B"/>
    <w:rsid w:val="006B2150"/>
    <w:rsid w:val="006B2317"/>
    <w:rsid w:val="006B2436"/>
    <w:rsid w:val="006B2812"/>
    <w:rsid w:val="006B2979"/>
    <w:rsid w:val="006B352C"/>
    <w:rsid w:val="006B465C"/>
    <w:rsid w:val="006B4DB3"/>
    <w:rsid w:val="006B50BB"/>
    <w:rsid w:val="006B5744"/>
    <w:rsid w:val="006B5775"/>
    <w:rsid w:val="006B68FE"/>
    <w:rsid w:val="006B6992"/>
    <w:rsid w:val="006B753F"/>
    <w:rsid w:val="006B759F"/>
    <w:rsid w:val="006B7EA4"/>
    <w:rsid w:val="006C0162"/>
    <w:rsid w:val="006C0235"/>
    <w:rsid w:val="006C087C"/>
    <w:rsid w:val="006C0CD4"/>
    <w:rsid w:val="006C1678"/>
    <w:rsid w:val="006C1D60"/>
    <w:rsid w:val="006C2ED4"/>
    <w:rsid w:val="006C30DB"/>
    <w:rsid w:val="006C348B"/>
    <w:rsid w:val="006C4205"/>
    <w:rsid w:val="006C49FB"/>
    <w:rsid w:val="006C5514"/>
    <w:rsid w:val="006C567D"/>
    <w:rsid w:val="006C68C7"/>
    <w:rsid w:val="006C78D0"/>
    <w:rsid w:val="006C7C59"/>
    <w:rsid w:val="006C7FEA"/>
    <w:rsid w:val="006D0010"/>
    <w:rsid w:val="006D0088"/>
    <w:rsid w:val="006D0426"/>
    <w:rsid w:val="006D0E9E"/>
    <w:rsid w:val="006D1327"/>
    <w:rsid w:val="006D1724"/>
    <w:rsid w:val="006D213B"/>
    <w:rsid w:val="006D28E2"/>
    <w:rsid w:val="006D3104"/>
    <w:rsid w:val="006D359E"/>
    <w:rsid w:val="006D387A"/>
    <w:rsid w:val="006D4269"/>
    <w:rsid w:val="006D455C"/>
    <w:rsid w:val="006D4D06"/>
    <w:rsid w:val="006D5984"/>
    <w:rsid w:val="006D5DB0"/>
    <w:rsid w:val="006D6A06"/>
    <w:rsid w:val="006D6DB6"/>
    <w:rsid w:val="006D71AA"/>
    <w:rsid w:val="006E01C6"/>
    <w:rsid w:val="006E05D2"/>
    <w:rsid w:val="006E0D77"/>
    <w:rsid w:val="006E2435"/>
    <w:rsid w:val="006E2774"/>
    <w:rsid w:val="006E2CE7"/>
    <w:rsid w:val="006E2F90"/>
    <w:rsid w:val="006E34D2"/>
    <w:rsid w:val="006E37E1"/>
    <w:rsid w:val="006E3C58"/>
    <w:rsid w:val="006E495A"/>
    <w:rsid w:val="006E4A23"/>
    <w:rsid w:val="006E5405"/>
    <w:rsid w:val="006E55D8"/>
    <w:rsid w:val="006E56E3"/>
    <w:rsid w:val="006E5CA1"/>
    <w:rsid w:val="006E5EBB"/>
    <w:rsid w:val="006E6107"/>
    <w:rsid w:val="006F0DBF"/>
    <w:rsid w:val="006F14CC"/>
    <w:rsid w:val="006F177A"/>
    <w:rsid w:val="006F184A"/>
    <w:rsid w:val="006F185E"/>
    <w:rsid w:val="006F19FE"/>
    <w:rsid w:val="006F1B8A"/>
    <w:rsid w:val="006F201C"/>
    <w:rsid w:val="006F26E3"/>
    <w:rsid w:val="006F3441"/>
    <w:rsid w:val="006F3DF8"/>
    <w:rsid w:val="006F45D2"/>
    <w:rsid w:val="006F4FD4"/>
    <w:rsid w:val="006F52CE"/>
    <w:rsid w:val="006F5775"/>
    <w:rsid w:val="006F57F6"/>
    <w:rsid w:val="006F58D1"/>
    <w:rsid w:val="006F5AF4"/>
    <w:rsid w:val="006F68CA"/>
    <w:rsid w:val="006F7041"/>
    <w:rsid w:val="006F70FD"/>
    <w:rsid w:val="006F77CD"/>
    <w:rsid w:val="006F7D06"/>
    <w:rsid w:val="00700C3D"/>
    <w:rsid w:val="00701B37"/>
    <w:rsid w:val="00702B00"/>
    <w:rsid w:val="0070370A"/>
    <w:rsid w:val="00703C73"/>
    <w:rsid w:val="00703D8C"/>
    <w:rsid w:val="0070445B"/>
    <w:rsid w:val="007045AE"/>
    <w:rsid w:val="0070505B"/>
    <w:rsid w:val="00705277"/>
    <w:rsid w:val="007052F5"/>
    <w:rsid w:val="007059F3"/>
    <w:rsid w:val="007068E6"/>
    <w:rsid w:val="00706A23"/>
    <w:rsid w:val="00706A77"/>
    <w:rsid w:val="007070A9"/>
    <w:rsid w:val="007071E4"/>
    <w:rsid w:val="007073CC"/>
    <w:rsid w:val="00707910"/>
    <w:rsid w:val="00707B8F"/>
    <w:rsid w:val="00710F27"/>
    <w:rsid w:val="007119BA"/>
    <w:rsid w:val="00712DCF"/>
    <w:rsid w:val="00713728"/>
    <w:rsid w:val="007138C9"/>
    <w:rsid w:val="00713C35"/>
    <w:rsid w:val="00714E87"/>
    <w:rsid w:val="007153CE"/>
    <w:rsid w:val="00715C61"/>
    <w:rsid w:val="007161C4"/>
    <w:rsid w:val="0071687A"/>
    <w:rsid w:val="007171F8"/>
    <w:rsid w:val="00717A72"/>
    <w:rsid w:val="00717BBD"/>
    <w:rsid w:val="00717CC9"/>
    <w:rsid w:val="007209EC"/>
    <w:rsid w:val="00720A08"/>
    <w:rsid w:val="00720A5D"/>
    <w:rsid w:val="00720B6C"/>
    <w:rsid w:val="007212E5"/>
    <w:rsid w:val="00721892"/>
    <w:rsid w:val="00721DCE"/>
    <w:rsid w:val="00722431"/>
    <w:rsid w:val="007236F4"/>
    <w:rsid w:val="00724262"/>
    <w:rsid w:val="007245AB"/>
    <w:rsid w:val="00724D4A"/>
    <w:rsid w:val="0072501C"/>
    <w:rsid w:val="00725131"/>
    <w:rsid w:val="007251B2"/>
    <w:rsid w:val="007255D6"/>
    <w:rsid w:val="00725876"/>
    <w:rsid w:val="007258E9"/>
    <w:rsid w:val="00725DDA"/>
    <w:rsid w:val="00726003"/>
    <w:rsid w:val="00726232"/>
    <w:rsid w:val="007263E3"/>
    <w:rsid w:val="007271FF"/>
    <w:rsid w:val="007278C8"/>
    <w:rsid w:val="00730147"/>
    <w:rsid w:val="007311CC"/>
    <w:rsid w:val="00731500"/>
    <w:rsid w:val="00732466"/>
    <w:rsid w:val="00732801"/>
    <w:rsid w:val="00732B65"/>
    <w:rsid w:val="00732DB0"/>
    <w:rsid w:val="00733634"/>
    <w:rsid w:val="00733C87"/>
    <w:rsid w:val="00733CBA"/>
    <w:rsid w:val="00733D3E"/>
    <w:rsid w:val="00733E49"/>
    <w:rsid w:val="00735258"/>
    <w:rsid w:val="00735876"/>
    <w:rsid w:val="00735EE8"/>
    <w:rsid w:val="00736ABC"/>
    <w:rsid w:val="00736D56"/>
    <w:rsid w:val="00737064"/>
    <w:rsid w:val="00737324"/>
    <w:rsid w:val="00737610"/>
    <w:rsid w:val="0073771D"/>
    <w:rsid w:val="0073788E"/>
    <w:rsid w:val="00737C9E"/>
    <w:rsid w:val="007411D1"/>
    <w:rsid w:val="00741A1F"/>
    <w:rsid w:val="00741EFF"/>
    <w:rsid w:val="00742024"/>
    <w:rsid w:val="007440C0"/>
    <w:rsid w:val="0074441E"/>
    <w:rsid w:val="00744A80"/>
    <w:rsid w:val="00744B9F"/>
    <w:rsid w:val="00744F50"/>
    <w:rsid w:val="00745AA1"/>
    <w:rsid w:val="00745ACF"/>
    <w:rsid w:val="00745B2E"/>
    <w:rsid w:val="00745B70"/>
    <w:rsid w:val="00745C46"/>
    <w:rsid w:val="00745C4B"/>
    <w:rsid w:val="00746285"/>
    <w:rsid w:val="007479DD"/>
    <w:rsid w:val="0075052C"/>
    <w:rsid w:val="00750832"/>
    <w:rsid w:val="00751243"/>
    <w:rsid w:val="0075158F"/>
    <w:rsid w:val="00751747"/>
    <w:rsid w:val="00751753"/>
    <w:rsid w:val="00751CA6"/>
    <w:rsid w:val="00751CB3"/>
    <w:rsid w:val="00751DFC"/>
    <w:rsid w:val="00752533"/>
    <w:rsid w:val="00752753"/>
    <w:rsid w:val="0075389D"/>
    <w:rsid w:val="00753D11"/>
    <w:rsid w:val="00753DD1"/>
    <w:rsid w:val="0075433E"/>
    <w:rsid w:val="007549C3"/>
    <w:rsid w:val="00754F41"/>
    <w:rsid w:val="007552E9"/>
    <w:rsid w:val="0075557A"/>
    <w:rsid w:val="00755D92"/>
    <w:rsid w:val="00756A62"/>
    <w:rsid w:val="00756EA6"/>
    <w:rsid w:val="0075706A"/>
    <w:rsid w:val="0075743F"/>
    <w:rsid w:val="00757631"/>
    <w:rsid w:val="007576B4"/>
    <w:rsid w:val="007604A2"/>
    <w:rsid w:val="00760F88"/>
    <w:rsid w:val="00760FAA"/>
    <w:rsid w:val="00761496"/>
    <w:rsid w:val="00762283"/>
    <w:rsid w:val="00763266"/>
    <w:rsid w:val="007632E2"/>
    <w:rsid w:val="0076332B"/>
    <w:rsid w:val="007637ED"/>
    <w:rsid w:val="0076388C"/>
    <w:rsid w:val="007647A8"/>
    <w:rsid w:val="007647CB"/>
    <w:rsid w:val="00766431"/>
    <w:rsid w:val="00766731"/>
    <w:rsid w:val="0076687A"/>
    <w:rsid w:val="00766FF8"/>
    <w:rsid w:val="007672CC"/>
    <w:rsid w:val="007700F7"/>
    <w:rsid w:val="00771F02"/>
    <w:rsid w:val="00772089"/>
    <w:rsid w:val="007720A0"/>
    <w:rsid w:val="0077286E"/>
    <w:rsid w:val="00772C38"/>
    <w:rsid w:val="00772CF7"/>
    <w:rsid w:val="00772F27"/>
    <w:rsid w:val="00773006"/>
    <w:rsid w:val="00773742"/>
    <w:rsid w:val="00774340"/>
    <w:rsid w:val="007744C5"/>
    <w:rsid w:val="00774648"/>
    <w:rsid w:val="007759EF"/>
    <w:rsid w:val="0077634A"/>
    <w:rsid w:val="0077704C"/>
    <w:rsid w:val="00777F5E"/>
    <w:rsid w:val="00780954"/>
    <w:rsid w:val="007817F4"/>
    <w:rsid w:val="00781F71"/>
    <w:rsid w:val="007836C1"/>
    <w:rsid w:val="007837A2"/>
    <w:rsid w:val="00783E96"/>
    <w:rsid w:val="007840D2"/>
    <w:rsid w:val="0078490C"/>
    <w:rsid w:val="00785481"/>
    <w:rsid w:val="00785C16"/>
    <w:rsid w:val="007863B1"/>
    <w:rsid w:val="007867CC"/>
    <w:rsid w:val="00786B83"/>
    <w:rsid w:val="0078700B"/>
    <w:rsid w:val="0078734C"/>
    <w:rsid w:val="0079027F"/>
    <w:rsid w:val="00791CDE"/>
    <w:rsid w:val="00791EAF"/>
    <w:rsid w:val="00792323"/>
    <w:rsid w:val="007932CD"/>
    <w:rsid w:val="00793A9B"/>
    <w:rsid w:val="00794E78"/>
    <w:rsid w:val="00796143"/>
    <w:rsid w:val="007973BE"/>
    <w:rsid w:val="00797D13"/>
    <w:rsid w:val="00797D7E"/>
    <w:rsid w:val="00797EBA"/>
    <w:rsid w:val="007A01EC"/>
    <w:rsid w:val="007A0413"/>
    <w:rsid w:val="007A108B"/>
    <w:rsid w:val="007A18DA"/>
    <w:rsid w:val="007A1F55"/>
    <w:rsid w:val="007A2A67"/>
    <w:rsid w:val="007A3175"/>
    <w:rsid w:val="007A3346"/>
    <w:rsid w:val="007A3573"/>
    <w:rsid w:val="007A37E1"/>
    <w:rsid w:val="007A3936"/>
    <w:rsid w:val="007A3B83"/>
    <w:rsid w:val="007A4569"/>
    <w:rsid w:val="007A528E"/>
    <w:rsid w:val="007A549D"/>
    <w:rsid w:val="007A5C57"/>
    <w:rsid w:val="007A62FE"/>
    <w:rsid w:val="007A633F"/>
    <w:rsid w:val="007A7440"/>
    <w:rsid w:val="007A7F1E"/>
    <w:rsid w:val="007B0556"/>
    <w:rsid w:val="007B0B61"/>
    <w:rsid w:val="007B0F16"/>
    <w:rsid w:val="007B133C"/>
    <w:rsid w:val="007B1425"/>
    <w:rsid w:val="007B161E"/>
    <w:rsid w:val="007B1898"/>
    <w:rsid w:val="007B1974"/>
    <w:rsid w:val="007B2CF1"/>
    <w:rsid w:val="007B2D83"/>
    <w:rsid w:val="007B35C1"/>
    <w:rsid w:val="007B3692"/>
    <w:rsid w:val="007B3B9E"/>
    <w:rsid w:val="007B3CA4"/>
    <w:rsid w:val="007B45F0"/>
    <w:rsid w:val="007B4C48"/>
    <w:rsid w:val="007B51A4"/>
    <w:rsid w:val="007B5C09"/>
    <w:rsid w:val="007B5D05"/>
    <w:rsid w:val="007B623F"/>
    <w:rsid w:val="007B67B8"/>
    <w:rsid w:val="007B7A1E"/>
    <w:rsid w:val="007B7D4C"/>
    <w:rsid w:val="007C11C8"/>
    <w:rsid w:val="007C1320"/>
    <w:rsid w:val="007C167B"/>
    <w:rsid w:val="007C297C"/>
    <w:rsid w:val="007C2EDA"/>
    <w:rsid w:val="007C3231"/>
    <w:rsid w:val="007C3C99"/>
    <w:rsid w:val="007C3E99"/>
    <w:rsid w:val="007C4AD0"/>
    <w:rsid w:val="007C4FDB"/>
    <w:rsid w:val="007C53D4"/>
    <w:rsid w:val="007C6BBE"/>
    <w:rsid w:val="007C6FDD"/>
    <w:rsid w:val="007C75A0"/>
    <w:rsid w:val="007C75FD"/>
    <w:rsid w:val="007D0F36"/>
    <w:rsid w:val="007D1031"/>
    <w:rsid w:val="007D107C"/>
    <w:rsid w:val="007D171F"/>
    <w:rsid w:val="007D29E1"/>
    <w:rsid w:val="007D2AC1"/>
    <w:rsid w:val="007D34D4"/>
    <w:rsid w:val="007D402F"/>
    <w:rsid w:val="007D4158"/>
    <w:rsid w:val="007D450D"/>
    <w:rsid w:val="007D517D"/>
    <w:rsid w:val="007D58B4"/>
    <w:rsid w:val="007D5D9B"/>
    <w:rsid w:val="007D5DFB"/>
    <w:rsid w:val="007D6792"/>
    <w:rsid w:val="007D6993"/>
    <w:rsid w:val="007D7325"/>
    <w:rsid w:val="007D77A7"/>
    <w:rsid w:val="007D78F7"/>
    <w:rsid w:val="007D7CE4"/>
    <w:rsid w:val="007E00D7"/>
    <w:rsid w:val="007E1FAA"/>
    <w:rsid w:val="007E24DA"/>
    <w:rsid w:val="007E2848"/>
    <w:rsid w:val="007E2C48"/>
    <w:rsid w:val="007E31F6"/>
    <w:rsid w:val="007E3468"/>
    <w:rsid w:val="007E35C8"/>
    <w:rsid w:val="007E4003"/>
    <w:rsid w:val="007E4952"/>
    <w:rsid w:val="007E4A1B"/>
    <w:rsid w:val="007E58AA"/>
    <w:rsid w:val="007E5EAC"/>
    <w:rsid w:val="007E6497"/>
    <w:rsid w:val="007E66FF"/>
    <w:rsid w:val="007E71CA"/>
    <w:rsid w:val="007E72A3"/>
    <w:rsid w:val="007E792C"/>
    <w:rsid w:val="007F0440"/>
    <w:rsid w:val="007F0528"/>
    <w:rsid w:val="007F0589"/>
    <w:rsid w:val="007F10D4"/>
    <w:rsid w:val="007F2419"/>
    <w:rsid w:val="007F3DEA"/>
    <w:rsid w:val="007F4212"/>
    <w:rsid w:val="007F45CF"/>
    <w:rsid w:val="007F510A"/>
    <w:rsid w:val="007F5D8D"/>
    <w:rsid w:val="007F60BD"/>
    <w:rsid w:val="007F69DE"/>
    <w:rsid w:val="007F6CE2"/>
    <w:rsid w:val="007F7397"/>
    <w:rsid w:val="007F7A5E"/>
    <w:rsid w:val="007F7CAF"/>
    <w:rsid w:val="00800D8B"/>
    <w:rsid w:val="0080190D"/>
    <w:rsid w:val="0080193A"/>
    <w:rsid w:val="00801BA2"/>
    <w:rsid w:val="00801DF2"/>
    <w:rsid w:val="0080271D"/>
    <w:rsid w:val="00802A37"/>
    <w:rsid w:val="00802C8E"/>
    <w:rsid w:val="00802D69"/>
    <w:rsid w:val="0080367B"/>
    <w:rsid w:val="00803C33"/>
    <w:rsid w:val="008042DA"/>
    <w:rsid w:val="00805C0E"/>
    <w:rsid w:val="00805D80"/>
    <w:rsid w:val="0080621A"/>
    <w:rsid w:val="008069C0"/>
    <w:rsid w:val="008071FA"/>
    <w:rsid w:val="00807DCF"/>
    <w:rsid w:val="008103ED"/>
    <w:rsid w:val="00810955"/>
    <w:rsid w:val="00810AA3"/>
    <w:rsid w:val="00811073"/>
    <w:rsid w:val="00811ADD"/>
    <w:rsid w:val="00811BAF"/>
    <w:rsid w:val="00811BE1"/>
    <w:rsid w:val="00812621"/>
    <w:rsid w:val="00812E9A"/>
    <w:rsid w:val="008130BF"/>
    <w:rsid w:val="0081324A"/>
    <w:rsid w:val="008141F2"/>
    <w:rsid w:val="008166CF"/>
    <w:rsid w:val="00816935"/>
    <w:rsid w:val="00816D2E"/>
    <w:rsid w:val="0081728F"/>
    <w:rsid w:val="0081731E"/>
    <w:rsid w:val="008173BA"/>
    <w:rsid w:val="0082049B"/>
    <w:rsid w:val="00820931"/>
    <w:rsid w:val="008213A9"/>
    <w:rsid w:val="00821536"/>
    <w:rsid w:val="008216E1"/>
    <w:rsid w:val="00821BA3"/>
    <w:rsid w:val="00821C56"/>
    <w:rsid w:val="008228D1"/>
    <w:rsid w:val="00822E92"/>
    <w:rsid w:val="00823333"/>
    <w:rsid w:val="00823365"/>
    <w:rsid w:val="008238DC"/>
    <w:rsid w:val="00823D61"/>
    <w:rsid w:val="00823EEF"/>
    <w:rsid w:val="008243B4"/>
    <w:rsid w:val="00824936"/>
    <w:rsid w:val="00824F3B"/>
    <w:rsid w:val="008255DE"/>
    <w:rsid w:val="00825AE0"/>
    <w:rsid w:val="00826917"/>
    <w:rsid w:val="00826A31"/>
    <w:rsid w:val="008276F0"/>
    <w:rsid w:val="00827ABD"/>
    <w:rsid w:val="0083014C"/>
    <w:rsid w:val="008301A3"/>
    <w:rsid w:val="00830428"/>
    <w:rsid w:val="008307E9"/>
    <w:rsid w:val="00830A5E"/>
    <w:rsid w:val="00830D93"/>
    <w:rsid w:val="008319AE"/>
    <w:rsid w:val="008319CF"/>
    <w:rsid w:val="00832424"/>
    <w:rsid w:val="008335FB"/>
    <w:rsid w:val="00834EE5"/>
    <w:rsid w:val="0083561A"/>
    <w:rsid w:val="00835C83"/>
    <w:rsid w:val="008367CE"/>
    <w:rsid w:val="00836B09"/>
    <w:rsid w:val="00837254"/>
    <w:rsid w:val="0084056F"/>
    <w:rsid w:val="008405BD"/>
    <w:rsid w:val="00840A7A"/>
    <w:rsid w:val="00840D5E"/>
    <w:rsid w:val="008424BA"/>
    <w:rsid w:val="00842614"/>
    <w:rsid w:val="0084290C"/>
    <w:rsid w:val="008430C6"/>
    <w:rsid w:val="00843213"/>
    <w:rsid w:val="0084421C"/>
    <w:rsid w:val="008449E0"/>
    <w:rsid w:val="008454B3"/>
    <w:rsid w:val="0084558B"/>
    <w:rsid w:val="00845987"/>
    <w:rsid w:val="008463C7"/>
    <w:rsid w:val="00846D80"/>
    <w:rsid w:val="008477F8"/>
    <w:rsid w:val="0084794C"/>
    <w:rsid w:val="008505A4"/>
    <w:rsid w:val="00850950"/>
    <w:rsid w:val="0085137B"/>
    <w:rsid w:val="00851466"/>
    <w:rsid w:val="00851530"/>
    <w:rsid w:val="0085162A"/>
    <w:rsid w:val="00851969"/>
    <w:rsid w:val="008530C9"/>
    <w:rsid w:val="008531EC"/>
    <w:rsid w:val="00853679"/>
    <w:rsid w:val="00854482"/>
    <w:rsid w:val="008548E0"/>
    <w:rsid w:val="008548F2"/>
    <w:rsid w:val="00854A40"/>
    <w:rsid w:val="008550F0"/>
    <w:rsid w:val="00855314"/>
    <w:rsid w:val="008555EF"/>
    <w:rsid w:val="0085594E"/>
    <w:rsid w:val="00855B82"/>
    <w:rsid w:val="00855D0B"/>
    <w:rsid w:val="00855DE9"/>
    <w:rsid w:val="008566C6"/>
    <w:rsid w:val="00856A13"/>
    <w:rsid w:val="00857612"/>
    <w:rsid w:val="00857809"/>
    <w:rsid w:val="00857A94"/>
    <w:rsid w:val="0086014D"/>
    <w:rsid w:val="008604B0"/>
    <w:rsid w:val="008605A9"/>
    <w:rsid w:val="00860977"/>
    <w:rsid w:val="00860E1B"/>
    <w:rsid w:val="00860EBD"/>
    <w:rsid w:val="008613F7"/>
    <w:rsid w:val="008614D2"/>
    <w:rsid w:val="00861611"/>
    <w:rsid w:val="008618A4"/>
    <w:rsid w:val="00862238"/>
    <w:rsid w:val="00862259"/>
    <w:rsid w:val="00863B47"/>
    <w:rsid w:val="00864271"/>
    <w:rsid w:val="008650FE"/>
    <w:rsid w:val="0086616F"/>
    <w:rsid w:val="00866563"/>
    <w:rsid w:val="00866D7F"/>
    <w:rsid w:val="008670BE"/>
    <w:rsid w:val="008703E0"/>
    <w:rsid w:val="008705CF"/>
    <w:rsid w:val="00871A19"/>
    <w:rsid w:val="008725AE"/>
    <w:rsid w:val="00872A33"/>
    <w:rsid w:val="00872AA4"/>
    <w:rsid w:val="00872ACB"/>
    <w:rsid w:val="00872BD0"/>
    <w:rsid w:val="00873D1B"/>
    <w:rsid w:val="0087408D"/>
    <w:rsid w:val="008742B8"/>
    <w:rsid w:val="0087489E"/>
    <w:rsid w:val="00874BB3"/>
    <w:rsid w:val="008750B9"/>
    <w:rsid w:val="008750FB"/>
    <w:rsid w:val="0087522C"/>
    <w:rsid w:val="00876256"/>
    <w:rsid w:val="008769BF"/>
    <w:rsid w:val="00877483"/>
    <w:rsid w:val="00877D79"/>
    <w:rsid w:val="00880810"/>
    <w:rsid w:val="00880CAC"/>
    <w:rsid w:val="008810F3"/>
    <w:rsid w:val="008815E6"/>
    <w:rsid w:val="008818D3"/>
    <w:rsid w:val="0088193E"/>
    <w:rsid w:val="00881BDE"/>
    <w:rsid w:val="00882193"/>
    <w:rsid w:val="0088292A"/>
    <w:rsid w:val="00882DE1"/>
    <w:rsid w:val="00882FEA"/>
    <w:rsid w:val="00882FF4"/>
    <w:rsid w:val="0088358F"/>
    <w:rsid w:val="008839E5"/>
    <w:rsid w:val="0088444D"/>
    <w:rsid w:val="008846A3"/>
    <w:rsid w:val="008869E1"/>
    <w:rsid w:val="00886A4E"/>
    <w:rsid w:val="008876A1"/>
    <w:rsid w:val="008876E9"/>
    <w:rsid w:val="00887833"/>
    <w:rsid w:val="00887ACC"/>
    <w:rsid w:val="00890A6E"/>
    <w:rsid w:val="00890E5C"/>
    <w:rsid w:val="00890F88"/>
    <w:rsid w:val="008910EE"/>
    <w:rsid w:val="00891645"/>
    <w:rsid w:val="0089178D"/>
    <w:rsid w:val="008917C8"/>
    <w:rsid w:val="008917F1"/>
    <w:rsid w:val="00891ED9"/>
    <w:rsid w:val="00892909"/>
    <w:rsid w:val="00892CF6"/>
    <w:rsid w:val="00892E9F"/>
    <w:rsid w:val="0089315B"/>
    <w:rsid w:val="00893B5B"/>
    <w:rsid w:val="00893BBE"/>
    <w:rsid w:val="00893D90"/>
    <w:rsid w:val="0089447A"/>
    <w:rsid w:val="00894922"/>
    <w:rsid w:val="00894C2E"/>
    <w:rsid w:val="0089500E"/>
    <w:rsid w:val="00895D9C"/>
    <w:rsid w:val="00896480"/>
    <w:rsid w:val="00896AC9"/>
    <w:rsid w:val="00896F2B"/>
    <w:rsid w:val="008972EA"/>
    <w:rsid w:val="008979FE"/>
    <w:rsid w:val="00897B62"/>
    <w:rsid w:val="008A0C32"/>
    <w:rsid w:val="008A15EE"/>
    <w:rsid w:val="008A226D"/>
    <w:rsid w:val="008A27CF"/>
    <w:rsid w:val="008A2EB4"/>
    <w:rsid w:val="008A38D5"/>
    <w:rsid w:val="008A5106"/>
    <w:rsid w:val="008A53E6"/>
    <w:rsid w:val="008A5437"/>
    <w:rsid w:val="008A5650"/>
    <w:rsid w:val="008A590D"/>
    <w:rsid w:val="008A5962"/>
    <w:rsid w:val="008A5B78"/>
    <w:rsid w:val="008A76E1"/>
    <w:rsid w:val="008A7745"/>
    <w:rsid w:val="008B02EE"/>
    <w:rsid w:val="008B06BF"/>
    <w:rsid w:val="008B08A6"/>
    <w:rsid w:val="008B1090"/>
    <w:rsid w:val="008B12F1"/>
    <w:rsid w:val="008B1578"/>
    <w:rsid w:val="008B1839"/>
    <w:rsid w:val="008B1F94"/>
    <w:rsid w:val="008B20C8"/>
    <w:rsid w:val="008B2116"/>
    <w:rsid w:val="008B21F7"/>
    <w:rsid w:val="008B2316"/>
    <w:rsid w:val="008B23FE"/>
    <w:rsid w:val="008B25BB"/>
    <w:rsid w:val="008B2761"/>
    <w:rsid w:val="008B2E57"/>
    <w:rsid w:val="008B35B7"/>
    <w:rsid w:val="008B3826"/>
    <w:rsid w:val="008B40EE"/>
    <w:rsid w:val="008B4495"/>
    <w:rsid w:val="008B45FE"/>
    <w:rsid w:val="008B5DCD"/>
    <w:rsid w:val="008B67FB"/>
    <w:rsid w:val="008B6E07"/>
    <w:rsid w:val="008B751A"/>
    <w:rsid w:val="008B7A57"/>
    <w:rsid w:val="008C1082"/>
    <w:rsid w:val="008C17A7"/>
    <w:rsid w:val="008C1E8C"/>
    <w:rsid w:val="008C337F"/>
    <w:rsid w:val="008C3908"/>
    <w:rsid w:val="008C3EF1"/>
    <w:rsid w:val="008C523E"/>
    <w:rsid w:val="008C52D4"/>
    <w:rsid w:val="008C5587"/>
    <w:rsid w:val="008C574F"/>
    <w:rsid w:val="008C62BE"/>
    <w:rsid w:val="008C6AC6"/>
    <w:rsid w:val="008C6CBD"/>
    <w:rsid w:val="008C6CCC"/>
    <w:rsid w:val="008C6F52"/>
    <w:rsid w:val="008C730B"/>
    <w:rsid w:val="008C764B"/>
    <w:rsid w:val="008C7F7D"/>
    <w:rsid w:val="008D0155"/>
    <w:rsid w:val="008D05B9"/>
    <w:rsid w:val="008D05D1"/>
    <w:rsid w:val="008D136B"/>
    <w:rsid w:val="008D19A0"/>
    <w:rsid w:val="008D1B7F"/>
    <w:rsid w:val="008D2F09"/>
    <w:rsid w:val="008D333A"/>
    <w:rsid w:val="008D3DCC"/>
    <w:rsid w:val="008D45A6"/>
    <w:rsid w:val="008D4AAA"/>
    <w:rsid w:val="008D4D41"/>
    <w:rsid w:val="008D6473"/>
    <w:rsid w:val="008D6887"/>
    <w:rsid w:val="008D6925"/>
    <w:rsid w:val="008D71FC"/>
    <w:rsid w:val="008D768A"/>
    <w:rsid w:val="008E0029"/>
    <w:rsid w:val="008E05EA"/>
    <w:rsid w:val="008E18B7"/>
    <w:rsid w:val="008E2564"/>
    <w:rsid w:val="008E2936"/>
    <w:rsid w:val="008E3BFF"/>
    <w:rsid w:val="008E3F05"/>
    <w:rsid w:val="008E403D"/>
    <w:rsid w:val="008E4051"/>
    <w:rsid w:val="008E46AA"/>
    <w:rsid w:val="008E546B"/>
    <w:rsid w:val="008E5773"/>
    <w:rsid w:val="008E6002"/>
    <w:rsid w:val="008E6239"/>
    <w:rsid w:val="008E6C69"/>
    <w:rsid w:val="008E6D0C"/>
    <w:rsid w:val="008F046F"/>
    <w:rsid w:val="008F05A9"/>
    <w:rsid w:val="008F07C7"/>
    <w:rsid w:val="008F0AA1"/>
    <w:rsid w:val="008F0ACC"/>
    <w:rsid w:val="008F0BE6"/>
    <w:rsid w:val="008F0F68"/>
    <w:rsid w:val="008F1070"/>
    <w:rsid w:val="008F1177"/>
    <w:rsid w:val="008F204A"/>
    <w:rsid w:val="008F22B0"/>
    <w:rsid w:val="008F2AFC"/>
    <w:rsid w:val="008F2DEA"/>
    <w:rsid w:val="008F3062"/>
    <w:rsid w:val="008F368B"/>
    <w:rsid w:val="008F3E5B"/>
    <w:rsid w:val="008F42BF"/>
    <w:rsid w:val="008F4D4C"/>
    <w:rsid w:val="008F5565"/>
    <w:rsid w:val="008F5F67"/>
    <w:rsid w:val="008F6247"/>
    <w:rsid w:val="008F76B0"/>
    <w:rsid w:val="00900012"/>
    <w:rsid w:val="00900410"/>
    <w:rsid w:val="00900C78"/>
    <w:rsid w:val="00900CC0"/>
    <w:rsid w:val="00901158"/>
    <w:rsid w:val="009012AA"/>
    <w:rsid w:val="00901478"/>
    <w:rsid w:val="00901F1B"/>
    <w:rsid w:val="00902117"/>
    <w:rsid w:val="00902147"/>
    <w:rsid w:val="0090225E"/>
    <w:rsid w:val="0090251C"/>
    <w:rsid w:val="00902772"/>
    <w:rsid w:val="00902DBB"/>
    <w:rsid w:val="00902DC9"/>
    <w:rsid w:val="00902E38"/>
    <w:rsid w:val="00902F00"/>
    <w:rsid w:val="00903634"/>
    <w:rsid w:val="00904B1E"/>
    <w:rsid w:val="00904BAC"/>
    <w:rsid w:val="00905726"/>
    <w:rsid w:val="00905CEA"/>
    <w:rsid w:val="00906403"/>
    <w:rsid w:val="009064DB"/>
    <w:rsid w:val="00907175"/>
    <w:rsid w:val="009074D7"/>
    <w:rsid w:val="00907710"/>
    <w:rsid w:val="009102E3"/>
    <w:rsid w:val="009104F5"/>
    <w:rsid w:val="009105B7"/>
    <w:rsid w:val="00910DF0"/>
    <w:rsid w:val="00910E1B"/>
    <w:rsid w:val="00910E70"/>
    <w:rsid w:val="009114B7"/>
    <w:rsid w:val="009118E6"/>
    <w:rsid w:val="009119EC"/>
    <w:rsid w:val="00912027"/>
    <w:rsid w:val="00912CCB"/>
    <w:rsid w:val="009132D5"/>
    <w:rsid w:val="0091473C"/>
    <w:rsid w:val="00914E84"/>
    <w:rsid w:val="00915029"/>
    <w:rsid w:val="009154D0"/>
    <w:rsid w:val="00915A24"/>
    <w:rsid w:val="0091618A"/>
    <w:rsid w:val="00916505"/>
    <w:rsid w:val="009168DA"/>
    <w:rsid w:val="00916AF6"/>
    <w:rsid w:val="00916F5E"/>
    <w:rsid w:val="00916F89"/>
    <w:rsid w:val="00917747"/>
    <w:rsid w:val="009179DB"/>
    <w:rsid w:val="009201A0"/>
    <w:rsid w:val="00920C40"/>
    <w:rsid w:val="0092158F"/>
    <w:rsid w:val="009221AC"/>
    <w:rsid w:val="00922818"/>
    <w:rsid w:val="009244BB"/>
    <w:rsid w:val="00924D73"/>
    <w:rsid w:val="00924E7E"/>
    <w:rsid w:val="00925A9B"/>
    <w:rsid w:val="00925CD2"/>
    <w:rsid w:val="0092681D"/>
    <w:rsid w:val="00926D0E"/>
    <w:rsid w:val="00927190"/>
    <w:rsid w:val="009274EB"/>
    <w:rsid w:val="00927DFA"/>
    <w:rsid w:val="0093129F"/>
    <w:rsid w:val="00931621"/>
    <w:rsid w:val="00931833"/>
    <w:rsid w:val="00931933"/>
    <w:rsid w:val="00931A31"/>
    <w:rsid w:val="00931C1F"/>
    <w:rsid w:val="00931F7E"/>
    <w:rsid w:val="00932820"/>
    <w:rsid w:val="0093294A"/>
    <w:rsid w:val="009337BD"/>
    <w:rsid w:val="00933CAF"/>
    <w:rsid w:val="00934003"/>
    <w:rsid w:val="009344C4"/>
    <w:rsid w:val="00934EB7"/>
    <w:rsid w:val="00935988"/>
    <w:rsid w:val="00935A83"/>
    <w:rsid w:val="00936916"/>
    <w:rsid w:val="00940109"/>
    <w:rsid w:val="009404CB"/>
    <w:rsid w:val="009418B3"/>
    <w:rsid w:val="009419F6"/>
    <w:rsid w:val="00941D51"/>
    <w:rsid w:val="009421F2"/>
    <w:rsid w:val="0094278F"/>
    <w:rsid w:val="00942940"/>
    <w:rsid w:val="00942A99"/>
    <w:rsid w:val="00942B32"/>
    <w:rsid w:val="00942D88"/>
    <w:rsid w:val="00942E7E"/>
    <w:rsid w:val="009435CF"/>
    <w:rsid w:val="00943917"/>
    <w:rsid w:val="00943F40"/>
    <w:rsid w:val="0094406A"/>
    <w:rsid w:val="009440C6"/>
    <w:rsid w:val="00944739"/>
    <w:rsid w:val="00944C73"/>
    <w:rsid w:val="00945092"/>
    <w:rsid w:val="009451D6"/>
    <w:rsid w:val="00946B7E"/>
    <w:rsid w:val="00947894"/>
    <w:rsid w:val="009503D4"/>
    <w:rsid w:val="00950786"/>
    <w:rsid w:val="0095118B"/>
    <w:rsid w:val="00951483"/>
    <w:rsid w:val="0095192A"/>
    <w:rsid w:val="00952B97"/>
    <w:rsid w:val="00953219"/>
    <w:rsid w:val="00953417"/>
    <w:rsid w:val="00953BEA"/>
    <w:rsid w:val="00953D5F"/>
    <w:rsid w:val="009543E9"/>
    <w:rsid w:val="00954677"/>
    <w:rsid w:val="0095468D"/>
    <w:rsid w:val="00954ACB"/>
    <w:rsid w:val="00955207"/>
    <w:rsid w:val="0095591B"/>
    <w:rsid w:val="0095618F"/>
    <w:rsid w:val="00956831"/>
    <w:rsid w:val="0095683A"/>
    <w:rsid w:val="00956D34"/>
    <w:rsid w:val="0095756E"/>
    <w:rsid w:val="00957871"/>
    <w:rsid w:val="009600BA"/>
    <w:rsid w:val="00960528"/>
    <w:rsid w:val="009609EA"/>
    <w:rsid w:val="00960A66"/>
    <w:rsid w:val="009616F9"/>
    <w:rsid w:val="0096174B"/>
    <w:rsid w:val="00961918"/>
    <w:rsid w:val="00961B93"/>
    <w:rsid w:val="00961C9F"/>
    <w:rsid w:val="00961D15"/>
    <w:rsid w:val="00961DF3"/>
    <w:rsid w:val="00961DF4"/>
    <w:rsid w:val="009622B1"/>
    <w:rsid w:val="009623EC"/>
    <w:rsid w:val="009626FF"/>
    <w:rsid w:val="00962DB5"/>
    <w:rsid w:val="00963BF0"/>
    <w:rsid w:val="00964064"/>
    <w:rsid w:val="0096467A"/>
    <w:rsid w:val="00964863"/>
    <w:rsid w:val="009648AC"/>
    <w:rsid w:val="00964CC6"/>
    <w:rsid w:val="009654AC"/>
    <w:rsid w:val="00965A3F"/>
    <w:rsid w:val="00965BAF"/>
    <w:rsid w:val="00966544"/>
    <w:rsid w:val="0096662A"/>
    <w:rsid w:val="00966C84"/>
    <w:rsid w:val="00966E6A"/>
    <w:rsid w:val="00966EFF"/>
    <w:rsid w:val="00967328"/>
    <w:rsid w:val="009676B8"/>
    <w:rsid w:val="009676E0"/>
    <w:rsid w:val="009677D0"/>
    <w:rsid w:val="00970108"/>
    <w:rsid w:val="00970F55"/>
    <w:rsid w:val="00971F27"/>
    <w:rsid w:val="00972393"/>
    <w:rsid w:val="00972486"/>
    <w:rsid w:val="00972D66"/>
    <w:rsid w:val="009732E6"/>
    <w:rsid w:val="009733BF"/>
    <w:rsid w:val="009742DB"/>
    <w:rsid w:val="00974785"/>
    <w:rsid w:val="00974860"/>
    <w:rsid w:val="0097538A"/>
    <w:rsid w:val="00975833"/>
    <w:rsid w:val="0097648D"/>
    <w:rsid w:val="0097678F"/>
    <w:rsid w:val="0097697D"/>
    <w:rsid w:val="00977D10"/>
    <w:rsid w:val="00980911"/>
    <w:rsid w:val="009812F5"/>
    <w:rsid w:val="00981646"/>
    <w:rsid w:val="00981C56"/>
    <w:rsid w:val="0098218F"/>
    <w:rsid w:val="00982BB4"/>
    <w:rsid w:val="00982CB1"/>
    <w:rsid w:val="00982E6B"/>
    <w:rsid w:val="009831B2"/>
    <w:rsid w:val="00983B8D"/>
    <w:rsid w:val="00983FB8"/>
    <w:rsid w:val="009848BA"/>
    <w:rsid w:val="00985210"/>
    <w:rsid w:val="009856F6"/>
    <w:rsid w:val="009857D2"/>
    <w:rsid w:val="00985E1B"/>
    <w:rsid w:val="00986ADE"/>
    <w:rsid w:val="00987009"/>
    <w:rsid w:val="0098748B"/>
    <w:rsid w:val="009877C8"/>
    <w:rsid w:val="0099058E"/>
    <w:rsid w:val="00990A70"/>
    <w:rsid w:val="009914F8"/>
    <w:rsid w:val="0099355C"/>
    <w:rsid w:val="009936F7"/>
    <w:rsid w:val="00993C20"/>
    <w:rsid w:val="00994A45"/>
    <w:rsid w:val="0099529D"/>
    <w:rsid w:val="0099533D"/>
    <w:rsid w:val="00995624"/>
    <w:rsid w:val="00997085"/>
    <w:rsid w:val="009974F0"/>
    <w:rsid w:val="009A00B5"/>
    <w:rsid w:val="009A0152"/>
    <w:rsid w:val="009A02AF"/>
    <w:rsid w:val="009A0701"/>
    <w:rsid w:val="009A0C10"/>
    <w:rsid w:val="009A0C39"/>
    <w:rsid w:val="009A0CA3"/>
    <w:rsid w:val="009A0CC6"/>
    <w:rsid w:val="009A0DB3"/>
    <w:rsid w:val="009A1AFF"/>
    <w:rsid w:val="009A1EA9"/>
    <w:rsid w:val="009A278C"/>
    <w:rsid w:val="009A2909"/>
    <w:rsid w:val="009A35C8"/>
    <w:rsid w:val="009A3876"/>
    <w:rsid w:val="009A3DDE"/>
    <w:rsid w:val="009A4095"/>
    <w:rsid w:val="009A5FF8"/>
    <w:rsid w:val="009A64E6"/>
    <w:rsid w:val="009B0065"/>
    <w:rsid w:val="009B07F8"/>
    <w:rsid w:val="009B0E67"/>
    <w:rsid w:val="009B10D9"/>
    <w:rsid w:val="009B1CA3"/>
    <w:rsid w:val="009B1FA8"/>
    <w:rsid w:val="009B2106"/>
    <w:rsid w:val="009B22E6"/>
    <w:rsid w:val="009B2306"/>
    <w:rsid w:val="009B2AF2"/>
    <w:rsid w:val="009B2DB1"/>
    <w:rsid w:val="009B3865"/>
    <w:rsid w:val="009B4864"/>
    <w:rsid w:val="009B4C8D"/>
    <w:rsid w:val="009B4DF1"/>
    <w:rsid w:val="009B5041"/>
    <w:rsid w:val="009B5478"/>
    <w:rsid w:val="009B6065"/>
    <w:rsid w:val="009B680F"/>
    <w:rsid w:val="009B6DAF"/>
    <w:rsid w:val="009B6E07"/>
    <w:rsid w:val="009B7001"/>
    <w:rsid w:val="009B7735"/>
    <w:rsid w:val="009B7E8E"/>
    <w:rsid w:val="009B7EEA"/>
    <w:rsid w:val="009C06D2"/>
    <w:rsid w:val="009C1158"/>
    <w:rsid w:val="009C14CC"/>
    <w:rsid w:val="009C15A9"/>
    <w:rsid w:val="009C1DCB"/>
    <w:rsid w:val="009C1E23"/>
    <w:rsid w:val="009C1E94"/>
    <w:rsid w:val="009C22E5"/>
    <w:rsid w:val="009C254D"/>
    <w:rsid w:val="009C2CE0"/>
    <w:rsid w:val="009C3584"/>
    <w:rsid w:val="009C3CDF"/>
    <w:rsid w:val="009C4052"/>
    <w:rsid w:val="009C5069"/>
    <w:rsid w:val="009C5A2B"/>
    <w:rsid w:val="009C5B69"/>
    <w:rsid w:val="009C5D8E"/>
    <w:rsid w:val="009C6035"/>
    <w:rsid w:val="009C6945"/>
    <w:rsid w:val="009C6AA3"/>
    <w:rsid w:val="009C6AF9"/>
    <w:rsid w:val="009C72EC"/>
    <w:rsid w:val="009C7365"/>
    <w:rsid w:val="009C7EB6"/>
    <w:rsid w:val="009D0155"/>
    <w:rsid w:val="009D01A1"/>
    <w:rsid w:val="009D022C"/>
    <w:rsid w:val="009D092B"/>
    <w:rsid w:val="009D0BD5"/>
    <w:rsid w:val="009D1FE4"/>
    <w:rsid w:val="009D2403"/>
    <w:rsid w:val="009D27F9"/>
    <w:rsid w:val="009D2A8A"/>
    <w:rsid w:val="009D2A8E"/>
    <w:rsid w:val="009D35F9"/>
    <w:rsid w:val="009D3A4C"/>
    <w:rsid w:val="009D4648"/>
    <w:rsid w:val="009D4C67"/>
    <w:rsid w:val="009D5061"/>
    <w:rsid w:val="009D5A60"/>
    <w:rsid w:val="009D60F1"/>
    <w:rsid w:val="009D696F"/>
    <w:rsid w:val="009D7AA2"/>
    <w:rsid w:val="009D7D24"/>
    <w:rsid w:val="009E092C"/>
    <w:rsid w:val="009E217E"/>
    <w:rsid w:val="009E2605"/>
    <w:rsid w:val="009E2616"/>
    <w:rsid w:val="009E2AB4"/>
    <w:rsid w:val="009E2CB6"/>
    <w:rsid w:val="009E3003"/>
    <w:rsid w:val="009E3A3C"/>
    <w:rsid w:val="009E4319"/>
    <w:rsid w:val="009E4DE9"/>
    <w:rsid w:val="009E5039"/>
    <w:rsid w:val="009E55C4"/>
    <w:rsid w:val="009E6219"/>
    <w:rsid w:val="009E6228"/>
    <w:rsid w:val="009E6519"/>
    <w:rsid w:val="009E683D"/>
    <w:rsid w:val="009E6BA3"/>
    <w:rsid w:val="009E7336"/>
    <w:rsid w:val="009E77E2"/>
    <w:rsid w:val="009E79D2"/>
    <w:rsid w:val="009F015E"/>
    <w:rsid w:val="009F02C5"/>
    <w:rsid w:val="009F02F0"/>
    <w:rsid w:val="009F074B"/>
    <w:rsid w:val="009F0C72"/>
    <w:rsid w:val="009F147E"/>
    <w:rsid w:val="009F168E"/>
    <w:rsid w:val="009F18AC"/>
    <w:rsid w:val="009F2971"/>
    <w:rsid w:val="009F3151"/>
    <w:rsid w:val="009F448A"/>
    <w:rsid w:val="009F4539"/>
    <w:rsid w:val="009F57D6"/>
    <w:rsid w:val="009F5B46"/>
    <w:rsid w:val="009F5DE2"/>
    <w:rsid w:val="009F5F82"/>
    <w:rsid w:val="009F6351"/>
    <w:rsid w:val="009F6D0B"/>
    <w:rsid w:val="009F6FED"/>
    <w:rsid w:val="009F72B2"/>
    <w:rsid w:val="009F77A0"/>
    <w:rsid w:val="009F7A28"/>
    <w:rsid w:val="009F7AE4"/>
    <w:rsid w:val="009F7E51"/>
    <w:rsid w:val="009F7F58"/>
    <w:rsid w:val="00A008CF"/>
    <w:rsid w:val="00A010CA"/>
    <w:rsid w:val="00A01A8F"/>
    <w:rsid w:val="00A02155"/>
    <w:rsid w:val="00A02361"/>
    <w:rsid w:val="00A0257A"/>
    <w:rsid w:val="00A02BEB"/>
    <w:rsid w:val="00A02CFB"/>
    <w:rsid w:val="00A02FBF"/>
    <w:rsid w:val="00A034AC"/>
    <w:rsid w:val="00A03CA1"/>
    <w:rsid w:val="00A03E9E"/>
    <w:rsid w:val="00A045B9"/>
    <w:rsid w:val="00A0530B"/>
    <w:rsid w:val="00A05E87"/>
    <w:rsid w:val="00A05F0C"/>
    <w:rsid w:val="00A06225"/>
    <w:rsid w:val="00A06432"/>
    <w:rsid w:val="00A06808"/>
    <w:rsid w:val="00A101CC"/>
    <w:rsid w:val="00A10592"/>
    <w:rsid w:val="00A10D62"/>
    <w:rsid w:val="00A10DC3"/>
    <w:rsid w:val="00A10FE1"/>
    <w:rsid w:val="00A1150D"/>
    <w:rsid w:val="00A11BC1"/>
    <w:rsid w:val="00A12174"/>
    <w:rsid w:val="00A12530"/>
    <w:rsid w:val="00A128FB"/>
    <w:rsid w:val="00A12A96"/>
    <w:rsid w:val="00A13790"/>
    <w:rsid w:val="00A13D03"/>
    <w:rsid w:val="00A14022"/>
    <w:rsid w:val="00A146C1"/>
    <w:rsid w:val="00A14E2A"/>
    <w:rsid w:val="00A156D9"/>
    <w:rsid w:val="00A15C03"/>
    <w:rsid w:val="00A163F6"/>
    <w:rsid w:val="00A165DF"/>
    <w:rsid w:val="00A16D3A"/>
    <w:rsid w:val="00A17066"/>
    <w:rsid w:val="00A17853"/>
    <w:rsid w:val="00A17E05"/>
    <w:rsid w:val="00A213B1"/>
    <w:rsid w:val="00A21614"/>
    <w:rsid w:val="00A2184E"/>
    <w:rsid w:val="00A22090"/>
    <w:rsid w:val="00A22363"/>
    <w:rsid w:val="00A22D98"/>
    <w:rsid w:val="00A23AE1"/>
    <w:rsid w:val="00A23B01"/>
    <w:rsid w:val="00A23D93"/>
    <w:rsid w:val="00A244B9"/>
    <w:rsid w:val="00A24C99"/>
    <w:rsid w:val="00A2503B"/>
    <w:rsid w:val="00A262F5"/>
    <w:rsid w:val="00A26C3A"/>
    <w:rsid w:val="00A27244"/>
    <w:rsid w:val="00A274AB"/>
    <w:rsid w:val="00A275AD"/>
    <w:rsid w:val="00A279CD"/>
    <w:rsid w:val="00A27C56"/>
    <w:rsid w:val="00A27C82"/>
    <w:rsid w:val="00A27D1C"/>
    <w:rsid w:val="00A27D70"/>
    <w:rsid w:val="00A30018"/>
    <w:rsid w:val="00A30095"/>
    <w:rsid w:val="00A302B6"/>
    <w:rsid w:val="00A302D2"/>
    <w:rsid w:val="00A303B5"/>
    <w:rsid w:val="00A30539"/>
    <w:rsid w:val="00A30776"/>
    <w:rsid w:val="00A30D0F"/>
    <w:rsid w:val="00A30EED"/>
    <w:rsid w:val="00A31C8C"/>
    <w:rsid w:val="00A32737"/>
    <w:rsid w:val="00A344D3"/>
    <w:rsid w:val="00A34750"/>
    <w:rsid w:val="00A34D2F"/>
    <w:rsid w:val="00A35070"/>
    <w:rsid w:val="00A35A55"/>
    <w:rsid w:val="00A35D50"/>
    <w:rsid w:val="00A36902"/>
    <w:rsid w:val="00A36AB7"/>
    <w:rsid w:val="00A3718A"/>
    <w:rsid w:val="00A373AD"/>
    <w:rsid w:val="00A374A8"/>
    <w:rsid w:val="00A37B64"/>
    <w:rsid w:val="00A40AD7"/>
    <w:rsid w:val="00A40E13"/>
    <w:rsid w:val="00A40E56"/>
    <w:rsid w:val="00A412C7"/>
    <w:rsid w:val="00A41534"/>
    <w:rsid w:val="00A418BF"/>
    <w:rsid w:val="00A41E93"/>
    <w:rsid w:val="00A42358"/>
    <w:rsid w:val="00A42564"/>
    <w:rsid w:val="00A42D3E"/>
    <w:rsid w:val="00A438C3"/>
    <w:rsid w:val="00A445D9"/>
    <w:rsid w:val="00A4487D"/>
    <w:rsid w:val="00A44D2D"/>
    <w:rsid w:val="00A44E09"/>
    <w:rsid w:val="00A465D7"/>
    <w:rsid w:val="00A46610"/>
    <w:rsid w:val="00A4779E"/>
    <w:rsid w:val="00A502A0"/>
    <w:rsid w:val="00A5048F"/>
    <w:rsid w:val="00A51032"/>
    <w:rsid w:val="00A519CA"/>
    <w:rsid w:val="00A521D3"/>
    <w:rsid w:val="00A52219"/>
    <w:rsid w:val="00A52A52"/>
    <w:rsid w:val="00A52D1D"/>
    <w:rsid w:val="00A5439F"/>
    <w:rsid w:val="00A551EE"/>
    <w:rsid w:val="00A55881"/>
    <w:rsid w:val="00A569BA"/>
    <w:rsid w:val="00A56A87"/>
    <w:rsid w:val="00A56DB3"/>
    <w:rsid w:val="00A5700E"/>
    <w:rsid w:val="00A570D8"/>
    <w:rsid w:val="00A57727"/>
    <w:rsid w:val="00A579DC"/>
    <w:rsid w:val="00A57CDB"/>
    <w:rsid w:val="00A601B4"/>
    <w:rsid w:val="00A60286"/>
    <w:rsid w:val="00A60703"/>
    <w:rsid w:val="00A60D06"/>
    <w:rsid w:val="00A61053"/>
    <w:rsid w:val="00A61765"/>
    <w:rsid w:val="00A61A94"/>
    <w:rsid w:val="00A61BB5"/>
    <w:rsid w:val="00A620F2"/>
    <w:rsid w:val="00A626A9"/>
    <w:rsid w:val="00A636FB"/>
    <w:rsid w:val="00A648EB"/>
    <w:rsid w:val="00A658C7"/>
    <w:rsid w:val="00A67100"/>
    <w:rsid w:val="00A67614"/>
    <w:rsid w:val="00A678E0"/>
    <w:rsid w:val="00A67CAF"/>
    <w:rsid w:val="00A70ECA"/>
    <w:rsid w:val="00A70EE9"/>
    <w:rsid w:val="00A70F01"/>
    <w:rsid w:val="00A720A3"/>
    <w:rsid w:val="00A720FA"/>
    <w:rsid w:val="00A72A07"/>
    <w:rsid w:val="00A72E7B"/>
    <w:rsid w:val="00A72F1D"/>
    <w:rsid w:val="00A7306A"/>
    <w:rsid w:val="00A7379D"/>
    <w:rsid w:val="00A73A03"/>
    <w:rsid w:val="00A74A64"/>
    <w:rsid w:val="00A75628"/>
    <w:rsid w:val="00A76BBA"/>
    <w:rsid w:val="00A76CF3"/>
    <w:rsid w:val="00A76E0E"/>
    <w:rsid w:val="00A7779D"/>
    <w:rsid w:val="00A777F8"/>
    <w:rsid w:val="00A779DB"/>
    <w:rsid w:val="00A77A85"/>
    <w:rsid w:val="00A77B4D"/>
    <w:rsid w:val="00A77CA4"/>
    <w:rsid w:val="00A77CD4"/>
    <w:rsid w:val="00A8060A"/>
    <w:rsid w:val="00A80689"/>
    <w:rsid w:val="00A80895"/>
    <w:rsid w:val="00A80BFE"/>
    <w:rsid w:val="00A80F7D"/>
    <w:rsid w:val="00A815D7"/>
    <w:rsid w:val="00A82241"/>
    <w:rsid w:val="00A825D0"/>
    <w:rsid w:val="00A8288E"/>
    <w:rsid w:val="00A82BD9"/>
    <w:rsid w:val="00A83E60"/>
    <w:rsid w:val="00A83F34"/>
    <w:rsid w:val="00A84232"/>
    <w:rsid w:val="00A84816"/>
    <w:rsid w:val="00A84ECD"/>
    <w:rsid w:val="00A85417"/>
    <w:rsid w:val="00A85ACF"/>
    <w:rsid w:val="00A8608F"/>
    <w:rsid w:val="00A86575"/>
    <w:rsid w:val="00A86660"/>
    <w:rsid w:val="00A86707"/>
    <w:rsid w:val="00A87A6E"/>
    <w:rsid w:val="00A87B93"/>
    <w:rsid w:val="00A9022D"/>
    <w:rsid w:val="00A90A8C"/>
    <w:rsid w:val="00A91470"/>
    <w:rsid w:val="00A917D3"/>
    <w:rsid w:val="00A92EA9"/>
    <w:rsid w:val="00A93977"/>
    <w:rsid w:val="00A9431F"/>
    <w:rsid w:val="00A94448"/>
    <w:rsid w:val="00A9447F"/>
    <w:rsid w:val="00A94583"/>
    <w:rsid w:val="00A94B2F"/>
    <w:rsid w:val="00A951C0"/>
    <w:rsid w:val="00A9553F"/>
    <w:rsid w:val="00A960E7"/>
    <w:rsid w:val="00A969C7"/>
    <w:rsid w:val="00A96C8B"/>
    <w:rsid w:val="00A970EA"/>
    <w:rsid w:val="00A97947"/>
    <w:rsid w:val="00AA09A6"/>
    <w:rsid w:val="00AA262F"/>
    <w:rsid w:val="00AA307B"/>
    <w:rsid w:val="00AA4058"/>
    <w:rsid w:val="00AA40F4"/>
    <w:rsid w:val="00AA47CA"/>
    <w:rsid w:val="00AA4D4A"/>
    <w:rsid w:val="00AA54D1"/>
    <w:rsid w:val="00AA5561"/>
    <w:rsid w:val="00AA59A3"/>
    <w:rsid w:val="00AA5B03"/>
    <w:rsid w:val="00AA5D4A"/>
    <w:rsid w:val="00AA6187"/>
    <w:rsid w:val="00AA6B7F"/>
    <w:rsid w:val="00AA6C33"/>
    <w:rsid w:val="00AA6D3E"/>
    <w:rsid w:val="00AA7411"/>
    <w:rsid w:val="00AA7F87"/>
    <w:rsid w:val="00AB008C"/>
    <w:rsid w:val="00AB0498"/>
    <w:rsid w:val="00AB0980"/>
    <w:rsid w:val="00AB1288"/>
    <w:rsid w:val="00AB247A"/>
    <w:rsid w:val="00AB281E"/>
    <w:rsid w:val="00AB2890"/>
    <w:rsid w:val="00AB2A19"/>
    <w:rsid w:val="00AB33AF"/>
    <w:rsid w:val="00AB356E"/>
    <w:rsid w:val="00AB38D4"/>
    <w:rsid w:val="00AB4B7B"/>
    <w:rsid w:val="00AB4BE3"/>
    <w:rsid w:val="00AB545D"/>
    <w:rsid w:val="00AB5850"/>
    <w:rsid w:val="00AB5CB8"/>
    <w:rsid w:val="00AB6177"/>
    <w:rsid w:val="00AB6E90"/>
    <w:rsid w:val="00AB75A2"/>
    <w:rsid w:val="00AB7C1E"/>
    <w:rsid w:val="00AC05B6"/>
    <w:rsid w:val="00AC0C06"/>
    <w:rsid w:val="00AC0F5E"/>
    <w:rsid w:val="00AC1619"/>
    <w:rsid w:val="00AC1758"/>
    <w:rsid w:val="00AC180C"/>
    <w:rsid w:val="00AC2403"/>
    <w:rsid w:val="00AC2669"/>
    <w:rsid w:val="00AC26B3"/>
    <w:rsid w:val="00AC2DD0"/>
    <w:rsid w:val="00AC2FF7"/>
    <w:rsid w:val="00AC47D9"/>
    <w:rsid w:val="00AC4E6E"/>
    <w:rsid w:val="00AC4F9D"/>
    <w:rsid w:val="00AC50C5"/>
    <w:rsid w:val="00AC53AE"/>
    <w:rsid w:val="00AC551E"/>
    <w:rsid w:val="00AC5F9B"/>
    <w:rsid w:val="00AC6380"/>
    <w:rsid w:val="00AC64CE"/>
    <w:rsid w:val="00AC66FC"/>
    <w:rsid w:val="00AC67BC"/>
    <w:rsid w:val="00AC70CE"/>
    <w:rsid w:val="00AC7B2D"/>
    <w:rsid w:val="00AD09E4"/>
    <w:rsid w:val="00AD0EDB"/>
    <w:rsid w:val="00AD1092"/>
    <w:rsid w:val="00AD1272"/>
    <w:rsid w:val="00AD1FC0"/>
    <w:rsid w:val="00AD20F0"/>
    <w:rsid w:val="00AD2125"/>
    <w:rsid w:val="00AD2534"/>
    <w:rsid w:val="00AD25AC"/>
    <w:rsid w:val="00AD2A41"/>
    <w:rsid w:val="00AD3424"/>
    <w:rsid w:val="00AD3814"/>
    <w:rsid w:val="00AD39F8"/>
    <w:rsid w:val="00AD3F3B"/>
    <w:rsid w:val="00AD421C"/>
    <w:rsid w:val="00AD447B"/>
    <w:rsid w:val="00AD4DCB"/>
    <w:rsid w:val="00AD5E6A"/>
    <w:rsid w:val="00AD6CFC"/>
    <w:rsid w:val="00AD6EF4"/>
    <w:rsid w:val="00AD721F"/>
    <w:rsid w:val="00AD7806"/>
    <w:rsid w:val="00AD7A38"/>
    <w:rsid w:val="00AD7C25"/>
    <w:rsid w:val="00AE093C"/>
    <w:rsid w:val="00AE1110"/>
    <w:rsid w:val="00AE12D6"/>
    <w:rsid w:val="00AE1611"/>
    <w:rsid w:val="00AE1616"/>
    <w:rsid w:val="00AE17FA"/>
    <w:rsid w:val="00AE1852"/>
    <w:rsid w:val="00AE22B2"/>
    <w:rsid w:val="00AE22F8"/>
    <w:rsid w:val="00AE245B"/>
    <w:rsid w:val="00AE294C"/>
    <w:rsid w:val="00AE32C5"/>
    <w:rsid w:val="00AE37AE"/>
    <w:rsid w:val="00AE3D32"/>
    <w:rsid w:val="00AE4398"/>
    <w:rsid w:val="00AE4D47"/>
    <w:rsid w:val="00AE5DF4"/>
    <w:rsid w:val="00AE5E68"/>
    <w:rsid w:val="00AE62C0"/>
    <w:rsid w:val="00AE681D"/>
    <w:rsid w:val="00AE68A4"/>
    <w:rsid w:val="00AE6AE1"/>
    <w:rsid w:val="00AE6B01"/>
    <w:rsid w:val="00AE6B82"/>
    <w:rsid w:val="00AE7410"/>
    <w:rsid w:val="00AE7597"/>
    <w:rsid w:val="00AE75D1"/>
    <w:rsid w:val="00AE7655"/>
    <w:rsid w:val="00AE7715"/>
    <w:rsid w:val="00AF09A6"/>
    <w:rsid w:val="00AF13FD"/>
    <w:rsid w:val="00AF14CC"/>
    <w:rsid w:val="00AF1F5F"/>
    <w:rsid w:val="00AF23C3"/>
    <w:rsid w:val="00AF2BB3"/>
    <w:rsid w:val="00AF2BE4"/>
    <w:rsid w:val="00AF3222"/>
    <w:rsid w:val="00AF3663"/>
    <w:rsid w:val="00AF408C"/>
    <w:rsid w:val="00AF4244"/>
    <w:rsid w:val="00AF488F"/>
    <w:rsid w:val="00AF48CF"/>
    <w:rsid w:val="00AF4A57"/>
    <w:rsid w:val="00AF4AAE"/>
    <w:rsid w:val="00AF4BFA"/>
    <w:rsid w:val="00AF5453"/>
    <w:rsid w:val="00AF5725"/>
    <w:rsid w:val="00AF73B7"/>
    <w:rsid w:val="00AF7B74"/>
    <w:rsid w:val="00AF7EF5"/>
    <w:rsid w:val="00B00031"/>
    <w:rsid w:val="00B005F3"/>
    <w:rsid w:val="00B016F1"/>
    <w:rsid w:val="00B016F4"/>
    <w:rsid w:val="00B0188B"/>
    <w:rsid w:val="00B019F2"/>
    <w:rsid w:val="00B02ED5"/>
    <w:rsid w:val="00B03D16"/>
    <w:rsid w:val="00B04626"/>
    <w:rsid w:val="00B0511D"/>
    <w:rsid w:val="00B0543E"/>
    <w:rsid w:val="00B05480"/>
    <w:rsid w:val="00B05A08"/>
    <w:rsid w:val="00B05DB1"/>
    <w:rsid w:val="00B07357"/>
    <w:rsid w:val="00B0769A"/>
    <w:rsid w:val="00B10395"/>
    <w:rsid w:val="00B10C1E"/>
    <w:rsid w:val="00B116A8"/>
    <w:rsid w:val="00B11D77"/>
    <w:rsid w:val="00B11EF0"/>
    <w:rsid w:val="00B12BBF"/>
    <w:rsid w:val="00B13B8A"/>
    <w:rsid w:val="00B13E9D"/>
    <w:rsid w:val="00B13EC0"/>
    <w:rsid w:val="00B14DB3"/>
    <w:rsid w:val="00B15623"/>
    <w:rsid w:val="00B15E08"/>
    <w:rsid w:val="00B15E8C"/>
    <w:rsid w:val="00B1643D"/>
    <w:rsid w:val="00B16D21"/>
    <w:rsid w:val="00B16F39"/>
    <w:rsid w:val="00B16FFA"/>
    <w:rsid w:val="00B170C7"/>
    <w:rsid w:val="00B178A7"/>
    <w:rsid w:val="00B20A9B"/>
    <w:rsid w:val="00B20B7A"/>
    <w:rsid w:val="00B21135"/>
    <w:rsid w:val="00B232C2"/>
    <w:rsid w:val="00B23305"/>
    <w:rsid w:val="00B23528"/>
    <w:rsid w:val="00B236D5"/>
    <w:rsid w:val="00B23C25"/>
    <w:rsid w:val="00B23CAD"/>
    <w:rsid w:val="00B23F6B"/>
    <w:rsid w:val="00B242A3"/>
    <w:rsid w:val="00B242C6"/>
    <w:rsid w:val="00B247E8"/>
    <w:rsid w:val="00B24915"/>
    <w:rsid w:val="00B25982"/>
    <w:rsid w:val="00B25A3C"/>
    <w:rsid w:val="00B26BAD"/>
    <w:rsid w:val="00B2799D"/>
    <w:rsid w:val="00B3016C"/>
    <w:rsid w:val="00B304E1"/>
    <w:rsid w:val="00B3105F"/>
    <w:rsid w:val="00B314B8"/>
    <w:rsid w:val="00B3185E"/>
    <w:rsid w:val="00B319B6"/>
    <w:rsid w:val="00B319DA"/>
    <w:rsid w:val="00B320AF"/>
    <w:rsid w:val="00B32604"/>
    <w:rsid w:val="00B330A9"/>
    <w:rsid w:val="00B34D53"/>
    <w:rsid w:val="00B3508A"/>
    <w:rsid w:val="00B354AA"/>
    <w:rsid w:val="00B35DD0"/>
    <w:rsid w:val="00B362A6"/>
    <w:rsid w:val="00B37A58"/>
    <w:rsid w:val="00B40357"/>
    <w:rsid w:val="00B40B61"/>
    <w:rsid w:val="00B411A0"/>
    <w:rsid w:val="00B4240F"/>
    <w:rsid w:val="00B42C7D"/>
    <w:rsid w:val="00B42DE6"/>
    <w:rsid w:val="00B439A9"/>
    <w:rsid w:val="00B43FDB"/>
    <w:rsid w:val="00B44087"/>
    <w:rsid w:val="00B4412C"/>
    <w:rsid w:val="00B448A1"/>
    <w:rsid w:val="00B4496C"/>
    <w:rsid w:val="00B44DA1"/>
    <w:rsid w:val="00B45905"/>
    <w:rsid w:val="00B45B75"/>
    <w:rsid w:val="00B460AB"/>
    <w:rsid w:val="00B465C6"/>
    <w:rsid w:val="00B469F2"/>
    <w:rsid w:val="00B46E12"/>
    <w:rsid w:val="00B47102"/>
    <w:rsid w:val="00B4765C"/>
    <w:rsid w:val="00B5045F"/>
    <w:rsid w:val="00B5086F"/>
    <w:rsid w:val="00B51146"/>
    <w:rsid w:val="00B5230F"/>
    <w:rsid w:val="00B52411"/>
    <w:rsid w:val="00B52999"/>
    <w:rsid w:val="00B53B1C"/>
    <w:rsid w:val="00B53C0F"/>
    <w:rsid w:val="00B53F56"/>
    <w:rsid w:val="00B545E2"/>
    <w:rsid w:val="00B5509C"/>
    <w:rsid w:val="00B55207"/>
    <w:rsid w:val="00B555B3"/>
    <w:rsid w:val="00B555DC"/>
    <w:rsid w:val="00B55AA0"/>
    <w:rsid w:val="00B568A0"/>
    <w:rsid w:val="00B56D87"/>
    <w:rsid w:val="00B56DC2"/>
    <w:rsid w:val="00B56E23"/>
    <w:rsid w:val="00B572A4"/>
    <w:rsid w:val="00B5746E"/>
    <w:rsid w:val="00B57896"/>
    <w:rsid w:val="00B57CFE"/>
    <w:rsid w:val="00B60218"/>
    <w:rsid w:val="00B6032A"/>
    <w:rsid w:val="00B60503"/>
    <w:rsid w:val="00B60A29"/>
    <w:rsid w:val="00B616A6"/>
    <w:rsid w:val="00B61981"/>
    <w:rsid w:val="00B61A27"/>
    <w:rsid w:val="00B61BBE"/>
    <w:rsid w:val="00B61C46"/>
    <w:rsid w:val="00B61CF5"/>
    <w:rsid w:val="00B61D03"/>
    <w:rsid w:val="00B61E07"/>
    <w:rsid w:val="00B62428"/>
    <w:rsid w:val="00B625EE"/>
    <w:rsid w:val="00B6283E"/>
    <w:rsid w:val="00B62844"/>
    <w:rsid w:val="00B629AD"/>
    <w:rsid w:val="00B629E3"/>
    <w:rsid w:val="00B63378"/>
    <w:rsid w:val="00B6350F"/>
    <w:rsid w:val="00B63510"/>
    <w:rsid w:val="00B63E02"/>
    <w:rsid w:val="00B64363"/>
    <w:rsid w:val="00B6451A"/>
    <w:rsid w:val="00B645BA"/>
    <w:rsid w:val="00B64801"/>
    <w:rsid w:val="00B64B2C"/>
    <w:rsid w:val="00B64CF3"/>
    <w:rsid w:val="00B64F93"/>
    <w:rsid w:val="00B6571F"/>
    <w:rsid w:val="00B659EF"/>
    <w:rsid w:val="00B6627A"/>
    <w:rsid w:val="00B66AD2"/>
    <w:rsid w:val="00B66F39"/>
    <w:rsid w:val="00B67133"/>
    <w:rsid w:val="00B672F3"/>
    <w:rsid w:val="00B6737E"/>
    <w:rsid w:val="00B6778E"/>
    <w:rsid w:val="00B67FF8"/>
    <w:rsid w:val="00B7033A"/>
    <w:rsid w:val="00B70BB5"/>
    <w:rsid w:val="00B70E3D"/>
    <w:rsid w:val="00B71202"/>
    <w:rsid w:val="00B714F8"/>
    <w:rsid w:val="00B71EF5"/>
    <w:rsid w:val="00B72179"/>
    <w:rsid w:val="00B722D8"/>
    <w:rsid w:val="00B72349"/>
    <w:rsid w:val="00B72687"/>
    <w:rsid w:val="00B72F9C"/>
    <w:rsid w:val="00B7393A"/>
    <w:rsid w:val="00B73EEB"/>
    <w:rsid w:val="00B742CC"/>
    <w:rsid w:val="00B7474C"/>
    <w:rsid w:val="00B7495F"/>
    <w:rsid w:val="00B752D3"/>
    <w:rsid w:val="00B753EC"/>
    <w:rsid w:val="00B756DE"/>
    <w:rsid w:val="00B75B89"/>
    <w:rsid w:val="00B75E9D"/>
    <w:rsid w:val="00B7602A"/>
    <w:rsid w:val="00B76181"/>
    <w:rsid w:val="00B763F2"/>
    <w:rsid w:val="00B76902"/>
    <w:rsid w:val="00B77769"/>
    <w:rsid w:val="00B77946"/>
    <w:rsid w:val="00B8010F"/>
    <w:rsid w:val="00B803AF"/>
    <w:rsid w:val="00B80433"/>
    <w:rsid w:val="00B80D8C"/>
    <w:rsid w:val="00B81091"/>
    <w:rsid w:val="00B8130A"/>
    <w:rsid w:val="00B817A7"/>
    <w:rsid w:val="00B81C4A"/>
    <w:rsid w:val="00B81E48"/>
    <w:rsid w:val="00B826C3"/>
    <w:rsid w:val="00B835AF"/>
    <w:rsid w:val="00B836A7"/>
    <w:rsid w:val="00B84DB2"/>
    <w:rsid w:val="00B85011"/>
    <w:rsid w:val="00B8573B"/>
    <w:rsid w:val="00B864A3"/>
    <w:rsid w:val="00B8767E"/>
    <w:rsid w:val="00B87A01"/>
    <w:rsid w:val="00B907D3"/>
    <w:rsid w:val="00B90EAE"/>
    <w:rsid w:val="00B91139"/>
    <w:rsid w:val="00B91295"/>
    <w:rsid w:val="00B91C2D"/>
    <w:rsid w:val="00B925C4"/>
    <w:rsid w:val="00B92E08"/>
    <w:rsid w:val="00B930F0"/>
    <w:rsid w:val="00B93465"/>
    <w:rsid w:val="00B93717"/>
    <w:rsid w:val="00B937DB"/>
    <w:rsid w:val="00B93B6D"/>
    <w:rsid w:val="00B9409F"/>
    <w:rsid w:val="00B95A80"/>
    <w:rsid w:val="00B95B23"/>
    <w:rsid w:val="00B961CE"/>
    <w:rsid w:val="00B96F2D"/>
    <w:rsid w:val="00B9726C"/>
    <w:rsid w:val="00BA0BDC"/>
    <w:rsid w:val="00BA0C39"/>
    <w:rsid w:val="00BA1509"/>
    <w:rsid w:val="00BA1906"/>
    <w:rsid w:val="00BA1B07"/>
    <w:rsid w:val="00BA2282"/>
    <w:rsid w:val="00BA3488"/>
    <w:rsid w:val="00BA36DA"/>
    <w:rsid w:val="00BA3A48"/>
    <w:rsid w:val="00BA3B6C"/>
    <w:rsid w:val="00BA3CC2"/>
    <w:rsid w:val="00BA3DD2"/>
    <w:rsid w:val="00BA44B6"/>
    <w:rsid w:val="00BA46C1"/>
    <w:rsid w:val="00BA4CB9"/>
    <w:rsid w:val="00BA4EE3"/>
    <w:rsid w:val="00BA5EB8"/>
    <w:rsid w:val="00BA6469"/>
    <w:rsid w:val="00BA6988"/>
    <w:rsid w:val="00BA7B86"/>
    <w:rsid w:val="00BA7EA8"/>
    <w:rsid w:val="00BB06EA"/>
    <w:rsid w:val="00BB0A2A"/>
    <w:rsid w:val="00BB0D67"/>
    <w:rsid w:val="00BB112D"/>
    <w:rsid w:val="00BB115D"/>
    <w:rsid w:val="00BB1B6B"/>
    <w:rsid w:val="00BB1BE0"/>
    <w:rsid w:val="00BB2911"/>
    <w:rsid w:val="00BB2B12"/>
    <w:rsid w:val="00BB2F91"/>
    <w:rsid w:val="00BB2F9A"/>
    <w:rsid w:val="00BB46CB"/>
    <w:rsid w:val="00BB5077"/>
    <w:rsid w:val="00BB51F1"/>
    <w:rsid w:val="00BB5239"/>
    <w:rsid w:val="00BB5371"/>
    <w:rsid w:val="00BB69A6"/>
    <w:rsid w:val="00BB77FB"/>
    <w:rsid w:val="00BB7A3B"/>
    <w:rsid w:val="00BB7A90"/>
    <w:rsid w:val="00BB7B70"/>
    <w:rsid w:val="00BB7D83"/>
    <w:rsid w:val="00BB7F0A"/>
    <w:rsid w:val="00BB7FE7"/>
    <w:rsid w:val="00BC00B3"/>
    <w:rsid w:val="00BC056A"/>
    <w:rsid w:val="00BC0993"/>
    <w:rsid w:val="00BC0A27"/>
    <w:rsid w:val="00BC0B67"/>
    <w:rsid w:val="00BC0EF6"/>
    <w:rsid w:val="00BC187D"/>
    <w:rsid w:val="00BC2122"/>
    <w:rsid w:val="00BC2660"/>
    <w:rsid w:val="00BC2E1F"/>
    <w:rsid w:val="00BC2F3F"/>
    <w:rsid w:val="00BC3776"/>
    <w:rsid w:val="00BC38E3"/>
    <w:rsid w:val="00BC4055"/>
    <w:rsid w:val="00BC4844"/>
    <w:rsid w:val="00BC4979"/>
    <w:rsid w:val="00BC4A2B"/>
    <w:rsid w:val="00BC4E19"/>
    <w:rsid w:val="00BC5FED"/>
    <w:rsid w:val="00BC63D5"/>
    <w:rsid w:val="00BC715E"/>
    <w:rsid w:val="00BC7BDF"/>
    <w:rsid w:val="00BD066A"/>
    <w:rsid w:val="00BD08B3"/>
    <w:rsid w:val="00BD1052"/>
    <w:rsid w:val="00BD108B"/>
    <w:rsid w:val="00BD1DE4"/>
    <w:rsid w:val="00BD24AD"/>
    <w:rsid w:val="00BD27E2"/>
    <w:rsid w:val="00BD2A51"/>
    <w:rsid w:val="00BD2B3F"/>
    <w:rsid w:val="00BD2CC6"/>
    <w:rsid w:val="00BD34E4"/>
    <w:rsid w:val="00BD34F7"/>
    <w:rsid w:val="00BD3DCD"/>
    <w:rsid w:val="00BD3DE3"/>
    <w:rsid w:val="00BD3E06"/>
    <w:rsid w:val="00BD43BD"/>
    <w:rsid w:val="00BD5066"/>
    <w:rsid w:val="00BD55BD"/>
    <w:rsid w:val="00BD57B9"/>
    <w:rsid w:val="00BD57BE"/>
    <w:rsid w:val="00BD5CD1"/>
    <w:rsid w:val="00BD5F6C"/>
    <w:rsid w:val="00BD6BB6"/>
    <w:rsid w:val="00BD6F55"/>
    <w:rsid w:val="00BD7031"/>
    <w:rsid w:val="00BD7559"/>
    <w:rsid w:val="00BE0EA3"/>
    <w:rsid w:val="00BE11C2"/>
    <w:rsid w:val="00BE1493"/>
    <w:rsid w:val="00BE169F"/>
    <w:rsid w:val="00BE1AB4"/>
    <w:rsid w:val="00BE1D3A"/>
    <w:rsid w:val="00BE328F"/>
    <w:rsid w:val="00BE368C"/>
    <w:rsid w:val="00BE3782"/>
    <w:rsid w:val="00BE37F2"/>
    <w:rsid w:val="00BE3A66"/>
    <w:rsid w:val="00BE3E6A"/>
    <w:rsid w:val="00BE4480"/>
    <w:rsid w:val="00BE51F6"/>
    <w:rsid w:val="00BE55D6"/>
    <w:rsid w:val="00BE581A"/>
    <w:rsid w:val="00BE5AD6"/>
    <w:rsid w:val="00BE5CC9"/>
    <w:rsid w:val="00BE5D98"/>
    <w:rsid w:val="00BE65F4"/>
    <w:rsid w:val="00BE6979"/>
    <w:rsid w:val="00BE76C0"/>
    <w:rsid w:val="00BE78C2"/>
    <w:rsid w:val="00BE7EAC"/>
    <w:rsid w:val="00BF02F8"/>
    <w:rsid w:val="00BF1841"/>
    <w:rsid w:val="00BF1886"/>
    <w:rsid w:val="00BF2777"/>
    <w:rsid w:val="00BF2D2C"/>
    <w:rsid w:val="00BF3004"/>
    <w:rsid w:val="00BF3235"/>
    <w:rsid w:val="00BF3357"/>
    <w:rsid w:val="00BF39B0"/>
    <w:rsid w:val="00BF3AAC"/>
    <w:rsid w:val="00BF3FB4"/>
    <w:rsid w:val="00BF426A"/>
    <w:rsid w:val="00BF4A72"/>
    <w:rsid w:val="00BF556F"/>
    <w:rsid w:val="00BF567C"/>
    <w:rsid w:val="00BF5800"/>
    <w:rsid w:val="00BF6373"/>
    <w:rsid w:val="00BF6C9F"/>
    <w:rsid w:val="00BF79DC"/>
    <w:rsid w:val="00C006B5"/>
    <w:rsid w:val="00C012EE"/>
    <w:rsid w:val="00C01431"/>
    <w:rsid w:val="00C01D7C"/>
    <w:rsid w:val="00C01F28"/>
    <w:rsid w:val="00C02515"/>
    <w:rsid w:val="00C028DD"/>
    <w:rsid w:val="00C02A39"/>
    <w:rsid w:val="00C02E59"/>
    <w:rsid w:val="00C03942"/>
    <w:rsid w:val="00C04004"/>
    <w:rsid w:val="00C0454F"/>
    <w:rsid w:val="00C0457F"/>
    <w:rsid w:val="00C04F66"/>
    <w:rsid w:val="00C050CA"/>
    <w:rsid w:val="00C0524F"/>
    <w:rsid w:val="00C05260"/>
    <w:rsid w:val="00C05486"/>
    <w:rsid w:val="00C054C8"/>
    <w:rsid w:val="00C058CB"/>
    <w:rsid w:val="00C06489"/>
    <w:rsid w:val="00C0676B"/>
    <w:rsid w:val="00C07E18"/>
    <w:rsid w:val="00C1015B"/>
    <w:rsid w:val="00C110D0"/>
    <w:rsid w:val="00C11270"/>
    <w:rsid w:val="00C1196D"/>
    <w:rsid w:val="00C11E88"/>
    <w:rsid w:val="00C12767"/>
    <w:rsid w:val="00C128B0"/>
    <w:rsid w:val="00C12A67"/>
    <w:rsid w:val="00C12F60"/>
    <w:rsid w:val="00C13282"/>
    <w:rsid w:val="00C13303"/>
    <w:rsid w:val="00C1404A"/>
    <w:rsid w:val="00C1417E"/>
    <w:rsid w:val="00C14597"/>
    <w:rsid w:val="00C147B6"/>
    <w:rsid w:val="00C154A5"/>
    <w:rsid w:val="00C15E57"/>
    <w:rsid w:val="00C15F43"/>
    <w:rsid w:val="00C163A2"/>
    <w:rsid w:val="00C164A2"/>
    <w:rsid w:val="00C16D94"/>
    <w:rsid w:val="00C17E75"/>
    <w:rsid w:val="00C2022E"/>
    <w:rsid w:val="00C2067E"/>
    <w:rsid w:val="00C20A98"/>
    <w:rsid w:val="00C214F8"/>
    <w:rsid w:val="00C219F9"/>
    <w:rsid w:val="00C21FE8"/>
    <w:rsid w:val="00C22465"/>
    <w:rsid w:val="00C23198"/>
    <w:rsid w:val="00C23286"/>
    <w:rsid w:val="00C23EF3"/>
    <w:rsid w:val="00C243F6"/>
    <w:rsid w:val="00C2471B"/>
    <w:rsid w:val="00C24CF4"/>
    <w:rsid w:val="00C2516B"/>
    <w:rsid w:val="00C2543B"/>
    <w:rsid w:val="00C25855"/>
    <w:rsid w:val="00C258D8"/>
    <w:rsid w:val="00C2679F"/>
    <w:rsid w:val="00C268C7"/>
    <w:rsid w:val="00C306D8"/>
    <w:rsid w:val="00C307C9"/>
    <w:rsid w:val="00C307ED"/>
    <w:rsid w:val="00C31739"/>
    <w:rsid w:val="00C3213A"/>
    <w:rsid w:val="00C32192"/>
    <w:rsid w:val="00C336BF"/>
    <w:rsid w:val="00C336F9"/>
    <w:rsid w:val="00C3370B"/>
    <w:rsid w:val="00C33BFE"/>
    <w:rsid w:val="00C354C4"/>
    <w:rsid w:val="00C354F3"/>
    <w:rsid w:val="00C359D5"/>
    <w:rsid w:val="00C36070"/>
    <w:rsid w:val="00C360B8"/>
    <w:rsid w:val="00C36241"/>
    <w:rsid w:val="00C3631B"/>
    <w:rsid w:val="00C36831"/>
    <w:rsid w:val="00C3684B"/>
    <w:rsid w:val="00C36907"/>
    <w:rsid w:val="00C36FF3"/>
    <w:rsid w:val="00C376F3"/>
    <w:rsid w:val="00C378CD"/>
    <w:rsid w:val="00C37FEA"/>
    <w:rsid w:val="00C400BB"/>
    <w:rsid w:val="00C40661"/>
    <w:rsid w:val="00C409CA"/>
    <w:rsid w:val="00C40B01"/>
    <w:rsid w:val="00C40B19"/>
    <w:rsid w:val="00C40D3A"/>
    <w:rsid w:val="00C40E00"/>
    <w:rsid w:val="00C415DB"/>
    <w:rsid w:val="00C419AF"/>
    <w:rsid w:val="00C41D2A"/>
    <w:rsid w:val="00C41F0D"/>
    <w:rsid w:val="00C4217D"/>
    <w:rsid w:val="00C421D8"/>
    <w:rsid w:val="00C42AC0"/>
    <w:rsid w:val="00C42FE1"/>
    <w:rsid w:val="00C45309"/>
    <w:rsid w:val="00C45B4D"/>
    <w:rsid w:val="00C45D6B"/>
    <w:rsid w:val="00C45DE4"/>
    <w:rsid w:val="00C4624B"/>
    <w:rsid w:val="00C46B33"/>
    <w:rsid w:val="00C46DF3"/>
    <w:rsid w:val="00C4764A"/>
    <w:rsid w:val="00C47AF4"/>
    <w:rsid w:val="00C47DBD"/>
    <w:rsid w:val="00C5035E"/>
    <w:rsid w:val="00C50678"/>
    <w:rsid w:val="00C50699"/>
    <w:rsid w:val="00C516FD"/>
    <w:rsid w:val="00C51AD7"/>
    <w:rsid w:val="00C5206C"/>
    <w:rsid w:val="00C523FF"/>
    <w:rsid w:val="00C5284A"/>
    <w:rsid w:val="00C53280"/>
    <w:rsid w:val="00C533FF"/>
    <w:rsid w:val="00C534EB"/>
    <w:rsid w:val="00C538E7"/>
    <w:rsid w:val="00C5415A"/>
    <w:rsid w:val="00C5543A"/>
    <w:rsid w:val="00C55AE0"/>
    <w:rsid w:val="00C5652B"/>
    <w:rsid w:val="00C5694D"/>
    <w:rsid w:val="00C56D7D"/>
    <w:rsid w:val="00C56F00"/>
    <w:rsid w:val="00C56F81"/>
    <w:rsid w:val="00C5757F"/>
    <w:rsid w:val="00C576F1"/>
    <w:rsid w:val="00C5789A"/>
    <w:rsid w:val="00C578EB"/>
    <w:rsid w:val="00C57983"/>
    <w:rsid w:val="00C57C4A"/>
    <w:rsid w:val="00C61021"/>
    <w:rsid w:val="00C611CA"/>
    <w:rsid w:val="00C614DA"/>
    <w:rsid w:val="00C61A26"/>
    <w:rsid w:val="00C61BB1"/>
    <w:rsid w:val="00C61BC9"/>
    <w:rsid w:val="00C61EAD"/>
    <w:rsid w:val="00C61FF2"/>
    <w:rsid w:val="00C6204C"/>
    <w:rsid w:val="00C62319"/>
    <w:rsid w:val="00C624CE"/>
    <w:rsid w:val="00C63086"/>
    <w:rsid w:val="00C6317C"/>
    <w:rsid w:val="00C635BB"/>
    <w:rsid w:val="00C63772"/>
    <w:rsid w:val="00C6385F"/>
    <w:rsid w:val="00C64236"/>
    <w:rsid w:val="00C64318"/>
    <w:rsid w:val="00C644A8"/>
    <w:rsid w:val="00C649FD"/>
    <w:rsid w:val="00C65074"/>
    <w:rsid w:val="00C66145"/>
    <w:rsid w:val="00C661F5"/>
    <w:rsid w:val="00C66E35"/>
    <w:rsid w:val="00C67679"/>
    <w:rsid w:val="00C67783"/>
    <w:rsid w:val="00C6786A"/>
    <w:rsid w:val="00C70C96"/>
    <w:rsid w:val="00C70CE0"/>
    <w:rsid w:val="00C70D89"/>
    <w:rsid w:val="00C71566"/>
    <w:rsid w:val="00C71739"/>
    <w:rsid w:val="00C71C8B"/>
    <w:rsid w:val="00C73BC2"/>
    <w:rsid w:val="00C744DB"/>
    <w:rsid w:val="00C7483A"/>
    <w:rsid w:val="00C74C4D"/>
    <w:rsid w:val="00C74E88"/>
    <w:rsid w:val="00C75170"/>
    <w:rsid w:val="00C757B8"/>
    <w:rsid w:val="00C75AE4"/>
    <w:rsid w:val="00C75D99"/>
    <w:rsid w:val="00C76420"/>
    <w:rsid w:val="00C7650E"/>
    <w:rsid w:val="00C76CA7"/>
    <w:rsid w:val="00C76E5C"/>
    <w:rsid w:val="00C776BB"/>
    <w:rsid w:val="00C77932"/>
    <w:rsid w:val="00C77EB2"/>
    <w:rsid w:val="00C80C87"/>
    <w:rsid w:val="00C8116F"/>
    <w:rsid w:val="00C81321"/>
    <w:rsid w:val="00C81C25"/>
    <w:rsid w:val="00C81FED"/>
    <w:rsid w:val="00C82AE2"/>
    <w:rsid w:val="00C82C26"/>
    <w:rsid w:val="00C82D69"/>
    <w:rsid w:val="00C82E9B"/>
    <w:rsid w:val="00C82F66"/>
    <w:rsid w:val="00C8300D"/>
    <w:rsid w:val="00C83332"/>
    <w:rsid w:val="00C833C2"/>
    <w:rsid w:val="00C83A5A"/>
    <w:rsid w:val="00C84421"/>
    <w:rsid w:val="00C8473B"/>
    <w:rsid w:val="00C85010"/>
    <w:rsid w:val="00C85961"/>
    <w:rsid w:val="00C85B7F"/>
    <w:rsid w:val="00C8635B"/>
    <w:rsid w:val="00C867DE"/>
    <w:rsid w:val="00C86937"/>
    <w:rsid w:val="00C86C9D"/>
    <w:rsid w:val="00C86CDB"/>
    <w:rsid w:val="00C875B3"/>
    <w:rsid w:val="00C87DB1"/>
    <w:rsid w:val="00C87E88"/>
    <w:rsid w:val="00C901BD"/>
    <w:rsid w:val="00C90948"/>
    <w:rsid w:val="00C90A63"/>
    <w:rsid w:val="00C90D4D"/>
    <w:rsid w:val="00C91347"/>
    <w:rsid w:val="00C91E28"/>
    <w:rsid w:val="00C92332"/>
    <w:rsid w:val="00C92D30"/>
    <w:rsid w:val="00C93166"/>
    <w:rsid w:val="00C93321"/>
    <w:rsid w:val="00C9365D"/>
    <w:rsid w:val="00C93B30"/>
    <w:rsid w:val="00C94099"/>
    <w:rsid w:val="00C943C5"/>
    <w:rsid w:val="00C94B7D"/>
    <w:rsid w:val="00C956CD"/>
    <w:rsid w:val="00C95707"/>
    <w:rsid w:val="00C978E3"/>
    <w:rsid w:val="00CA0173"/>
    <w:rsid w:val="00CA086B"/>
    <w:rsid w:val="00CA10B8"/>
    <w:rsid w:val="00CA11CC"/>
    <w:rsid w:val="00CA1615"/>
    <w:rsid w:val="00CA1A88"/>
    <w:rsid w:val="00CA1F59"/>
    <w:rsid w:val="00CA20B7"/>
    <w:rsid w:val="00CA21DB"/>
    <w:rsid w:val="00CA2B8D"/>
    <w:rsid w:val="00CA380D"/>
    <w:rsid w:val="00CA3B5D"/>
    <w:rsid w:val="00CA3D95"/>
    <w:rsid w:val="00CA418B"/>
    <w:rsid w:val="00CA45D2"/>
    <w:rsid w:val="00CA4AA0"/>
    <w:rsid w:val="00CA5E1E"/>
    <w:rsid w:val="00CA6027"/>
    <w:rsid w:val="00CA6056"/>
    <w:rsid w:val="00CA631F"/>
    <w:rsid w:val="00CA7069"/>
    <w:rsid w:val="00CA7114"/>
    <w:rsid w:val="00CA73F3"/>
    <w:rsid w:val="00CB00F2"/>
    <w:rsid w:val="00CB0D20"/>
    <w:rsid w:val="00CB0FE1"/>
    <w:rsid w:val="00CB1051"/>
    <w:rsid w:val="00CB10E1"/>
    <w:rsid w:val="00CB2302"/>
    <w:rsid w:val="00CB342D"/>
    <w:rsid w:val="00CB3BAA"/>
    <w:rsid w:val="00CB3C33"/>
    <w:rsid w:val="00CB3CFB"/>
    <w:rsid w:val="00CB43BD"/>
    <w:rsid w:val="00CB4859"/>
    <w:rsid w:val="00CB4921"/>
    <w:rsid w:val="00CB4956"/>
    <w:rsid w:val="00CB4DD2"/>
    <w:rsid w:val="00CB5318"/>
    <w:rsid w:val="00CB54C2"/>
    <w:rsid w:val="00CB5936"/>
    <w:rsid w:val="00CB6776"/>
    <w:rsid w:val="00CB6EA1"/>
    <w:rsid w:val="00CB7303"/>
    <w:rsid w:val="00CB73FC"/>
    <w:rsid w:val="00CB780B"/>
    <w:rsid w:val="00CC06E2"/>
    <w:rsid w:val="00CC08CB"/>
    <w:rsid w:val="00CC0CD3"/>
    <w:rsid w:val="00CC1132"/>
    <w:rsid w:val="00CC14FD"/>
    <w:rsid w:val="00CC1ECC"/>
    <w:rsid w:val="00CC2747"/>
    <w:rsid w:val="00CC29EC"/>
    <w:rsid w:val="00CC2E71"/>
    <w:rsid w:val="00CC314A"/>
    <w:rsid w:val="00CC3510"/>
    <w:rsid w:val="00CC3F9D"/>
    <w:rsid w:val="00CC44E5"/>
    <w:rsid w:val="00CC4C9E"/>
    <w:rsid w:val="00CC508C"/>
    <w:rsid w:val="00CC5EFA"/>
    <w:rsid w:val="00CC5F09"/>
    <w:rsid w:val="00CC5FAF"/>
    <w:rsid w:val="00CC612E"/>
    <w:rsid w:val="00CC6A69"/>
    <w:rsid w:val="00CC6C47"/>
    <w:rsid w:val="00CC6E46"/>
    <w:rsid w:val="00CC717C"/>
    <w:rsid w:val="00CC7600"/>
    <w:rsid w:val="00CD002C"/>
    <w:rsid w:val="00CD07D1"/>
    <w:rsid w:val="00CD0A78"/>
    <w:rsid w:val="00CD0C97"/>
    <w:rsid w:val="00CD0EFD"/>
    <w:rsid w:val="00CD243E"/>
    <w:rsid w:val="00CD2FB2"/>
    <w:rsid w:val="00CD31A0"/>
    <w:rsid w:val="00CD3552"/>
    <w:rsid w:val="00CD388B"/>
    <w:rsid w:val="00CD3E76"/>
    <w:rsid w:val="00CD45E4"/>
    <w:rsid w:val="00CD49DD"/>
    <w:rsid w:val="00CD4D57"/>
    <w:rsid w:val="00CD5902"/>
    <w:rsid w:val="00CD6218"/>
    <w:rsid w:val="00CD6B18"/>
    <w:rsid w:val="00CD6CA8"/>
    <w:rsid w:val="00CD6F9B"/>
    <w:rsid w:val="00CE044C"/>
    <w:rsid w:val="00CE05F3"/>
    <w:rsid w:val="00CE0E4E"/>
    <w:rsid w:val="00CE0F74"/>
    <w:rsid w:val="00CE181F"/>
    <w:rsid w:val="00CE207D"/>
    <w:rsid w:val="00CE36DA"/>
    <w:rsid w:val="00CE3953"/>
    <w:rsid w:val="00CE492A"/>
    <w:rsid w:val="00CE5175"/>
    <w:rsid w:val="00CE63B3"/>
    <w:rsid w:val="00CE66ED"/>
    <w:rsid w:val="00CE6F5E"/>
    <w:rsid w:val="00CE6FF5"/>
    <w:rsid w:val="00CE7177"/>
    <w:rsid w:val="00CE73C9"/>
    <w:rsid w:val="00CE75CE"/>
    <w:rsid w:val="00CE7F3B"/>
    <w:rsid w:val="00CF0146"/>
    <w:rsid w:val="00CF08A9"/>
    <w:rsid w:val="00CF0F1F"/>
    <w:rsid w:val="00CF1B8F"/>
    <w:rsid w:val="00CF1E53"/>
    <w:rsid w:val="00CF2756"/>
    <w:rsid w:val="00CF2EA7"/>
    <w:rsid w:val="00CF310A"/>
    <w:rsid w:val="00CF34A3"/>
    <w:rsid w:val="00CF3A16"/>
    <w:rsid w:val="00CF3DA5"/>
    <w:rsid w:val="00CF477F"/>
    <w:rsid w:val="00CF490A"/>
    <w:rsid w:val="00CF4CDA"/>
    <w:rsid w:val="00CF4DA4"/>
    <w:rsid w:val="00CF52D9"/>
    <w:rsid w:val="00CF5919"/>
    <w:rsid w:val="00CF592C"/>
    <w:rsid w:val="00CF5A2B"/>
    <w:rsid w:val="00CF5BCD"/>
    <w:rsid w:val="00CF600C"/>
    <w:rsid w:val="00CF6661"/>
    <w:rsid w:val="00CF6FD7"/>
    <w:rsid w:val="00CF79C9"/>
    <w:rsid w:val="00D004E2"/>
    <w:rsid w:val="00D00B5B"/>
    <w:rsid w:val="00D01BBC"/>
    <w:rsid w:val="00D01C19"/>
    <w:rsid w:val="00D01CDA"/>
    <w:rsid w:val="00D01EEC"/>
    <w:rsid w:val="00D02517"/>
    <w:rsid w:val="00D028AB"/>
    <w:rsid w:val="00D02B2D"/>
    <w:rsid w:val="00D037AF"/>
    <w:rsid w:val="00D03D85"/>
    <w:rsid w:val="00D0407E"/>
    <w:rsid w:val="00D04BEB"/>
    <w:rsid w:val="00D05353"/>
    <w:rsid w:val="00D05CA1"/>
    <w:rsid w:val="00D05F2A"/>
    <w:rsid w:val="00D07294"/>
    <w:rsid w:val="00D07559"/>
    <w:rsid w:val="00D07949"/>
    <w:rsid w:val="00D10908"/>
    <w:rsid w:val="00D10DAF"/>
    <w:rsid w:val="00D11146"/>
    <w:rsid w:val="00D112C4"/>
    <w:rsid w:val="00D1157D"/>
    <w:rsid w:val="00D117E4"/>
    <w:rsid w:val="00D11E7E"/>
    <w:rsid w:val="00D12264"/>
    <w:rsid w:val="00D125D8"/>
    <w:rsid w:val="00D12ABD"/>
    <w:rsid w:val="00D130F6"/>
    <w:rsid w:val="00D13A0C"/>
    <w:rsid w:val="00D14DC7"/>
    <w:rsid w:val="00D15F06"/>
    <w:rsid w:val="00D15FF8"/>
    <w:rsid w:val="00D16172"/>
    <w:rsid w:val="00D169E4"/>
    <w:rsid w:val="00D17239"/>
    <w:rsid w:val="00D200CE"/>
    <w:rsid w:val="00D203D5"/>
    <w:rsid w:val="00D2151D"/>
    <w:rsid w:val="00D215C7"/>
    <w:rsid w:val="00D21AF7"/>
    <w:rsid w:val="00D227E8"/>
    <w:rsid w:val="00D22BB9"/>
    <w:rsid w:val="00D22BC6"/>
    <w:rsid w:val="00D22CA2"/>
    <w:rsid w:val="00D22D64"/>
    <w:rsid w:val="00D231D6"/>
    <w:rsid w:val="00D23B25"/>
    <w:rsid w:val="00D23C23"/>
    <w:rsid w:val="00D24B11"/>
    <w:rsid w:val="00D24F00"/>
    <w:rsid w:val="00D25077"/>
    <w:rsid w:val="00D2543D"/>
    <w:rsid w:val="00D262BE"/>
    <w:rsid w:val="00D26A87"/>
    <w:rsid w:val="00D26B4C"/>
    <w:rsid w:val="00D26BB9"/>
    <w:rsid w:val="00D26F28"/>
    <w:rsid w:val="00D27B1C"/>
    <w:rsid w:val="00D27B63"/>
    <w:rsid w:val="00D3029C"/>
    <w:rsid w:val="00D30797"/>
    <w:rsid w:val="00D30FFD"/>
    <w:rsid w:val="00D312FB"/>
    <w:rsid w:val="00D316FC"/>
    <w:rsid w:val="00D324CD"/>
    <w:rsid w:val="00D324F2"/>
    <w:rsid w:val="00D32AC7"/>
    <w:rsid w:val="00D3308F"/>
    <w:rsid w:val="00D3366A"/>
    <w:rsid w:val="00D33CFC"/>
    <w:rsid w:val="00D345AC"/>
    <w:rsid w:val="00D3473C"/>
    <w:rsid w:val="00D35AB7"/>
    <w:rsid w:val="00D35C1C"/>
    <w:rsid w:val="00D35C26"/>
    <w:rsid w:val="00D35C70"/>
    <w:rsid w:val="00D367B4"/>
    <w:rsid w:val="00D36A5B"/>
    <w:rsid w:val="00D36EA0"/>
    <w:rsid w:val="00D3748D"/>
    <w:rsid w:val="00D379DD"/>
    <w:rsid w:val="00D37E3C"/>
    <w:rsid w:val="00D37EA4"/>
    <w:rsid w:val="00D37F8F"/>
    <w:rsid w:val="00D40023"/>
    <w:rsid w:val="00D407A9"/>
    <w:rsid w:val="00D407F3"/>
    <w:rsid w:val="00D40B14"/>
    <w:rsid w:val="00D4235D"/>
    <w:rsid w:val="00D426B0"/>
    <w:rsid w:val="00D4337C"/>
    <w:rsid w:val="00D43B22"/>
    <w:rsid w:val="00D43F3A"/>
    <w:rsid w:val="00D440B3"/>
    <w:rsid w:val="00D444AD"/>
    <w:rsid w:val="00D44BC2"/>
    <w:rsid w:val="00D44F91"/>
    <w:rsid w:val="00D45159"/>
    <w:rsid w:val="00D452BA"/>
    <w:rsid w:val="00D454E0"/>
    <w:rsid w:val="00D45597"/>
    <w:rsid w:val="00D46199"/>
    <w:rsid w:val="00D46247"/>
    <w:rsid w:val="00D46BF3"/>
    <w:rsid w:val="00D47465"/>
    <w:rsid w:val="00D47B76"/>
    <w:rsid w:val="00D47C5E"/>
    <w:rsid w:val="00D50033"/>
    <w:rsid w:val="00D5017B"/>
    <w:rsid w:val="00D50D67"/>
    <w:rsid w:val="00D515D8"/>
    <w:rsid w:val="00D52219"/>
    <w:rsid w:val="00D52677"/>
    <w:rsid w:val="00D52794"/>
    <w:rsid w:val="00D52BAA"/>
    <w:rsid w:val="00D53572"/>
    <w:rsid w:val="00D53DD5"/>
    <w:rsid w:val="00D53FA2"/>
    <w:rsid w:val="00D5419A"/>
    <w:rsid w:val="00D543DB"/>
    <w:rsid w:val="00D5447D"/>
    <w:rsid w:val="00D54C01"/>
    <w:rsid w:val="00D54DFC"/>
    <w:rsid w:val="00D55377"/>
    <w:rsid w:val="00D55486"/>
    <w:rsid w:val="00D55B29"/>
    <w:rsid w:val="00D55D12"/>
    <w:rsid w:val="00D563CC"/>
    <w:rsid w:val="00D5696E"/>
    <w:rsid w:val="00D572C8"/>
    <w:rsid w:val="00D5758E"/>
    <w:rsid w:val="00D577C8"/>
    <w:rsid w:val="00D57C9C"/>
    <w:rsid w:val="00D600ED"/>
    <w:rsid w:val="00D60127"/>
    <w:rsid w:val="00D60567"/>
    <w:rsid w:val="00D60C0B"/>
    <w:rsid w:val="00D61514"/>
    <w:rsid w:val="00D617EA"/>
    <w:rsid w:val="00D61E20"/>
    <w:rsid w:val="00D61F82"/>
    <w:rsid w:val="00D6205A"/>
    <w:rsid w:val="00D6251B"/>
    <w:rsid w:val="00D62732"/>
    <w:rsid w:val="00D62CA6"/>
    <w:rsid w:val="00D62D08"/>
    <w:rsid w:val="00D632DE"/>
    <w:rsid w:val="00D637B1"/>
    <w:rsid w:val="00D640CD"/>
    <w:rsid w:val="00D6434E"/>
    <w:rsid w:val="00D64584"/>
    <w:rsid w:val="00D645B5"/>
    <w:rsid w:val="00D64EB3"/>
    <w:rsid w:val="00D65334"/>
    <w:rsid w:val="00D65585"/>
    <w:rsid w:val="00D65B08"/>
    <w:rsid w:val="00D65EC3"/>
    <w:rsid w:val="00D661BF"/>
    <w:rsid w:val="00D66608"/>
    <w:rsid w:val="00D666CA"/>
    <w:rsid w:val="00D66CDB"/>
    <w:rsid w:val="00D66D36"/>
    <w:rsid w:val="00D66DD3"/>
    <w:rsid w:val="00D66E55"/>
    <w:rsid w:val="00D672D4"/>
    <w:rsid w:val="00D6745E"/>
    <w:rsid w:val="00D67E97"/>
    <w:rsid w:val="00D67F4B"/>
    <w:rsid w:val="00D714D0"/>
    <w:rsid w:val="00D71A2B"/>
    <w:rsid w:val="00D71C94"/>
    <w:rsid w:val="00D73171"/>
    <w:rsid w:val="00D731C9"/>
    <w:rsid w:val="00D73B56"/>
    <w:rsid w:val="00D740D7"/>
    <w:rsid w:val="00D74BD1"/>
    <w:rsid w:val="00D74C6B"/>
    <w:rsid w:val="00D77DA9"/>
    <w:rsid w:val="00D77E64"/>
    <w:rsid w:val="00D8090F"/>
    <w:rsid w:val="00D80FDA"/>
    <w:rsid w:val="00D812BB"/>
    <w:rsid w:val="00D821B5"/>
    <w:rsid w:val="00D8348A"/>
    <w:rsid w:val="00D837EC"/>
    <w:rsid w:val="00D83938"/>
    <w:rsid w:val="00D83E03"/>
    <w:rsid w:val="00D84525"/>
    <w:rsid w:val="00D84EF3"/>
    <w:rsid w:val="00D84FBC"/>
    <w:rsid w:val="00D86844"/>
    <w:rsid w:val="00D87616"/>
    <w:rsid w:val="00D917CA"/>
    <w:rsid w:val="00D91CC9"/>
    <w:rsid w:val="00D920F9"/>
    <w:rsid w:val="00D9242C"/>
    <w:rsid w:val="00D92436"/>
    <w:rsid w:val="00D927EA"/>
    <w:rsid w:val="00D92DF6"/>
    <w:rsid w:val="00D931C7"/>
    <w:rsid w:val="00D93AF0"/>
    <w:rsid w:val="00D94001"/>
    <w:rsid w:val="00D94EF3"/>
    <w:rsid w:val="00D9506E"/>
    <w:rsid w:val="00D95112"/>
    <w:rsid w:val="00D954AA"/>
    <w:rsid w:val="00D9711C"/>
    <w:rsid w:val="00D978FA"/>
    <w:rsid w:val="00D97F62"/>
    <w:rsid w:val="00DA000B"/>
    <w:rsid w:val="00DA07D6"/>
    <w:rsid w:val="00DA2A67"/>
    <w:rsid w:val="00DA2FF2"/>
    <w:rsid w:val="00DA30FD"/>
    <w:rsid w:val="00DA3576"/>
    <w:rsid w:val="00DA39FD"/>
    <w:rsid w:val="00DA3AE5"/>
    <w:rsid w:val="00DA419A"/>
    <w:rsid w:val="00DA4256"/>
    <w:rsid w:val="00DA4402"/>
    <w:rsid w:val="00DA466E"/>
    <w:rsid w:val="00DA6ACB"/>
    <w:rsid w:val="00DA6E20"/>
    <w:rsid w:val="00DA725C"/>
    <w:rsid w:val="00DA745E"/>
    <w:rsid w:val="00DA7864"/>
    <w:rsid w:val="00DA7CFE"/>
    <w:rsid w:val="00DA7E96"/>
    <w:rsid w:val="00DB0525"/>
    <w:rsid w:val="00DB11A6"/>
    <w:rsid w:val="00DB1AC5"/>
    <w:rsid w:val="00DB1F59"/>
    <w:rsid w:val="00DB1FEF"/>
    <w:rsid w:val="00DB317F"/>
    <w:rsid w:val="00DB32D7"/>
    <w:rsid w:val="00DB36B1"/>
    <w:rsid w:val="00DB3DF8"/>
    <w:rsid w:val="00DB51CA"/>
    <w:rsid w:val="00DB6890"/>
    <w:rsid w:val="00DB69C6"/>
    <w:rsid w:val="00DB69D5"/>
    <w:rsid w:val="00DB6A04"/>
    <w:rsid w:val="00DB6A5B"/>
    <w:rsid w:val="00DB785B"/>
    <w:rsid w:val="00DC0B8A"/>
    <w:rsid w:val="00DC0C0E"/>
    <w:rsid w:val="00DC10F2"/>
    <w:rsid w:val="00DC1665"/>
    <w:rsid w:val="00DC1C21"/>
    <w:rsid w:val="00DC25C4"/>
    <w:rsid w:val="00DC262B"/>
    <w:rsid w:val="00DC2961"/>
    <w:rsid w:val="00DC2DF9"/>
    <w:rsid w:val="00DC318D"/>
    <w:rsid w:val="00DC43D9"/>
    <w:rsid w:val="00DC46E0"/>
    <w:rsid w:val="00DC551B"/>
    <w:rsid w:val="00DC5726"/>
    <w:rsid w:val="00DC6026"/>
    <w:rsid w:val="00DC776B"/>
    <w:rsid w:val="00DC7A2E"/>
    <w:rsid w:val="00DC7CB0"/>
    <w:rsid w:val="00DC7CD7"/>
    <w:rsid w:val="00DC7E57"/>
    <w:rsid w:val="00DD05CF"/>
    <w:rsid w:val="00DD0BA0"/>
    <w:rsid w:val="00DD0D88"/>
    <w:rsid w:val="00DD1C7E"/>
    <w:rsid w:val="00DD221B"/>
    <w:rsid w:val="00DD2248"/>
    <w:rsid w:val="00DD27FA"/>
    <w:rsid w:val="00DD2B15"/>
    <w:rsid w:val="00DD2BE0"/>
    <w:rsid w:val="00DD33C8"/>
    <w:rsid w:val="00DD34C5"/>
    <w:rsid w:val="00DD3867"/>
    <w:rsid w:val="00DD3A43"/>
    <w:rsid w:val="00DD3F1C"/>
    <w:rsid w:val="00DD40B2"/>
    <w:rsid w:val="00DD4541"/>
    <w:rsid w:val="00DD4604"/>
    <w:rsid w:val="00DD4640"/>
    <w:rsid w:val="00DD4FAF"/>
    <w:rsid w:val="00DD60AF"/>
    <w:rsid w:val="00DD645D"/>
    <w:rsid w:val="00DD64B3"/>
    <w:rsid w:val="00DD66BC"/>
    <w:rsid w:val="00DD6C70"/>
    <w:rsid w:val="00DD7A0B"/>
    <w:rsid w:val="00DD7BC4"/>
    <w:rsid w:val="00DD7DCA"/>
    <w:rsid w:val="00DE1189"/>
    <w:rsid w:val="00DE14FE"/>
    <w:rsid w:val="00DE28D3"/>
    <w:rsid w:val="00DE300D"/>
    <w:rsid w:val="00DE3228"/>
    <w:rsid w:val="00DE3462"/>
    <w:rsid w:val="00DE3C35"/>
    <w:rsid w:val="00DE3F76"/>
    <w:rsid w:val="00DE42CA"/>
    <w:rsid w:val="00DE51B8"/>
    <w:rsid w:val="00DE54BB"/>
    <w:rsid w:val="00DE5973"/>
    <w:rsid w:val="00DE5EEE"/>
    <w:rsid w:val="00DE63A2"/>
    <w:rsid w:val="00DE6A6E"/>
    <w:rsid w:val="00DE6CD1"/>
    <w:rsid w:val="00DE7300"/>
    <w:rsid w:val="00DF0B3A"/>
    <w:rsid w:val="00DF0BF8"/>
    <w:rsid w:val="00DF104C"/>
    <w:rsid w:val="00DF10B9"/>
    <w:rsid w:val="00DF1506"/>
    <w:rsid w:val="00DF211C"/>
    <w:rsid w:val="00DF314E"/>
    <w:rsid w:val="00DF3BEB"/>
    <w:rsid w:val="00DF3D9A"/>
    <w:rsid w:val="00DF3EB0"/>
    <w:rsid w:val="00DF3EF2"/>
    <w:rsid w:val="00DF414A"/>
    <w:rsid w:val="00DF4904"/>
    <w:rsid w:val="00DF4964"/>
    <w:rsid w:val="00DF4A4A"/>
    <w:rsid w:val="00DF4A64"/>
    <w:rsid w:val="00DF57EA"/>
    <w:rsid w:val="00DF6C70"/>
    <w:rsid w:val="00DF6EEB"/>
    <w:rsid w:val="00DF73A5"/>
    <w:rsid w:val="00DF7400"/>
    <w:rsid w:val="00DF76A3"/>
    <w:rsid w:val="00DF79FE"/>
    <w:rsid w:val="00DF7FC4"/>
    <w:rsid w:val="00E00136"/>
    <w:rsid w:val="00E00215"/>
    <w:rsid w:val="00E00FFE"/>
    <w:rsid w:val="00E01C50"/>
    <w:rsid w:val="00E01DAB"/>
    <w:rsid w:val="00E020C5"/>
    <w:rsid w:val="00E022D0"/>
    <w:rsid w:val="00E032AF"/>
    <w:rsid w:val="00E037E3"/>
    <w:rsid w:val="00E041A6"/>
    <w:rsid w:val="00E042C7"/>
    <w:rsid w:val="00E049FD"/>
    <w:rsid w:val="00E04BC4"/>
    <w:rsid w:val="00E04CD8"/>
    <w:rsid w:val="00E05863"/>
    <w:rsid w:val="00E06581"/>
    <w:rsid w:val="00E070DF"/>
    <w:rsid w:val="00E07B41"/>
    <w:rsid w:val="00E07B8C"/>
    <w:rsid w:val="00E100E8"/>
    <w:rsid w:val="00E10144"/>
    <w:rsid w:val="00E10C93"/>
    <w:rsid w:val="00E10FD9"/>
    <w:rsid w:val="00E10FFD"/>
    <w:rsid w:val="00E1105F"/>
    <w:rsid w:val="00E11497"/>
    <w:rsid w:val="00E11980"/>
    <w:rsid w:val="00E119E7"/>
    <w:rsid w:val="00E11C79"/>
    <w:rsid w:val="00E12533"/>
    <w:rsid w:val="00E13573"/>
    <w:rsid w:val="00E14D34"/>
    <w:rsid w:val="00E156D5"/>
    <w:rsid w:val="00E15C5C"/>
    <w:rsid w:val="00E160D3"/>
    <w:rsid w:val="00E162FA"/>
    <w:rsid w:val="00E165AC"/>
    <w:rsid w:val="00E204A6"/>
    <w:rsid w:val="00E206F4"/>
    <w:rsid w:val="00E20705"/>
    <w:rsid w:val="00E20C01"/>
    <w:rsid w:val="00E21008"/>
    <w:rsid w:val="00E21D97"/>
    <w:rsid w:val="00E21F6B"/>
    <w:rsid w:val="00E22B25"/>
    <w:rsid w:val="00E23432"/>
    <w:rsid w:val="00E242B4"/>
    <w:rsid w:val="00E24ABC"/>
    <w:rsid w:val="00E2611E"/>
    <w:rsid w:val="00E26236"/>
    <w:rsid w:val="00E2628E"/>
    <w:rsid w:val="00E26B72"/>
    <w:rsid w:val="00E27380"/>
    <w:rsid w:val="00E2756A"/>
    <w:rsid w:val="00E303B3"/>
    <w:rsid w:val="00E30457"/>
    <w:rsid w:val="00E304A4"/>
    <w:rsid w:val="00E3105C"/>
    <w:rsid w:val="00E311B3"/>
    <w:rsid w:val="00E3130D"/>
    <w:rsid w:val="00E31321"/>
    <w:rsid w:val="00E319C8"/>
    <w:rsid w:val="00E31B86"/>
    <w:rsid w:val="00E31EEC"/>
    <w:rsid w:val="00E3253C"/>
    <w:rsid w:val="00E32C94"/>
    <w:rsid w:val="00E32D78"/>
    <w:rsid w:val="00E34A54"/>
    <w:rsid w:val="00E34A77"/>
    <w:rsid w:val="00E351AA"/>
    <w:rsid w:val="00E35CD8"/>
    <w:rsid w:val="00E35D02"/>
    <w:rsid w:val="00E35D58"/>
    <w:rsid w:val="00E3688B"/>
    <w:rsid w:val="00E369CB"/>
    <w:rsid w:val="00E36B3A"/>
    <w:rsid w:val="00E374CE"/>
    <w:rsid w:val="00E40B54"/>
    <w:rsid w:val="00E412F9"/>
    <w:rsid w:val="00E41CE3"/>
    <w:rsid w:val="00E4224A"/>
    <w:rsid w:val="00E42368"/>
    <w:rsid w:val="00E42573"/>
    <w:rsid w:val="00E42A9E"/>
    <w:rsid w:val="00E438A5"/>
    <w:rsid w:val="00E447AF"/>
    <w:rsid w:val="00E45695"/>
    <w:rsid w:val="00E45D50"/>
    <w:rsid w:val="00E46DCC"/>
    <w:rsid w:val="00E47441"/>
    <w:rsid w:val="00E47747"/>
    <w:rsid w:val="00E47C34"/>
    <w:rsid w:val="00E47EE9"/>
    <w:rsid w:val="00E507F3"/>
    <w:rsid w:val="00E51923"/>
    <w:rsid w:val="00E51B0A"/>
    <w:rsid w:val="00E51FE0"/>
    <w:rsid w:val="00E52707"/>
    <w:rsid w:val="00E52C83"/>
    <w:rsid w:val="00E52CFB"/>
    <w:rsid w:val="00E52FC7"/>
    <w:rsid w:val="00E532D5"/>
    <w:rsid w:val="00E535D0"/>
    <w:rsid w:val="00E53615"/>
    <w:rsid w:val="00E53634"/>
    <w:rsid w:val="00E53A1E"/>
    <w:rsid w:val="00E53A90"/>
    <w:rsid w:val="00E54103"/>
    <w:rsid w:val="00E54C9B"/>
    <w:rsid w:val="00E54CE9"/>
    <w:rsid w:val="00E5502D"/>
    <w:rsid w:val="00E56A03"/>
    <w:rsid w:val="00E56D1D"/>
    <w:rsid w:val="00E570AA"/>
    <w:rsid w:val="00E575BF"/>
    <w:rsid w:val="00E60526"/>
    <w:rsid w:val="00E60535"/>
    <w:rsid w:val="00E60912"/>
    <w:rsid w:val="00E60995"/>
    <w:rsid w:val="00E60FA9"/>
    <w:rsid w:val="00E6142A"/>
    <w:rsid w:val="00E61887"/>
    <w:rsid w:val="00E629BD"/>
    <w:rsid w:val="00E632C0"/>
    <w:rsid w:val="00E63827"/>
    <w:rsid w:val="00E63996"/>
    <w:rsid w:val="00E639B8"/>
    <w:rsid w:val="00E64114"/>
    <w:rsid w:val="00E643B9"/>
    <w:rsid w:val="00E648A3"/>
    <w:rsid w:val="00E64B22"/>
    <w:rsid w:val="00E64BAB"/>
    <w:rsid w:val="00E65012"/>
    <w:rsid w:val="00E6512E"/>
    <w:rsid w:val="00E6588F"/>
    <w:rsid w:val="00E6764D"/>
    <w:rsid w:val="00E70131"/>
    <w:rsid w:val="00E70B47"/>
    <w:rsid w:val="00E70EFC"/>
    <w:rsid w:val="00E7109D"/>
    <w:rsid w:val="00E72825"/>
    <w:rsid w:val="00E72966"/>
    <w:rsid w:val="00E7327E"/>
    <w:rsid w:val="00E738F0"/>
    <w:rsid w:val="00E73AB2"/>
    <w:rsid w:val="00E73BBB"/>
    <w:rsid w:val="00E73C55"/>
    <w:rsid w:val="00E73D81"/>
    <w:rsid w:val="00E73EA7"/>
    <w:rsid w:val="00E73F78"/>
    <w:rsid w:val="00E74525"/>
    <w:rsid w:val="00E74A3D"/>
    <w:rsid w:val="00E74CB9"/>
    <w:rsid w:val="00E7607C"/>
    <w:rsid w:val="00E7661B"/>
    <w:rsid w:val="00E76BDF"/>
    <w:rsid w:val="00E77151"/>
    <w:rsid w:val="00E771E3"/>
    <w:rsid w:val="00E7747A"/>
    <w:rsid w:val="00E777B9"/>
    <w:rsid w:val="00E77CC1"/>
    <w:rsid w:val="00E77F7C"/>
    <w:rsid w:val="00E807D7"/>
    <w:rsid w:val="00E80978"/>
    <w:rsid w:val="00E80EB0"/>
    <w:rsid w:val="00E80EBD"/>
    <w:rsid w:val="00E80F2A"/>
    <w:rsid w:val="00E81C11"/>
    <w:rsid w:val="00E82162"/>
    <w:rsid w:val="00E821C0"/>
    <w:rsid w:val="00E8291C"/>
    <w:rsid w:val="00E833D5"/>
    <w:rsid w:val="00E836DD"/>
    <w:rsid w:val="00E8380B"/>
    <w:rsid w:val="00E83883"/>
    <w:rsid w:val="00E839A3"/>
    <w:rsid w:val="00E83B44"/>
    <w:rsid w:val="00E83DC6"/>
    <w:rsid w:val="00E83F78"/>
    <w:rsid w:val="00E840C6"/>
    <w:rsid w:val="00E8575B"/>
    <w:rsid w:val="00E85A27"/>
    <w:rsid w:val="00E85E6E"/>
    <w:rsid w:val="00E85F19"/>
    <w:rsid w:val="00E86198"/>
    <w:rsid w:val="00E86F38"/>
    <w:rsid w:val="00E87C36"/>
    <w:rsid w:val="00E90400"/>
    <w:rsid w:val="00E904C4"/>
    <w:rsid w:val="00E90843"/>
    <w:rsid w:val="00E90B15"/>
    <w:rsid w:val="00E90DB6"/>
    <w:rsid w:val="00E920AC"/>
    <w:rsid w:val="00E92583"/>
    <w:rsid w:val="00E92788"/>
    <w:rsid w:val="00E93003"/>
    <w:rsid w:val="00E93413"/>
    <w:rsid w:val="00E93838"/>
    <w:rsid w:val="00E93AFD"/>
    <w:rsid w:val="00E93BCB"/>
    <w:rsid w:val="00E95890"/>
    <w:rsid w:val="00E967A2"/>
    <w:rsid w:val="00E9688D"/>
    <w:rsid w:val="00E96CB5"/>
    <w:rsid w:val="00E97643"/>
    <w:rsid w:val="00E97918"/>
    <w:rsid w:val="00E97F06"/>
    <w:rsid w:val="00EA045B"/>
    <w:rsid w:val="00EA1CA1"/>
    <w:rsid w:val="00EA32D6"/>
    <w:rsid w:val="00EA3842"/>
    <w:rsid w:val="00EA3D25"/>
    <w:rsid w:val="00EA492D"/>
    <w:rsid w:val="00EA4F57"/>
    <w:rsid w:val="00EA590D"/>
    <w:rsid w:val="00EA619D"/>
    <w:rsid w:val="00EA6436"/>
    <w:rsid w:val="00EA6462"/>
    <w:rsid w:val="00EA69C9"/>
    <w:rsid w:val="00EA747B"/>
    <w:rsid w:val="00EA7616"/>
    <w:rsid w:val="00EA7715"/>
    <w:rsid w:val="00EA7770"/>
    <w:rsid w:val="00EB0022"/>
    <w:rsid w:val="00EB0113"/>
    <w:rsid w:val="00EB0429"/>
    <w:rsid w:val="00EB04CD"/>
    <w:rsid w:val="00EB0987"/>
    <w:rsid w:val="00EB1103"/>
    <w:rsid w:val="00EB11B1"/>
    <w:rsid w:val="00EB151E"/>
    <w:rsid w:val="00EB16BE"/>
    <w:rsid w:val="00EB1AC0"/>
    <w:rsid w:val="00EB1AC4"/>
    <w:rsid w:val="00EB26A0"/>
    <w:rsid w:val="00EB2C6C"/>
    <w:rsid w:val="00EB4177"/>
    <w:rsid w:val="00EB5002"/>
    <w:rsid w:val="00EB55AE"/>
    <w:rsid w:val="00EB5869"/>
    <w:rsid w:val="00EB5E55"/>
    <w:rsid w:val="00EB611F"/>
    <w:rsid w:val="00EB6311"/>
    <w:rsid w:val="00EB682C"/>
    <w:rsid w:val="00EB734B"/>
    <w:rsid w:val="00EB73CE"/>
    <w:rsid w:val="00EB771F"/>
    <w:rsid w:val="00EC0808"/>
    <w:rsid w:val="00EC1B0A"/>
    <w:rsid w:val="00EC4196"/>
    <w:rsid w:val="00EC446B"/>
    <w:rsid w:val="00EC4BD8"/>
    <w:rsid w:val="00EC538A"/>
    <w:rsid w:val="00EC5F87"/>
    <w:rsid w:val="00EC6B99"/>
    <w:rsid w:val="00EC6E93"/>
    <w:rsid w:val="00EC72EC"/>
    <w:rsid w:val="00ED054B"/>
    <w:rsid w:val="00ED0C75"/>
    <w:rsid w:val="00ED1024"/>
    <w:rsid w:val="00ED2433"/>
    <w:rsid w:val="00ED2615"/>
    <w:rsid w:val="00ED2696"/>
    <w:rsid w:val="00ED2B75"/>
    <w:rsid w:val="00ED2E10"/>
    <w:rsid w:val="00ED3347"/>
    <w:rsid w:val="00ED4423"/>
    <w:rsid w:val="00ED464D"/>
    <w:rsid w:val="00ED46AB"/>
    <w:rsid w:val="00ED48C0"/>
    <w:rsid w:val="00ED4B99"/>
    <w:rsid w:val="00ED4C63"/>
    <w:rsid w:val="00ED4DE7"/>
    <w:rsid w:val="00ED533F"/>
    <w:rsid w:val="00ED5788"/>
    <w:rsid w:val="00ED5794"/>
    <w:rsid w:val="00ED5FB8"/>
    <w:rsid w:val="00ED614A"/>
    <w:rsid w:val="00ED6DA6"/>
    <w:rsid w:val="00ED6FD0"/>
    <w:rsid w:val="00ED7159"/>
    <w:rsid w:val="00ED73EB"/>
    <w:rsid w:val="00ED74ED"/>
    <w:rsid w:val="00ED7CB4"/>
    <w:rsid w:val="00EE011F"/>
    <w:rsid w:val="00EE013C"/>
    <w:rsid w:val="00EE08E7"/>
    <w:rsid w:val="00EE136C"/>
    <w:rsid w:val="00EE2547"/>
    <w:rsid w:val="00EE2EC9"/>
    <w:rsid w:val="00EE3376"/>
    <w:rsid w:val="00EE343B"/>
    <w:rsid w:val="00EE36D5"/>
    <w:rsid w:val="00EE3700"/>
    <w:rsid w:val="00EE3C58"/>
    <w:rsid w:val="00EE3C82"/>
    <w:rsid w:val="00EE425B"/>
    <w:rsid w:val="00EE4970"/>
    <w:rsid w:val="00EE4D20"/>
    <w:rsid w:val="00EE53D9"/>
    <w:rsid w:val="00EE5D84"/>
    <w:rsid w:val="00EE5F67"/>
    <w:rsid w:val="00EE6081"/>
    <w:rsid w:val="00EE6508"/>
    <w:rsid w:val="00EE659E"/>
    <w:rsid w:val="00EE724E"/>
    <w:rsid w:val="00EE76AE"/>
    <w:rsid w:val="00EE79F5"/>
    <w:rsid w:val="00EE7CCF"/>
    <w:rsid w:val="00EF0249"/>
    <w:rsid w:val="00EF03DB"/>
    <w:rsid w:val="00EF03F0"/>
    <w:rsid w:val="00EF0563"/>
    <w:rsid w:val="00EF0620"/>
    <w:rsid w:val="00EF09BE"/>
    <w:rsid w:val="00EF0AFC"/>
    <w:rsid w:val="00EF0F2C"/>
    <w:rsid w:val="00EF1051"/>
    <w:rsid w:val="00EF27AD"/>
    <w:rsid w:val="00EF311C"/>
    <w:rsid w:val="00EF39A6"/>
    <w:rsid w:val="00EF3C40"/>
    <w:rsid w:val="00EF41B8"/>
    <w:rsid w:val="00EF4A42"/>
    <w:rsid w:val="00EF5172"/>
    <w:rsid w:val="00EF536B"/>
    <w:rsid w:val="00EF5706"/>
    <w:rsid w:val="00EF57C4"/>
    <w:rsid w:val="00EF6742"/>
    <w:rsid w:val="00EF6873"/>
    <w:rsid w:val="00EF6D85"/>
    <w:rsid w:val="00EF7C78"/>
    <w:rsid w:val="00F023AC"/>
    <w:rsid w:val="00F024FB"/>
    <w:rsid w:val="00F02805"/>
    <w:rsid w:val="00F02DC8"/>
    <w:rsid w:val="00F0419D"/>
    <w:rsid w:val="00F043C7"/>
    <w:rsid w:val="00F04709"/>
    <w:rsid w:val="00F0498F"/>
    <w:rsid w:val="00F064F9"/>
    <w:rsid w:val="00F0676F"/>
    <w:rsid w:val="00F06D23"/>
    <w:rsid w:val="00F0719E"/>
    <w:rsid w:val="00F100C3"/>
    <w:rsid w:val="00F1059F"/>
    <w:rsid w:val="00F105A4"/>
    <w:rsid w:val="00F106B0"/>
    <w:rsid w:val="00F1180C"/>
    <w:rsid w:val="00F11D00"/>
    <w:rsid w:val="00F122A6"/>
    <w:rsid w:val="00F12B55"/>
    <w:rsid w:val="00F12FDF"/>
    <w:rsid w:val="00F132D3"/>
    <w:rsid w:val="00F13633"/>
    <w:rsid w:val="00F13E7F"/>
    <w:rsid w:val="00F142B3"/>
    <w:rsid w:val="00F14407"/>
    <w:rsid w:val="00F152B9"/>
    <w:rsid w:val="00F15BD7"/>
    <w:rsid w:val="00F15F7B"/>
    <w:rsid w:val="00F16135"/>
    <w:rsid w:val="00F1657D"/>
    <w:rsid w:val="00F16D7A"/>
    <w:rsid w:val="00F17576"/>
    <w:rsid w:val="00F177F3"/>
    <w:rsid w:val="00F178D6"/>
    <w:rsid w:val="00F17C90"/>
    <w:rsid w:val="00F17E68"/>
    <w:rsid w:val="00F2032E"/>
    <w:rsid w:val="00F207B6"/>
    <w:rsid w:val="00F21968"/>
    <w:rsid w:val="00F21E4D"/>
    <w:rsid w:val="00F21E98"/>
    <w:rsid w:val="00F226A9"/>
    <w:rsid w:val="00F23990"/>
    <w:rsid w:val="00F243B3"/>
    <w:rsid w:val="00F24A17"/>
    <w:rsid w:val="00F2550D"/>
    <w:rsid w:val="00F257C0"/>
    <w:rsid w:val="00F25810"/>
    <w:rsid w:val="00F25C83"/>
    <w:rsid w:val="00F260C9"/>
    <w:rsid w:val="00F263EB"/>
    <w:rsid w:val="00F26734"/>
    <w:rsid w:val="00F26739"/>
    <w:rsid w:val="00F26E63"/>
    <w:rsid w:val="00F27180"/>
    <w:rsid w:val="00F277CA"/>
    <w:rsid w:val="00F279F2"/>
    <w:rsid w:val="00F302F0"/>
    <w:rsid w:val="00F30334"/>
    <w:rsid w:val="00F3041D"/>
    <w:rsid w:val="00F30947"/>
    <w:rsid w:val="00F30B46"/>
    <w:rsid w:val="00F30E18"/>
    <w:rsid w:val="00F30F77"/>
    <w:rsid w:val="00F311D5"/>
    <w:rsid w:val="00F314BB"/>
    <w:rsid w:val="00F31A02"/>
    <w:rsid w:val="00F32E43"/>
    <w:rsid w:val="00F337B2"/>
    <w:rsid w:val="00F35A02"/>
    <w:rsid w:val="00F36734"/>
    <w:rsid w:val="00F3687E"/>
    <w:rsid w:val="00F36DB6"/>
    <w:rsid w:val="00F37017"/>
    <w:rsid w:val="00F3721E"/>
    <w:rsid w:val="00F375D5"/>
    <w:rsid w:val="00F40179"/>
    <w:rsid w:val="00F403FB"/>
    <w:rsid w:val="00F40415"/>
    <w:rsid w:val="00F40DF3"/>
    <w:rsid w:val="00F4237C"/>
    <w:rsid w:val="00F423E6"/>
    <w:rsid w:val="00F427F8"/>
    <w:rsid w:val="00F42A28"/>
    <w:rsid w:val="00F42F35"/>
    <w:rsid w:val="00F43097"/>
    <w:rsid w:val="00F4393A"/>
    <w:rsid w:val="00F440B4"/>
    <w:rsid w:val="00F441C3"/>
    <w:rsid w:val="00F44A2B"/>
    <w:rsid w:val="00F44B0F"/>
    <w:rsid w:val="00F44B97"/>
    <w:rsid w:val="00F4590E"/>
    <w:rsid w:val="00F45958"/>
    <w:rsid w:val="00F464C6"/>
    <w:rsid w:val="00F478F8"/>
    <w:rsid w:val="00F50803"/>
    <w:rsid w:val="00F50911"/>
    <w:rsid w:val="00F50C61"/>
    <w:rsid w:val="00F51117"/>
    <w:rsid w:val="00F51822"/>
    <w:rsid w:val="00F51EAC"/>
    <w:rsid w:val="00F5246B"/>
    <w:rsid w:val="00F5274C"/>
    <w:rsid w:val="00F53334"/>
    <w:rsid w:val="00F54699"/>
    <w:rsid w:val="00F54CAD"/>
    <w:rsid w:val="00F551E9"/>
    <w:rsid w:val="00F552BB"/>
    <w:rsid w:val="00F55C54"/>
    <w:rsid w:val="00F55DEE"/>
    <w:rsid w:val="00F5633C"/>
    <w:rsid w:val="00F56462"/>
    <w:rsid w:val="00F56EE8"/>
    <w:rsid w:val="00F576DF"/>
    <w:rsid w:val="00F577CA"/>
    <w:rsid w:val="00F57C6E"/>
    <w:rsid w:val="00F57E31"/>
    <w:rsid w:val="00F60BA1"/>
    <w:rsid w:val="00F60FD0"/>
    <w:rsid w:val="00F62D27"/>
    <w:rsid w:val="00F63250"/>
    <w:rsid w:val="00F632A0"/>
    <w:rsid w:val="00F64176"/>
    <w:rsid w:val="00F65ADD"/>
    <w:rsid w:val="00F662F8"/>
    <w:rsid w:val="00F664BA"/>
    <w:rsid w:val="00F66AB9"/>
    <w:rsid w:val="00F66F0A"/>
    <w:rsid w:val="00F674BF"/>
    <w:rsid w:val="00F67695"/>
    <w:rsid w:val="00F676DD"/>
    <w:rsid w:val="00F678B7"/>
    <w:rsid w:val="00F7062E"/>
    <w:rsid w:val="00F70759"/>
    <w:rsid w:val="00F70DD3"/>
    <w:rsid w:val="00F70E93"/>
    <w:rsid w:val="00F7141A"/>
    <w:rsid w:val="00F718A7"/>
    <w:rsid w:val="00F71CB2"/>
    <w:rsid w:val="00F72D38"/>
    <w:rsid w:val="00F73641"/>
    <w:rsid w:val="00F7382B"/>
    <w:rsid w:val="00F73D3E"/>
    <w:rsid w:val="00F7407F"/>
    <w:rsid w:val="00F7423C"/>
    <w:rsid w:val="00F74A2E"/>
    <w:rsid w:val="00F7520C"/>
    <w:rsid w:val="00F755BE"/>
    <w:rsid w:val="00F75B7A"/>
    <w:rsid w:val="00F7603B"/>
    <w:rsid w:val="00F762BD"/>
    <w:rsid w:val="00F77020"/>
    <w:rsid w:val="00F772CC"/>
    <w:rsid w:val="00F77CCA"/>
    <w:rsid w:val="00F77F8B"/>
    <w:rsid w:val="00F8042B"/>
    <w:rsid w:val="00F80DDE"/>
    <w:rsid w:val="00F818C9"/>
    <w:rsid w:val="00F81C4E"/>
    <w:rsid w:val="00F81F41"/>
    <w:rsid w:val="00F826F4"/>
    <w:rsid w:val="00F8275B"/>
    <w:rsid w:val="00F82C95"/>
    <w:rsid w:val="00F8359C"/>
    <w:rsid w:val="00F83952"/>
    <w:rsid w:val="00F83C16"/>
    <w:rsid w:val="00F845CA"/>
    <w:rsid w:val="00F84912"/>
    <w:rsid w:val="00F84958"/>
    <w:rsid w:val="00F85342"/>
    <w:rsid w:val="00F85F12"/>
    <w:rsid w:val="00F85F4B"/>
    <w:rsid w:val="00F860D3"/>
    <w:rsid w:val="00F8611A"/>
    <w:rsid w:val="00F86159"/>
    <w:rsid w:val="00F863EB"/>
    <w:rsid w:val="00F866C1"/>
    <w:rsid w:val="00F86A12"/>
    <w:rsid w:val="00F86DAD"/>
    <w:rsid w:val="00F87120"/>
    <w:rsid w:val="00F87B0F"/>
    <w:rsid w:val="00F87BFB"/>
    <w:rsid w:val="00F87E65"/>
    <w:rsid w:val="00F87EA8"/>
    <w:rsid w:val="00F901A1"/>
    <w:rsid w:val="00F91020"/>
    <w:rsid w:val="00F9320D"/>
    <w:rsid w:val="00F938D7"/>
    <w:rsid w:val="00F939D3"/>
    <w:rsid w:val="00F943FB"/>
    <w:rsid w:val="00F94BA6"/>
    <w:rsid w:val="00F951A9"/>
    <w:rsid w:val="00F952C0"/>
    <w:rsid w:val="00F95313"/>
    <w:rsid w:val="00F954D4"/>
    <w:rsid w:val="00F955EF"/>
    <w:rsid w:val="00F962B3"/>
    <w:rsid w:val="00F9652F"/>
    <w:rsid w:val="00F96A01"/>
    <w:rsid w:val="00F9770F"/>
    <w:rsid w:val="00F97C7C"/>
    <w:rsid w:val="00FA02C8"/>
    <w:rsid w:val="00FA0D6A"/>
    <w:rsid w:val="00FA0E3E"/>
    <w:rsid w:val="00FA24C2"/>
    <w:rsid w:val="00FA2E39"/>
    <w:rsid w:val="00FA321C"/>
    <w:rsid w:val="00FA33DF"/>
    <w:rsid w:val="00FA385D"/>
    <w:rsid w:val="00FA38C8"/>
    <w:rsid w:val="00FA39FF"/>
    <w:rsid w:val="00FA40F6"/>
    <w:rsid w:val="00FA48B9"/>
    <w:rsid w:val="00FA5535"/>
    <w:rsid w:val="00FA5F68"/>
    <w:rsid w:val="00FA69FB"/>
    <w:rsid w:val="00FA7164"/>
    <w:rsid w:val="00FA759E"/>
    <w:rsid w:val="00FA79F0"/>
    <w:rsid w:val="00FB097D"/>
    <w:rsid w:val="00FB1F52"/>
    <w:rsid w:val="00FB2FC1"/>
    <w:rsid w:val="00FB31B2"/>
    <w:rsid w:val="00FB3597"/>
    <w:rsid w:val="00FB3AFD"/>
    <w:rsid w:val="00FB4586"/>
    <w:rsid w:val="00FB4891"/>
    <w:rsid w:val="00FB5050"/>
    <w:rsid w:val="00FB6E0A"/>
    <w:rsid w:val="00FB7478"/>
    <w:rsid w:val="00FB7ED7"/>
    <w:rsid w:val="00FC026E"/>
    <w:rsid w:val="00FC0BD3"/>
    <w:rsid w:val="00FC0FAF"/>
    <w:rsid w:val="00FC11AF"/>
    <w:rsid w:val="00FC1CFE"/>
    <w:rsid w:val="00FC321E"/>
    <w:rsid w:val="00FC3913"/>
    <w:rsid w:val="00FC3A7D"/>
    <w:rsid w:val="00FC3C6D"/>
    <w:rsid w:val="00FC3EF7"/>
    <w:rsid w:val="00FC46F0"/>
    <w:rsid w:val="00FC4DCD"/>
    <w:rsid w:val="00FC4F42"/>
    <w:rsid w:val="00FC501F"/>
    <w:rsid w:val="00FC55DB"/>
    <w:rsid w:val="00FC670D"/>
    <w:rsid w:val="00FC6A6F"/>
    <w:rsid w:val="00FC6AD9"/>
    <w:rsid w:val="00FC6D18"/>
    <w:rsid w:val="00FC7D19"/>
    <w:rsid w:val="00FD0C49"/>
    <w:rsid w:val="00FD0D68"/>
    <w:rsid w:val="00FD10A7"/>
    <w:rsid w:val="00FD212D"/>
    <w:rsid w:val="00FD2724"/>
    <w:rsid w:val="00FD2EF9"/>
    <w:rsid w:val="00FD31C1"/>
    <w:rsid w:val="00FD388F"/>
    <w:rsid w:val="00FD3D88"/>
    <w:rsid w:val="00FD3F42"/>
    <w:rsid w:val="00FD4342"/>
    <w:rsid w:val="00FD45B3"/>
    <w:rsid w:val="00FD536C"/>
    <w:rsid w:val="00FD5ED2"/>
    <w:rsid w:val="00FD68BA"/>
    <w:rsid w:val="00FD69C5"/>
    <w:rsid w:val="00FD6AD2"/>
    <w:rsid w:val="00FD6FAB"/>
    <w:rsid w:val="00FD7241"/>
    <w:rsid w:val="00FD7484"/>
    <w:rsid w:val="00FE04F8"/>
    <w:rsid w:val="00FE1017"/>
    <w:rsid w:val="00FE12EE"/>
    <w:rsid w:val="00FE16CD"/>
    <w:rsid w:val="00FE1744"/>
    <w:rsid w:val="00FE1D85"/>
    <w:rsid w:val="00FE1E22"/>
    <w:rsid w:val="00FE254B"/>
    <w:rsid w:val="00FE280D"/>
    <w:rsid w:val="00FE28BD"/>
    <w:rsid w:val="00FE31A5"/>
    <w:rsid w:val="00FE357D"/>
    <w:rsid w:val="00FE3DBE"/>
    <w:rsid w:val="00FE445D"/>
    <w:rsid w:val="00FE4B50"/>
    <w:rsid w:val="00FE64F4"/>
    <w:rsid w:val="00FE6F38"/>
    <w:rsid w:val="00FE73A6"/>
    <w:rsid w:val="00FF021D"/>
    <w:rsid w:val="00FF1ED8"/>
    <w:rsid w:val="00FF1F44"/>
    <w:rsid w:val="00FF2EE1"/>
    <w:rsid w:val="00FF37CC"/>
    <w:rsid w:val="00FF41B3"/>
    <w:rsid w:val="00FF484A"/>
    <w:rsid w:val="00FF49F4"/>
    <w:rsid w:val="00FF560C"/>
    <w:rsid w:val="00FF5737"/>
    <w:rsid w:val="00FF5802"/>
    <w:rsid w:val="00FF5951"/>
    <w:rsid w:val="00FF59CA"/>
    <w:rsid w:val="00FF5DFB"/>
    <w:rsid w:val="00FF64EE"/>
    <w:rsid w:val="00FF6505"/>
    <w:rsid w:val="00FF766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E50EF"/>
  <w15:docId w15:val="{E78DD984-0D8B-4E42-8B1D-AE09DCE6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714"/>
    <w:rPr>
      <w:rFonts w:ascii="Times New Roman" w:eastAsia="Times New Roman" w:hAnsi="Times New Roman" w:cs="Times New Roman"/>
    </w:rPr>
  </w:style>
  <w:style w:type="paragraph" w:styleId="Heading1">
    <w:name w:val="heading 1"/>
    <w:basedOn w:val="Normal"/>
    <w:next w:val="Normal"/>
    <w:link w:val="Heading1Char"/>
    <w:qFormat/>
    <w:rsid w:val="00093030"/>
    <w:pPr>
      <w:keepNext/>
      <w:spacing w:line="360" w:lineRule="auto"/>
      <w:outlineLvl w:val="0"/>
    </w:pPr>
    <w:rPr>
      <w:rFonts w:ascii="Arial" w:hAnsi="Arial" w:cs="Arial"/>
      <w:b/>
      <w:bCs/>
      <w:sz w:val="28"/>
    </w:rPr>
  </w:style>
  <w:style w:type="paragraph" w:styleId="Heading2">
    <w:name w:val="heading 2"/>
    <w:basedOn w:val="Normal"/>
    <w:next w:val="Normal"/>
    <w:link w:val="Heading2Char"/>
    <w:uiPriority w:val="9"/>
    <w:unhideWhenUsed/>
    <w:qFormat/>
    <w:rsid w:val="008173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93030"/>
    <w:pPr>
      <w:keepNext/>
      <w:spacing w:line="360" w:lineRule="auto"/>
      <w:jc w:val="both"/>
      <w:outlineLvl w:val="2"/>
    </w:pPr>
    <w:rPr>
      <w:rFonts w:ascii="Arial" w:hAnsi="Arial" w:cs="Arial"/>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030"/>
    <w:rPr>
      <w:rFonts w:ascii="Arial" w:eastAsia="Times New Roman" w:hAnsi="Arial" w:cs="Arial"/>
      <w:b/>
      <w:bCs/>
      <w:sz w:val="28"/>
      <w:lang w:val="en-GB"/>
    </w:rPr>
  </w:style>
  <w:style w:type="character" w:customStyle="1" w:styleId="Heading3Char">
    <w:name w:val="Heading 3 Char"/>
    <w:basedOn w:val="DefaultParagraphFont"/>
    <w:link w:val="Heading3"/>
    <w:rsid w:val="00093030"/>
    <w:rPr>
      <w:rFonts w:ascii="Arial" w:eastAsia="Times New Roman" w:hAnsi="Arial" w:cs="Arial"/>
      <w:i/>
      <w:iCs/>
      <w:sz w:val="28"/>
      <w:lang w:val="en-GB"/>
    </w:rPr>
  </w:style>
  <w:style w:type="paragraph" w:styleId="Header">
    <w:name w:val="header"/>
    <w:basedOn w:val="Normal"/>
    <w:link w:val="HeaderChar"/>
    <w:uiPriority w:val="99"/>
    <w:rsid w:val="00093030"/>
    <w:pPr>
      <w:tabs>
        <w:tab w:val="center" w:pos="4153"/>
        <w:tab w:val="right" w:pos="8306"/>
      </w:tabs>
    </w:pPr>
  </w:style>
  <w:style w:type="character" w:customStyle="1" w:styleId="HeaderChar">
    <w:name w:val="Header Char"/>
    <w:basedOn w:val="DefaultParagraphFont"/>
    <w:link w:val="Header"/>
    <w:uiPriority w:val="99"/>
    <w:rsid w:val="00093030"/>
    <w:rPr>
      <w:rFonts w:ascii="Times New Roman" w:eastAsia="Times New Roman" w:hAnsi="Times New Roman" w:cs="Times New Roman"/>
      <w:lang w:val="en-GB"/>
    </w:rPr>
  </w:style>
  <w:style w:type="character" w:styleId="PageNumber">
    <w:name w:val="page number"/>
    <w:basedOn w:val="DefaultParagraphFont"/>
    <w:rsid w:val="00093030"/>
    <w:rPr>
      <w:rFonts w:cs="Times New Roman"/>
    </w:rPr>
  </w:style>
  <w:style w:type="paragraph" w:styleId="FootnoteText">
    <w:name w:val="footnote text"/>
    <w:basedOn w:val="Normal"/>
    <w:link w:val="FootnoteTextChar"/>
    <w:uiPriority w:val="99"/>
    <w:rsid w:val="00093030"/>
    <w:rPr>
      <w:sz w:val="20"/>
      <w:szCs w:val="20"/>
    </w:rPr>
  </w:style>
  <w:style w:type="character" w:customStyle="1" w:styleId="FootnoteTextChar">
    <w:name w:val="Footnote Text Char"/>
    <w:basedOn w:val="DefaultParagraphFont"/>
    <w:link w:val="FootnoteText"/>
    <w:uiPriority w:val="99"/>
    <w:rsid w:val="00093030"/>
    <w:rPr>
      <w:rFonts w:ascii="Times New Roman" w:eastAsia="Times New Roman" w:hAnsi="Times New Roman" w:cs="Times New Roman"/>
      <w:sz w:val="20"/>
      <w:szCs w:val="20"/>
      <w:lang w:val="en-GB"/>
    </w:rPr>
  </w:style>
  <w:style w:type="paragraph" w:customStyle="1" w:styleId="Pa3">
    <w:name w:val="Pa3"/>
    <w:basedOn w:val="Normal"/>
    <w:next w:val="Normal"/>
    <w:uiPriority w:val="99"/>
    <w:rsid w:val="00093030"/>
    <w:pPr>
      <w:autoSpaceDE w:val="0"/>
      <w:autoSpaceDN w:val="0"/>
      <w:adjustRightInd w:val="0"/>
      <w:spacing w:line="241" w:lineRule="atLeast"/>
    </w:pPr>
    <w:rPr>
      <w:rFonts w:ascii="Arial" w:hAnsi="Arial"/>
    </w:rPr>
  </w:style>
  <w:style w:type="paragraph" w:styleId="NormalIndent">
    <w:name w:val="Normal Indent"/>
    <w:basedOn w:val="Normal"/>
    <w:uiPriority w:val="99"/>
    <w:semiHidden/>
    <w:unhideWhenUsed/>
    <w:rsid w:val="00093030"/>
    <w:pPr>
      <w:spacing w:line="480" w:lineRule="auto"/>
      <w:ind w:left="720"/>
      <w:jc w:val="both"/>
    </w:pPr>
    <w:rPr>
      <w:sz w:val="28"/>
      <w:szCs w:val="28"/>
    </w:rPr>
  </w:style>
  <w:style w:type="paragraph" w:styleId="ListParagraph">
    <w:name w:val="List Paragraph"/>
    <w:basedOn w:val="Normal"/>
    <w:uiPriority w:val="34"/>
    <w:qFormat/>
    <w:rsid w:val="00093030"/>
    <w:pPr>
      <w:ind w:left="720"/>
      <w:contextualSpacing/>
    </w:pPr>
  </w:style>
  <w:style w:type="paragraph" w:styleId="BalloonText">
    <w:name w:val="Balloon Text"/>
    <w:basedOn w:val="Normal"/>
    <w:link w:val="BalloonTextChar"/>
    <w:uiPriority w:val="99"/>
    <w:semiHidden/>
    <w:unhideWhenUsed/>
    <w:rsid w:val="00197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59D"/>
    <w:rPr>
      <w:rFonts w:ascii="Segoe UI" w:eastAsia="Times New Roman" w:hAnsi="Segoe UI" w:cs="Segoe UI"/>
      <w:sz w:val="18"/>
      <w:szCs w:val="18"/>
      <w:lang w:val="en-GB"/>
    </w:rPr>
  </w:style>
  <w:style w:type="character" w:styleId="FootnoteReference">
    <w:name w:val="footnote reference"/>
    <w:basedOn w:val="DefaultParagraphFont"/>
    <w:uiPriority w:val="99"/>
    <w:semiHidden/>
    <w:unhideWhenUsed/>
    <w:rsid w:val="0018188C"/>
    <w:rPr>
      <w:vertAlign w:val="superscript"/>
    </w:rPr>
  </w:style>
  <w:style w:type="paragraph" w:styleId="Footer">
    <w:name w:val="footer"/>
    <w:basedOn w:val="Normal"/>
    <w:link w:val="FooterChar"/>
    <w:uiPriority w:val="99"/>
    <w:unhideWhenUsed/>
    <w:rsid w:val="004527E5"/>
    <w:pPr>
      <w:tabs>
        <w:tab w:val="center" w:pos="4513"/>
        <w:tab w:val="right" w:pos="9026"/>
      </w:tabs>
    </w:pPr>
  </w:style>
  <w:style w:type="character" w:customStyle="1" w:styleId="FooterChar">
    <w:name w:val="Footer Char"/>
    <w:basedOn w:val="DefaultParagraphFont"/>
    <w:link w:val="Footer"/>
    <w:uiPriority w:val="99"/>
    <w:rsid w:val="004527E5"/>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271F83"/>
    <w:rPr>
      <w:sz w:val="16"/>
      <w:szCs w:val="16"/>
    </w:rPr>
  </w:style>
  <w:style w:type="paragraph" w:styleId="CommentText">
    <w:name w:val="annotation text"/>
    <w:basedOn w:val="Normal"/>
    <w:link w:val="CommentTextChar"/>
    <w:uiPriority w:val="99"/>
    <w:unhideWhenUsed/>
    <w:rsid w:val="00271F83"/>
    <w:rPr>
      <w:sz w:val="20"/>
      <w:szCs w:val="20"/>
    </w:rPr>
  </w:style>
  <w:style w:type="character" w:customStyle="1" w:styleId="CommentTextChar">
    <w:name w:val="Comment Text Char"/>
    <w:basedOn w:val="DefaultParagraphFont"/>
    <w:link w:val="CommentText"/>
    <w:uiPriority w:val="99"/>
    <w:rsid w:val="00271F8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1F83"/>
    <w:rPr>
      <w:b/>
      <w:bCs/>
    </w:rPr>
  </w:style>
  <w:style w:type="character" w:customStyle="1" w:styleId="CommentSubjectChar">
    <w:name w:val="Comment Subject Char"/>
    <w:basedOn w:val="CommentTextChar"/>
    <w:link w:val="CommentSubject"/>
    <w:uiPriority w:val="99"/>
    <w:semiHidden/>
    <w:rsid w:val="00271F83"/>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6F1B8A"/>
    <w:rPr>
      <w:color w:val="0563C1" w:themeColor="hyperlink"/>
      <w:u w:val="single"/>
    </w:rPr>
  </w:style>
  <w:style w:type="paragraph" w:styleId="Revision">
    <w:name w:val="Revision"/>
    <w:hidden/>
    <w:uiPriority w:val="99"/>
    <w:semiHidden/>
    <w:rsid w:val="00EC6E93"/>
    <w:rPr>
      <w:rFonts w:ascii="Times New Roman" w:eastAsia="Times New Roman" w:hAnsi="Times New Roman" w:cs="Times New Roman"/>
      <w:lang w:val="en-GB"/>
    </w:rPr>
  </w:style>
  <w:style w:type="paragraph" w:styleId="NormalWeb">
    <w:name w:val="Normal (Web)"/>
    <w:basedOn w:val="Normal"/>
    <w:uiPriority w:val="99"/>
    <w:semiHidden/>
    <w:unhideWhenUsed/>
    <w:rsid w:val="0081731E"/>
  </w:style>
  <w:style w:type="character" w:customStyle="1" w:styleId="Heading2Char">
    <w:name w:val="Heading 2 Char"/>
    <w:basedOn w:val="DefaultParagraphFont"/>
    <w:link w:val="Heading2"/>
    <w:uiPriority w:val="9"/>
    <w:rsid w:val="0081731E"/>
    <w:rPr>
      <w:rFonts w:asciiTheme="majorHAnsi" w:eastAsiaTheme="majorEastAsia" w:hAnsiTheme="majorHAnsi" w:cstheme="majorBidi"/>
      <w:color w:val="2F5496" w:themeColor="accent1" w:themeShade="BF"/>
      <w:sz w:val="26"/>
      <w:szCs w:val="26"/>
      <w:lang w:val="en-GB"/>
    </w:rPr>
  </w:style>
  <w:style w:type="character" w:styleId="Emphasis">
    <w:name w:val="Emphasis"/>
    <w:basedOn w:val="DefaultParagraphFont"/>
    <w:uiPriority w:val="20"/>
    <w:qFormat/>
    <w:rsid w:val="00CF4CDA"/>
    <w:rPr>
      <w:i/>
      <w:iCs/>
    </w:rPr>
  </w:style>
  <w:style w:type="character" w:styleId="Strong">
    <w:name w:val="Strong"/>
    <w:basedOn w:val="DefaultParagraphFont"/>
    <w:uiPriority w:val="22"/>
    <w:qFormat/>
    <w:rsid w:val="00311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2540">
      <w:bodyDiv w:val="1"/>
      <w:marLeft w:val="0"/>
      <w:marRight w:val="0"/>
      <w:marTop w:val="0"/>
      <w:marBottom w:val="0"/>
      <w:divBdr>
        <w:top w:val="none" w:sz="0" w:space="0" w:color="auto"/>
        <w:left w:val="none" w:sz="0" w:space="0" w:color="auto"/>
        <w:bottom w:val="none" w:sz="0" w:space="0" w:color="auto"/>
        <w:right w:val="none" w:sz="0" w:space="0" w:color="auto"/>
      </w:divBdr>
    </w:div>
    <w:div w:id="112595756">
      <w:bodyDiv w:val="1"/>
      <w:marLeft w:val="0"/>
      <w:marRight w:val="0"/>
      <w:marTop w:val="0"/>
      <w:marBottom w:val="0"/>
      <w:divBdr>
        <w:top w:val="none" w:sz="0" w:space="0" w:color="auto"/>
        <w:left w:val="none" w:sz="0" w:space="0" w:color="auto"/>
        <w:bottom w:val="none" w:sz="0" w:space="0" w:color="auto"/>
        <w:right w:val="none" w:sz="0" w:space="0" w:color="auto"/>
      </w:divBdr>
    </w:div>
    <w:div w:id="117377349">
      <w:bodyDiv w:val="1"/>
      <w:marLeft w:val="0"/>
      <w:marRight w:val="0"/>
      <w:marTop w:val="0"/>
      <w:marBottom w:val="0"/>
      <w:divBdr>
        <w:top w:val="none" w:sz="0" w:space="0" w:color="auto"/>
        <w:left w:val="none" w:sz="0" w:space="0" w:color="auto"/>
        <w:bottom w:val="none" w:sz="0" w:space="0" w:color="auto"/>
        <w:right w:val="none" w:sz="0" w:space="0" w:color="auto"/>
      </w:divBdr>
    </w:div>
    <w:div w:id="151222340">
      <w:bodyDiv w:val="1"/>
      <w:marLeft w:val="0"/>
      <w:marRight w:val="0"/>
      <w:marTop w:val="0"/>
      <w:marBottom w:val="0"/>
      <w:divBdr>
        <w:top w:val="none" w:sz="0" w:space="0" w:color="auto"/>
        <w:left w:val="none" w:sz="0" w:space="0" w:color="auto"/>
        <w:bottom w:val="none" w:sz="0" w:space="0" w:color="auto"/>
        <w:right w:val="none" w:sz="0" w:space="0" w:color="auto"/>
      </w:divBdr>
    </w:div>
    <w:div w:id="240988948">
      <w:bodyDiv w:val="1"/>
      <w:marLeft w:val="0"/>
      <w:marRight w:val="0"/>
      <w:marTop w:val="0"/>
      <w:marBottom w:val="0"/>
      <w:divBdr>
        <w:top w:val="none" w:sz="0" w:space="0" w:color="auto"/>
        <w:left w:val="none" w:sz="0" w:space="0" w:color="auto"/>
        <w:bottom w:val="none" w:sz="0" w:space="0" w:color="auto"/>
        <w:right w:val="none" w:sz="0" w:space="0" w:color="auto"/>
      </w:divBdr>
    </w:div>
    <w:div w:id="318995864">
      <w:bodyDiv w:val="1"/>
      <w:marLeft w:val="0"/>
      <w:marRight w:val="0"/>
      <w:marTop w:val="0"/>
      <w:marBottom w:val="0"/>
      <w:divBdr>
        <w:top w:val="none" w:sz="0" w:space="0" w:color="auto"/>
        <w:left w:val="none" w:sz="0" w:space="0" w:color="auto"/>
        <w:bottom w:val="none" w:sz="0" w:space="0" w:color="auto"/>
        <w:right w:val="none" w:sz="0" w:space="0" w:color="auto"/>
      </w:divBdr>
    </w:div>
    <w:div w:id="403185953">
      <w:bodyDiv w:val="1"/>
      <w:marLeft w:val="0"/>
      <w:marRight w:val="0"/>
      <w:marTop w:val="0"/>
      <w:marBottom w:val="0"/>
      <w:divBdr>
        <w:top w:val="none" w:sz="0" w:space="0" w:color="auto"/>
        <w:left w:val="none" w:sz="0" w:space="0" w:color="auto"/>
        <w:bottom w:val="none" w:sz="0" w:space="0" w:color="auto"/>
        <w:right w:val="none" w:sz="0" w:space="0" w:color="auto"/>
      </w:divBdr>
    </w:div>
    <w:div w:id="466627047">
      <w:bodyDiv w:val="1"/>
      <w:marLeft w:val="0"/>
      <w:marRight w:val="0"/>
      <w:marTop w:val="0"/>
      <w:marBottom w:val="0"/>
      <w:divBdr>
        <w:top w:val="none" w:sz="0" w:space="0" w:color="auto"/>
        <w:left w:val="none" w:sz="0" w:space="0" w:color="auto"/>
        <w:bottom w:val="none" w:sz="0" w:space="0" w:color="auto"/>
        <w:right w:val="none" w:sz="0" w:space="0" w:color="auto"/>
      </w:divBdr>
    </w:div>
    <w:div w:id="501815543">
      <w:bodyDiv w:val="1"/>
      <w:marLeft w:val="0"/>
      <w:marRight w:val="0"/>
      <w:marTop w:val="0"/>
      <w:marBottom w:val="0"/>
      <w:divBdr>
        <w:top w:val="none" w:sz="0" w:space="0" w:color="auto"/>
        <w:left w:val="none" w:sz="0" w:space="0" w:color="auto"/>
        <w:bottom w:val="none" w:sz="0" w:space="0" w:color="auto"/>
        <w:right w:val="none" w:sz="0" w:space="0" w:color="auto"/>
      </w:divBdr>
    </w:div>
    <w:div w:id="509416403">
      <w:bodyDiv w:val="1"/>
      <w:marLeft w:val="0"/>
      <w:marRight w:val="0"/>
      <w:marTop w:val="0"/>
      <w:marBottom w:val="0"/>
      <w:divBdr>
        <w:top w:val="none" w:sz="0" w:space="0" w:color="auto"/>
        <w:left w:val="none" w:sz="0" w:space="0" w:color="auto"/>
        <w:bottom w:val="none" w:sz="0" w:space="0" w:color="auto"/>
        <w:right w:val="none" w:sz="0" w:space="0" w:color="auto"/>
      </w:divBdr>
    </w:div>
    <w:div w:id="821239036">
      <w:bodyDiv w:val="1"/>
      <w:marLeft w:val="0"/>
      <w:marRight w:val="0"/>
      <w:marTop w:val="0"/>
      <w:marBottom w:val="0"/>
      <w:divBdr>
        <w:top w:val="none" w:sz="0" w:space="0" w:color="auto"/>
        <w:left w:val="none" w:sz="0" w:space="0" w:color="auto"/>
        <w:bottom w:val="none" w:sz="0" w:space="0" w:color="auto"/>
        <w:right w:val="none" w:sz="0" w:space="0" w:color="auto"/>
      </w:divBdr>
    </w:div>
    <w:div w:id="835074854">
      <w:bodyDiv w:val="1"/>
      <w:marLeft w:val="0"/>
      <w:marRight w:val="0"/>
      <w:marTop w:val="0"/>
      <w:marBottom w:val="0"/>
      <w:divBdr>
        <w:top w:val="none" w:sz="0" w:space="0" w:color="auto"/>
        <w:left w:val="none" w:sz="0" w:space="0" w:color="auto"/>
        <w:bottom w:val="none" w:sz="0" w:space="0" w:color="auto"/>
        <w:right w:val="none" w:sz="0" w:space="0" w:color="auto"/>
      </w:divBdr>
    </w:div>
    <w:div w:id="865994013">
      <w:bodyDiv w:val="1"/>
      <w:marLeft w:val="0"/>
      <w:marRight w:val="0"/>
      <w:marTop w:val="0"/>
      <w:marBottom w:val="0"/>
      <w:divBdr>
        <w:top w:val="none" w:sz="0" w:space="0" w:color="auto"/>
        <w:left w:val="none" w:sz="0" w:space="0" w:color="auto"/>
        <w:bottom w:val="none" w:sz="0" w:space="0" w:color="auto"/>
        <w:right w:val="none" w:sz="0" w:space="0" w:color="auto"/>
      </w:divBdr>
    </w:div>
    <w:div w:id="871766242">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956525386">
      <w:bodyDiv w:val="1"/>
      <w:marLeft w:val="0"/>
      <w:marRight w:val="0"/>
      <w:marTop w:val="0"/>
      <w:marBottom w:val="0"/>
      <w:divBdr>
        <w:top w:val="none" w:sz="0" w:space="0" w:color="auto"/>
        <w:left w:val="none" w:sz="0" w:space="0" w:color="auto"/>
        <w:bottom w:val="none" w:sz="0" w:space="0" w:color="auto"/>
        <w:right w:val="none" w:sz="0" w:space="0" w:color="auto"/>
      </w:divBdr>
    </w:div>
    <w:div w:id="1025134415">
      <w:bodyDiv w:val="1"/>
      <w:marLeft w:val="0"/>
      <w:marRight w:val="0"/>
      <w:marTop w:val="0"/>
      <w:marBottom w:val="0"/>
      <w:divBdr>
        <w:top w:val="none" w:sz="0" w:space="0" w:color="auto"/>
        <w:left w:val="none" w:sz="0" w:space="0" w:color="auto"/>
        <w:bottom w:val="none" w:sz="0" w:space="0" w:color="auto"/>
        <w:right w:val="none" w:sz="0" w:space="0" w:color="auto"/>
      </w:divBdr>
    </w:div>
    <w:div w:id="1125857015">
      <w:bodyDiv w:val="1"/>
      <w:marLeft w:val="0"/>
      <w:marRight w:val="0"/>
      <w:marTop w:val="0"/>
      <w:marBottom w:val="0"/>
      <w:divBdr>
        <w:top w:val="none" w:sz="0" w:space="0" w:color="auto"/>
        <w:left w:val="none" w:sz="0" w:space="0" w:color="auto"/>
        <w:bottom w:val="none" w:sz="0" w:space="0" w:color="auto"/>
        <w:right w:val="none" w:sz="0" w:space="0" w:color="auto"/>
      </w:divBdr>
    </w:div>
    <w:div w:id="1169490881">
      <w:bodyDiv w:val="1"/>
      <w:marLeft w:val="0"/>
      <w:marRight w:val="0"/>
      <w:marTop w:val="0"/>
      <w:marBottom w:val="0"/>
      <w:divBdr>
        <w:top w:val="none" w:sz="0" w:space="0" w:color="auto"/>
        <w:left w:val="none" w:sz="0" w:space="0" w:color="auto"/>
        <w:bottom w:val="none" w:sz="0" w:space="0" w:color="auto"/>
        <w:right w:val="none" w:sz="0" w:space="0" w:color="auto"/>
      </w:divBdr>
    </w:div>
    <w:div w:id="1176574607">
      <w:bodyDiv w:val="1"/>
      <w:marLeft w:val="0"/>
      <w:marRight w:val="0"/>
      <w:marTop w:val="0"/>
      <w:marBottom w:val="0"/>
      <w:divBdr>
        <w:top w:val="none" w:sz="0" w:space="0" w:color="auto"/>
        <w:left w:val="none" w:sz="0" w:space="0" w:color="auto"/>
        <w:bottom w:val="none" w:sz="0" w:space="0" w:color="auto"/>
        <w:right w:val="none" w:sz="0" w:space="0" w:color="auto"/>
      </w:divBdr>
    </w:div>
    <w:div w:id="1242521468">
      <w:bodyDiv w:val="1"/>
      <w:marLeft w:val="0"/>
      <w:marRight w:val="0"/>
      <w:marTop w:val="0"/>
      <w:marBottom w:val="0"/>
      <w:divBdr>
        <w:top w:val="none" w:sz="0" w:space="0" w:color="auto"/>
        <w:left w:val="none" w:sz="0" w:space="0" w:color="auto"/>
        <w:bottom w:val="none" w:sz="0" w:space="0" w:color="auto"/>
        <w:right w:val="none" w:sz="0" w:space="0" w:color="auto"/>
      </w:divBdr>
    </w:div>
    <w:div w:id="1269310105">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26401774">
      <w:bodyDiv w:val="1"/>
      <w:marLeft w:val="0"/>
      <w:marRight w:val="0"/>
      <w:marTop w:val="0"/>
      <w:marBottom w:val="0"/>
      <w:divBdr>
        <w:top w:val="none" w:sz="0" w:space="0" w:color="auto"/>
        <w:left w:val="none" w:sz="0" w:space="0" w:color="auto"/>
        <w:bottom w:val="none" w:sz="0" w:space="0" w:color="auto"/>
        <w:right w:val="none" w:sz="0" w:space="0" w:color="auto"/>
      </w:divBdr>
    </w:div>
    <w:div w:id="1371297684">
      <w:bodyDiv w:val="1"/>
      <w:marLeft w:val="0"/>
      <w:marRight w:val="0"/>
      <w:marTop w:val="0"/>
      <w:marBottom w:val="0"/>
      <w:divBdr>
        <w:top w:val="none" w:sz="0" w:space="0" w:color="auto"/>
        <w:left w:val="none" w:sz="0" w:space="0" w:color="auto"/>
        <w:bottom w:val="none" w:sz="0" w:space="0" w:color="auto"/>
        <w:right w:val="none" w:sz="0" w:space="0" w:color="auto"/>
      </w:divBdr>
    </w:div>
    <w:div w:id="1407992228">
      <w:bodyDiv w:val="1"/>
      <w:marLeft w:val="0"/>
      <w:marRight w:val="0"/>
      <w:marTop w:val="0"/>
      <w:marBottom w:val="0"/>
      <w:divBdr>
        <w:top w:val="none" w:sz="0" w:space="0" w:color="auto"/>
        <w:left w:val="none" w:sz="0" w:space="0" w:color="auto"/>
        <w:bottom w:val="none" w:sz="0" w:space="0" w:color="auto"/>
        <w:right w:val="none" w:sz="0" w:space="0" w:color="auto"/>
      </w:divBdr>
    </w:div>
    <w:div w:id="1461995887">
      <w:bodyDiv w:val="1"/>
      <w:marLeft w:val="0"/>
      <w:marRight w:val="0"/>
      <w:marTop w:val="0"/>
      <w:marBottom w:val="0"/>
      <w:divBdr>
        <w:top w:val="none" w:sz="0" w:space="0" w:color="auto"/>
        <w:left w:val="none" w:sz="0" w:space="0" w:color="auto"/>
        <w:bottom w:val="none" w:sz="0" w:space="0" w:color="auto"/>
        <w:right w:val="none" w:sz="0" w:space="0" w:color="auto"/>
      </w:divBdr>
    </w:div>
    <w:div w:id="1708797289">
      <w:bodyDiv w:val="1"/>
      <w:marLeft w:val="0"/>
      <w:marRight w:val="0"/>
      <w:marTop w:val="0"/>
      <w:marBottom w:val="0"/>
      <w:divBdr>
        <w:top w:val="none" w:sz="0" w:space="0" w:color="auto"/>
        <w:left w:val="none" w:sz="0" w:space="0" w:color="auto"/>
        <w:bottom w:val="none" w:sz="0" w:space="0" w:color="auto"/>
        <w:right w:val="none" w:sz="0" w:space="0" w:color="auto"/>
      </w:divBdr>
    </w:div>
    <w:div w:id="1768883292">
      <w:bodyDiv w:val="1"/>
      <w:marLeft w:val="0"/>
      <w:marRight w:val="0"/>
      <w:marTop w:val="0"/>
      <w:marBottom w:val="0"/>
      <w:divBdr>
        <w:top w:val="none" w:sz="0" w:space="0" w:color="auto"/>
        <w:left w:val="none" w:sz="0" w:space="0" w:color="auto"/>
        <w:bottom w:val="none" w:sz="0" w:space="0" w:color="auto"/>
        <w:right w:val="none" w:sz="0" w:space="0" w:color="auto"/>
      </w:divBdr>
    </w:div>
    <w:div w:id="1839273077">
      <w:bodyDiv w:val="1"/>
      <w:marLeft w:val="0"/>
      <w:marRight w:val="0"/>
      <w:marTop w:val="0"/>
      <w:marBottom w:val="0"/>
      <w:divBdr>
        <w:top w:val="none" w:sz="0" w:space="0" w:color="auto"/>
        <w:left w:val="none" w:sz="0" w:space="0" w:color="auto"/>
        <w:bottom w:val="none" w:sz="0" w:space="0" w:color="auto"/>
        <w:right w:val="none" w:sz="0" w:space="0" w:color="auto"/>
      </w:divBdr>
    </w:div>
    <w:div w:id="1907261069">
      <w:bodyDiv w:val="1"/>
      <w:marLeft w:val="0"/>
      <w:marRight w:val="0"/>
      <w:marTop w:val="0"/>
      <w:marBottom w:val="0"/>
      <w:divBdr>
        <w:top w:val="none" w:sz="0" w:space="0" w:color="auto"/>
        <w:left w:val="none" w:sz="0" w:space="0" w:color="auto"/>
        <w:bottom w:val="none" w:sz="0" w:space="0" w:color="auto"/>
        <w:right w:val="none" w:sz="0" w:space="0" w:color="auto"/>
      </w:divBdr>
    </w:div>
    <w:div w:id="1927684823">
      <w:bodyDiv w:val="1"/>
      <w:marLeft w:val="0"/>
      <w:marRight w:val="0"/>
      <w:marTop w:val="0"/>
      <w:marBottom w:val="0"/>
      <w:divBdr>
        <w:top w:val="none" w:sz="0" w:space="0" w:color="auto"/>
        <w:left w:val="none" w:sz="0" w:space="0" w:color="auto"/>
        <w:bottom w:val="none" w:sz="0" w:space="0" w:color="auto"/>
        <w:right w:val="none" w:sz="0" w:space="0" w:color="auto"/>
      </w:divBdr>
    </w:div>
    <w:div w:id="1946495218">
      <w:bodyDiv w:val="1"/>
      <w:marLeft w:val="0"/>
      <w:marRight w:val="0"/>
      <w:marTop w:val="0"/>
      <w:marBottom w:val="0"/>
      <w:divBdr>
        <w:top w:val="none" w:sz="0" w:space="0" w:color="auto"/>
        <w:left w:val="none" w:sz="0" w:space="0" w:color="auto"/>
        <w:bottom w:val="none" w:sz="0" w:space="0" w:color="auto"/>
        <w:right w:val="none" w:sz="0" w:space="0" w:color="auto"/>
      </w:divBdr>
    </w:div>
    <w:div w:id="1957717202">
      <w:bodyDiv w:val="1"/>
      <w:marLeft w:val="0"/>
      <w:marRight w:val="0"/>
      <w:marTop w:val="0"/>
      <w:marBottom w:val="0"/>
      <w:divBdr>
        <w:top w:val="none" w:sz="0" w:space="0" w:color="auto"/>
        <w:left w:val="none" w:sz="0" w:space="0" w:color="auto"/>
        <w:bottom w:val="none" w:sz="0" w:space="0" w:color="auto"/>
        <w:right w:val="none" w:sz="0" w:space="0" w:color="auto"/>
      </w:divBdr>
    </w:div>
    <w:div w:id="1986816323">
      <w:bodyDiv w:val="1"/>
      <w:marLeft w:val="0"/>
      <w:marRight w:val="0"/>
      <w:marTop w:val="0"/>
      <w:marBottom w:val="0"/>
      <w:divBdr>
        <w:top w:val="none" w:sz="0" w:space="0" w:color="auto"/>
        <w:left w:val="none" w:sz="0" w:space="0" w:color="auto"/>
        <w:bottom w:val="none" w:sz="0" w:space="0" w:color="auto"/>
        <w:right w:val="none" w:sz="0" w:space="0" w:color="auto"/>
      </w:divBdr>
    </w:div>
    <w:div w:id="2026250571">
      <w:bodyDiv w:val="1"/>
      <w:marLeft w:val="0"/>
      <w:marRight w:val="0"/>
      <w:marTop w:val="0"/>
      <w:marBottom w:val="0"/>
      <w:divBdr>
        <w:top w:val="none" w:sz="0" w:space="0" w:color="auto"/>
        <w:left w:val="none" w:sz="0" w:space="0" w:color="auto"/>
        <w:bottom w:val="none" w:sz="0" w:space="0" w:color="auto"/>
        <w:right w:val="none" w:sz="0" w:space="0" w:color="auto"/>
      </w:divBdr>
    </w:div>
    <w:div w:id="2035426161">
      <w:bodyDiv w:val="1"/>
      <w:marLeft w:val="0"/>
      <w:marRight w:val="0"/>
      <w:marTop w:val="0"/>
      <w:marBottom w:val="0"/>
      <w:divBdr>
        <w:top w:val="none" w:sz="0" w:space="0" w:color="auto"/>
        <w:left w:val="none" w:sz="0" w:space="0" w:color="auto"/>
        <w:bottom w:val="none" w:sz="0" w:space="0" w:color="auto"/>
        <w:right w:val="none" w:sz="0" w:space="0" w:color="auto"/>
      </w:divBdr>
    </w:div>
    <w:div w:id="2052026869">
      <w:bodyDiv w:val="1"/>
      <w:marLeft w:val="0"/>
      <w:marRight w:val="0"/>
      <w:marTop w:val="0"/>
      <w:marBottom w:val="0"/>
      <w:divBdr>
        <w:top w:val="none" w:sz="0" w:space="0" w:color="auto"/>
        <w:left w:val="none" w:sz="0" w:space="0" w:color="auto"/>
        <w:bottom w:val="none" w:sz="0" w:space="0" w:color="auto"/>
        <w:right w:val="none" w:sz="0" w:space="0" w:color="auto"/>
      </w:divBdr>
    </w:div>
    <w:div w:id="2112357746">
      <w:bodyDiv w:val="1"/>
      <w:marLeft w:val="0"/>
      <w:marRight w:val="0"/>
      <w:marTop w:val="0"/>
      <w:marBottom w:val="0"/>
      <w:divBdr>
        <w:top w:val="none" w:sz="0" w:space="0" w:color="auto"/>
        <w:left w:val="none" w:sz="0" w:space="0" w:color="auto"/>
        <w:bottom w:val="none" w:sz="0" w:space="0" w:color="auto"/>
        <w:right w:val="none" w:sz="0" w:space="0" w:color="auto"/>
      </w:divBdr>
    </w:div>
    <w:div w:id="2118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saflii.org/cgi-bin/LawCite?cit=2014%20%286%29%20SA%20592" TargetMode="External"/><Relationship Id="rId1" Type="http://schemas.openxmlformats.org/officeDocument/2006/relationships/hyperlink" Target="http://www.saflii.org/za/cases/ZASCA/1992/2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54D50-AD67-488A-80ED-A02CD702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22796</Words>
  <Characters>129938</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Wallis</dc:creator>
  <cp:keywords/>
  <dc:description/>
  <cp:lastModifiedBy>Ayanda Mdletshe</cp:lastModifiedBy>
  <cp:revision>3</cp:revision>
  <cp:lastPrinted>2021-06-30T12:13:00Z</cp:lastPrinted>
  <dcterms:created xsi:type="dcterms:W3CDTF">2021-07-01T08:51:00Z</dcterms:created>
  <dcterms:modified xsi:type="dcterms:W3CDTF">2021-07-01T08:51:00Z</dcterms:modified>
</cp:coreProperties>
</file>